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版本号：ZZB2025-CSZB05420250819001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2025年法律顾问服务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ZZB2025-CSZB054</w:t>
      </w:r>
      <w:r>
        <w:br/>
      </w:r>
      <w:r>
        <w:br/>
      </w:r>
      <w:r>
        <w:br/>
      </w:r>
    </w:p>
    <w:p>
      <w:pPr>
        <w:pStyle w:val="null3"/>
        <w:jc w:val="center"/>
        <w:outlineLvl w:val="2"/>
      </w:pPr>
      <w:r>
        <w:rPr>
          <w:rFonts w:ascii="仿宋_GB2312" w:hAnsi="仿宋_GB2312" w:cs="仿宋_GB2312" w:eastAsia="仿宋_GB2312"/>
          <w:sz w:val="28"/>
          <w:b/>
        </w:rPr>
        <w:t>西安市土地储备交易中心</w:t>
      </w:r>
    </w:p>
    <w:p>
      <w:pPr>
        <w:pStyle w:val="null3"/>
        <w:jc w:val="center"/>
        <w:outlineLvl w:val="2"/>
      </w:pPr>
      <w:r>
        <w:rPr>
          <w:rFonts w:ascii="仿宋_GB2312" w:hAnsi="仿宋_GB2312" w:cs="仿宋_GB2312" w:eastAsia="仿宋_GB2312"/>
          <w:sz w:val="28"/>
          <w:b/>
        </w:rPr>
        <w:t>中志标建设项目管理咨询有限公司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中志标建设项目管理咨询有限公司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西安市土地储备交易中心</w:t>
      </w:r>
      <w:r>
        <w:rPr>
          <w:rFonts w:ascii="仿宋_GB2312" w:hAnsi="仿宋_GB2312" w:cs="仿宋_GB2312" w:eastAsia="仿宋_GB2312"/>
        </w:rPr>
        <w:t>委托，拟对</w:t>
      </w:r>
      <w:r>
        <w:rPr>
          <w:rFonts w:ascii="仿宋_GB2312" w:hAnsi="仿宋_GB2312" w:cs="仿宋_GB2312" w:eastAsia="仿宋_GB2312"/>
        </w:rPr>
        <w:t>2025年法律顾问服务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ZZB2025-CSZB054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2025年法律顾问服务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依据国家和省市相关法律、法规，对土地征收储备、交易、二级市场等方面提供法律政策支撑；协助解决依法追缴土地出让金等遗留问题；负责协助起草/修订规范性文件、谈判、出具律师函、政府信息公开、参与信访接待、日常协议合同等合法性审查工作；按照中心安排，承办土地征收储备、交易、二级市场等方面出现的纠纷及诉讼、复议、仲裁以及其他法律事务案件的代理；每季度开展一次法律常识讲座培训，提升中心人员法律法规素养。每周委派1-2名执业律师赴西安市土地储备交易中心进行法律政策解答；负责做好承办事项相关资料的整理与案卷交接。采购预算200000.00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采购包1（2025年法律顾问服务）：属于专门面向中小企业采购。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1、营业执照等主体资格证明文件：具有独立承担民事责任的能力：提供注册登记凭证（营业执照、其他组织经营的合法凭证，自然人的提供身份证明文件）。</w:t>
      </w:r>
    </w:p>
    <w:p>
      <w:pPr>
        <w:pStyle w:val="null3"/>
      </w:pPr>
      <w:r>
        <w:rPr>
          <w:rFonts w:ascii="仿宋_GB2312" w:hAnsi="仿宋_GB2312" w:cs="仿宋_GB2312" w:eastAsia="仿宋_GB2312"/>
        </w:rPr>
        <w:t>2、财务状况报告：具有良好的商业信誉和健全的财务会计制度：提供经审计的近三年任意一年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以上三种形式的资料提供任何一种即可。</w:t>
      </w:r>
    </w:p>
    <w:p>
      <w:pPr>
        <w:pStyle w:val="null3"/>
      </w:pPr>
      <w:r>
        <w:rPr>
          <w:rFonts w:ascii="仿宋_GB2312" w:hAnsi="仿宋_GB2312" w:cs="仿宋_GB2312" w:eastAsia="仿宋_GB2312"/>
        </w:rPr>
        <w:t>3、履行能力：具有履行合同所必需的设备和专业技术能力：提供声明文件原件。</w:t>
      </w:r>
    </w:p>
    <w:p>
      <w:pPr>
        <w:pStyle w:val="null3"/>
      </w:pPr>
      <w:r>
        <w:rPr>
          <w:rFonts w:ascii="仿宋_GB2312" w:hAnsi="仿宋_GB2312" w:cs="仿宋_GB2312" w:eastAsia="仿宋_GB2312"/>
        </w:rPr>
        <w:t>4、税收缴纳证明：具有依法缴纳税收的良好记录：提供缴费所属日期为磋商截止时间前12个月内任一月份（磋商截止时间当月不计入）的增值税（或所得税）缴费凭据或税务机关出具的完税证明/在法规范围内不需提供的应出具书面说明和证明文件；以上两种形式的资料提供任何一种即可。</w:t>
      </w:r>
    </w:p>
    <w:p>
      <w:pPr>
        <w:pStyle w:val="null3"/>
      </w:pPr>
      <w:r>
        <w:rPr>
          <w:rFonts w:ascii="仿宋_GB2312" w:hAnsi="仿宋_GB2312" w:cs="仿宋_GB2312" w:eastAsia="仿宋_GB2312"/>
        </w:rPr>
        <w:t>5、社会保障资金缴纳证明：具有依法缴纳社会保障资金的良好记录：提供缴费所属日期为磋商截止时间前12个月内任一月份（磋商截止时间当月不计入）的缴费凭据或社保机关出具的缴费证明/在法规范围内不需提供的应出具书面说明和证明文件；以上两种形式的资料提供任何一种即可。</w:t>
      </w:r>
    </w:p>
    <w:p>
      <w:pPr>
        <w:pStyle w:val="null3"/>
      </w:pPr>
      <w:r>
        <w:rPr>
          <w:rFonts w:ascii="仿宋_GB2312" w:hAnsi="仿宋_GB2312" w:cs="仿宋_GB2312" w:eastAsia="仿宋_GB2312"/>
        </w:rPr>
        <w:t>6、没有重大违法记录：参加政府采购活动前3年内在经营活动中没有重大违法记录的书面声明（原件）。</w:t>
      </w:r>
    </w:p>
    <w:p>
      <w:pPr>
        <w:pStyle w:val="null3"/>
      </w:pPr>
      <w:r>
        <w:rPr>
          <w:rFonts w:ascii="仿宋_GB2312" w:hAnsi="仿宋_GB2312" w:cs="仿宋_GB2312" w:eastAsia="仿宋_GB2312"/>
        </w:rPr>
        <w:t>7、法定代表人授权委托书：法定代表人直接参加磋商的，须出具法定代表人身份证明书；法定代表人委托代理人参加磋商的，须出具法定代表人授权委托书及委托代理人身份证。</w:t>
      </w:r>
    </w:p>
    <w:p>
      <w:pPr>
        <w:pStyle w:val="null3"/>
      </w:pPr>
      <w:r>
        <w:rPr>
          <w:rFonts w:ascii="仿宋_GB2312" w:hAnsi="仿宋_GB2312" w:cs="仿宋_GB2312" w:eastAsia="仿宋_GB2312"/>
        </w:rPr>
        <w:t>8、关联关系：仅允许法人（总所）或其授权的一个分支机构（分所）前来投标，若法人（总所）和分支机构（分所）同时参与投标，或授权两个及以上的分支机构（分所）前来投标，其响应文件将均被视为无效。分支机构（分所）前来磋商需提供法人（总所）出具的授权函或证明文件。</w:t>
      </w:r>
    </w:p>
    <w:p>
      <w:pPr>
        <w:pStyle w:val="null3"/>
      </w:pPr>
      <w:r>
        <w:rPr>
          <w:rFonts w:ascii="仿宋_GB2312" w:hAnsi="仿宋_GB2312" w:cs="仿宋_GB2312" w:eastAsia="仿宋_GB2312"/>
        </w:rPr>
        <w:t>9、非联合体投标声明：本项目不接受联合体磋商。投标供应商应提供《非联合体投标声明》，视为独立投标。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西安市土地储备交易中心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西安市劳动南路178号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杨晓光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18149048171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中志标建设项目管理咨询有限公司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陕西省西安市雁塔区科技西路绿地鸿海大厦A座11806室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赵茹静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18292000147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颁发的《招标代理服务收费管理暂行办法》（计价格[2002]1980号）《招标代理服务收费管理暂行办法》和国家发展改革委办公厅发改办价格【2003】857号、【2011】534号规定的收费标准计取，不足6000元，按最低6000元收取。 2、成交供应商在领取中标通知书前，须向采购代理机构一次性支付招标代理服务费。 3、代理服务费账户： ①采购代理机构开户名称：中志标建设项目管理咨询有限公司。 ②开户行名称：华夏银行股份有限公司西安高新技术开发区支行。 ③账号：（11451000000616457） 4、请成交供应商按照要求将招标代理服务费转入以上指定账户，如因自身原因发生错误，产生的不利后果均由供应商自行承担。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西安市土地储备交易中心</w:t>
      </w:r>
      <w:r>
        <w:rPr>
          <w:rFonts w:ascii="仿宋_GB2312" w:hAnsi="仿宋_GB2312" w:cs="仿宋_GB2312" w:eastAsia="仿宋_GB2312"/>
        </w:rPr>
        <w:t>和</w:t>
      </w:r>
      <w:r>
        <w:rPr>
          <w:rFonts w:ascii="仿宋_GB2312" w:hAnsi="仿宋_GB2312" w:cs="仿宋_GB2312" w:eastAsia="仿宋_GB2312"/>
        </w:rPr>
        <w:t>中志标建设项目管理咨询有限公司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西安市土地储备交易中心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中志标建设项目管理咨询有限公司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西安市土地储备交易中心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中志标建设项目管理咨询有限公司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联系人：赵茹静</w:t>
      </w:r>
    </w:p>
    <w:p>
      <w:pPr>
        <w:pStyle w:val="null3"/>
      </w:pPr>
      <w:r>
        <w:rPr>
          <w:rFonts w:ascii="仿宋_GB2312" w:hAnsi="仿宋_GB2312" w:cs="仿宋_GB2312" w:eastAsia="仿宋_GB2312"/>
        </w:rPr>
        <w:t>联系电话：18292000147</w:t>
      </w:r>
    </w:p>
    <w:p>
      <w:pPr>
        <w:pStyle w:val="null3"/>
      </w:pPr>
      <w:r>
        <w:rPr>
          <w:rFonts w:ascii="仿宋_GB2312" w:hAnsi="仿宋_GB2312" w:cs="仿宋_GB2312" w:eastAsia="仿宋_GB2312"/>
        </w:rPr>
        <w:t>地址：陕西省西安市雁塔区科技西路绿地鸿海大厦A座11806室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依据国家和省市相关法律、法规，对土地征收储备、交易、二级市场等方面提供法律政策支撑；协助解决依法追缴土地出让金等遗留问题；负责协助起草/修订规范性文件、谈判、出具律师函、政府信息公开、参与信访接待、日常协议合同等合法性审查工作；按照中心安排，承办土地征收储备、交易、二级市场等方面出现的纠纷及诉讼、复议、仲裁以及其他法律事务案件的代理；每季度开展一次法律常识讲座培训，提升中心人员法律法规素养。每周委派1-2名执业律师赴西安市土地储备交易中心进行法律政策解答；负责做好承办事项相关资料的整理与案卷交接。采购预算200000.00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元</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b/>
              </w:rPr>
              <w:t>一、项目概况</w:t>
            </w:r>
          </w:p>
          <w:p>
            <w:pPr>
              <w:pStyle w:val="null3"/>
              <w:ind w:firstLine="400"/>
            </w:pPr>
            <w:r>
              <w:rPr>
                <w:rFonts w:ascii="仿宋_GB2312" w:hAnsi="仿宋_GB2312" w:cs="仿宋_GB2312" w:eastAsia="仿宋_GB2312"/>
                <w:sz w:val="20"/>
              </w:rPr>
              <w:t>依据国家和省市相关法律、法规，对土地征收储备、交易、二级市场等方面提供法律政策支撑；协助解决依法追缴土地出让金等遗留问题；负责协助起草</w:t>
            </w:r>
            <w:r>
              <w:rPr>
                <w:rFonts w:ascii="仿宋_GB2312" w:hAnsi="仿宋_GB2312" w:cs="仿宋_GB2312" w:eastAsia="仿宋_GB2312"/>
                <w:sz w:val="20"/>
              </w:rPr>
              <w:t>/修订规范性文件、谈判、出具律师函、政府信息公开、参与信访接待、日常协议合同等合法性审查工作；按照中心安排，承办土地征收储备、交易、二级市场等方面出现的纠纷及诉讼、复议、仲裁以及其他法律事务案件的代理；每季度开展一次法律常识讲座培训，提升中心人员法律法规素养。每周委派1-2名执业律师赴西安市土地储备交易中心进行法律政策解答；负责做好承办事项相关资料的整理与案卷交接。</w:t>
            </w:r>
          </w:p>
          <w:p>
            <w:pPr>
              <w:pStyle w:val="null3"/>
            </w:pPr>
            <w:r>
              <w:rPr>
                <w:rFonts w:ascii="仿宋_GB2312" w:hAnsi="仿宋_GB2312" w:cs="仿宋_GB2312" w:eastAsia="仿宋_GB2312"/>
                <w:sz w:val="20"/>
                <w:b/>
              </w:rPr>
              <w:t>二、服务内容</w:t>
            </w:r>
          </w:p>
          <w:p>
            <w:pPr>
              <w:pStyle w:val="null3"/>
              <w:ind w:firstLine="400"/>
            </w:pPr>
            <w:r>
              <w:rPr>
                <w:rFonts w:ascii="仿宋_GB2312" w:hAnsi="仿宋_GB2312" w:cs="仿宋_GB2312" w:eastAsia="仿宋_GB2312"/>
                <w:sz w:val="20"/>
              </w:rPr>
              <w:t>1.服务期限内法律顾问日常服务费用包括:上门服务费、现场开会、通讯作业、定期联系、意见汇报、及现场回访等其它相关的费用。</w:t>
            </w:r>
          </w:p>
          <w:p>
            <w:pPr>
              <w:pStyle w:val="null3"/>
              <w:ind w:firstLine="400"/>
            </w:pPr>
            <w:r>
              <w:rPr>
                <w:rFonts w:ascii="仿宋_GB2312" w:hAnsi="仿宋_GB2312" w:cs="仿宋_GB2312" w:eastAsia="仿宋_GB2312"/>
                <w:sz w:val="20"/>
              </w:rPr>
              <w:t>2.指派专人负责与法律服务团队保持日常有效沟通和联系。根据我单位需要2小时内到场解决紧急事务或突发事件，不受服务方式及服务次数的限制；一般性简单事务48小时内通过电话、传真、电子邮件、会议等方式出具律师意见，或派员到采购人当面协商和交流。</w:t>
            </w:r>
          </w:p>
          <w:p>
            <w:pPr>
              <w:pStyle w:val="null3"/>
              <w:ind w:firstLine="400"/>
            </w:pPr>
            <w:r>
              <w:rPr>
                <w:rFonts w:ascii="仿宋_GB2312" w:hAnsi="仿宋_GB2312" w:cs="仿宋_GB2312" w:eastAsia="仿宋_GB2312"/>
                <w:sz w:val="20"/>
              </w:rPr>
              <w:t>3.案件代理费用按《西安市律师服务收费指导意见》(市律发(2016)7号)的不高于50%执行。</w:t>
            </w:r>
          </w:p>
          <w:p>
            <w:pPr>
              <w:pStyle w:val="null3"/>
              <w:ind w:firstLine="400"/>
            </w:pPr>
            <w:r>
              <w:rPr>
                <w:rFonts w:ascii="仿宋_GB2312" w:hAnsi="仿宋_GB2312" w:cs="仿宋_GB2312" w:eastAsia="仿宋_GB2312"/>
                <w:sz w:val="20"/>
              </w:rPr>
              <w:t>4.每周委派1-2名人员赴土储中心进行法律政策解答。</w:t>
            </w:r>
          </w:p>
          <w:p>
            <w:pPr>
              <w:pStyle w:val="null3"/>
            </w:pPr>
            <w:r>
              <w:rPr>
                <w:rFonts w:ascii="仿宋_GB2312" w:hAnsi="仿宋_GB2312" w:cs="仿宋_GB2312" w:eastAsia="仿宋_GB2312"/>
                <w:sz w:val="20"/>
                <w:b/>
              </w:rPr>
              <w:t>三、相关要求</w:t>
            </w:r>
          </w:p>
          <w:p>
            <w:pPr>
              <w:pStyle w:val="null3"/>
            </w:pPr>
            <w:r>
              <w:rPr>
                <w:rFonts w:ascii="仿宋_GB2312" w:hAnsi="仿宋_GB2312" w:cs="仿宋_GB2312" w:eastAsia="仿宋_GB2312"/>
                <w:sz w:val="20"/>
                <w:b/>
              </w:rPr>
              <w:t>法律服务机构应当遵守的规定</w:t>
            </w:r>
            <w:r>
              <w:rPr>
                <w:rFonts w:ascii="仿宋_GB2312" w:hAnsi="仿宋_GB2312" w:cs="仿宋_GB2312" w:eastAsia="仿宋_GB2312"/>
                <w:sz w:val="20"/>
                <w:b/>
              </w:rPr>
              <w:t>:</w:t>
            </w:r>
          </w:p>
          <w:p>
            <w:pPr>
              <w:pStyle w:val="null3"/>
              <w:ind w:firstLine="400"/>
            </w:pPr>
            <w:r>
              <w:rPr>
                <w:rFonts w:ascii="仿宋_GB2312" w:hAnsi="仿宋_GB2312" w:cs="仿宋_GB2312" w:eastAsia="仿宋_GB2312"/>
                <w:sz w:val="20"/>
              </w:rPr>
              <w:t>1.在处理法律事务过程中获取的尚未公开的信息和法律事务处理意见，未经许可不得向第三人披露。</w:t>
            </w:r>
          </w:p>
          <w:p>
            <w:pPr>
              <w:pStyle w:val="null3"/>
              <w:ind w:firstLine="400"/>
            </w:pPr>
            <w:r>
              <w:rPr>
                <w:rFonts w:ascii="仿宋_GB2312" w:hAnsi="仿宋_GB2312" w:cs="仿宋_GB2312" w:eastAsia="仿宋_GB2312"/>
                <w:sz w:val="20"/>
              </w:rPr>
              <w:t>2.受聘律师应当勤勉尽职，遵守律师执业道德和执业纪律，遵守律师行业规范和准则，维护采购人的合法权益。</w:t>
            </w:r>
          </w:p>
          <w:p>
            <w:pPr>
              <w:pStyle w:val="null3"/>
              <w:ind w:firstLine="400"/>
            </w:pPr>
            <w:r>
              <w:rPr>
                <w:rFonts w:ascii="仿宋_GB2312" w:hAnsi="仿宋_GB2312" w:cs="仿宋_GB2312" w:eastAsia="仿宋_GB2312"/>
                <w:sz w:val="20"/>
              </w:rPr>
              <w:t>3.不得擅自委托他人处理有关事务，不得发表、散布有损采购人声誉的言论和进行有损形象的行为。</w:t>
            </w:r>
          </w:p>
          <w:p>
            <w:pPr>
              <w:pStyle w:val="null3"/>
              <w:ind w:firstLine="400"/>
            </w:pPr>
            <w:r>
              <w:rPr>
                <w:rFonts w:ascii="仿宋_GB2312" w:hAnsi="仿宋_GB2312" w:cs="仿宋_GB2312" w:eastAsia="仿宋_GB2312"/>
                <w:sz w:val="20"/>
              </w:rPr>
              <w:t>4.与交办的事务存在利害关系，可能影响正在履行的职责的，应当回避，采购人认为其与交办的事务存在利害关系的，可以要求其回避。</w:t>
            </w:r>
          </w:p>
          <w:p>
            <w:pPr>
              <w:pStyle w:val="null3"/>
              <w:ind w:firstLine="400"/>
            </w:pPr>
            <w:r>
              <w:rPr>
                <w:rFonts w:ascii="仿宋_GB2312" w:hAnsi="仿宋_GB2312" w:cs="仿宋_GB2312" w:eastAsia="仿宋_GB2312"/>
                <w:sz w:val="20"/>
              </w:rPr>
              <w:t>5.应遵循诚实守信的原则，客观地告知采购人所委托事项可能出现的法律风险，不得故意对可能出现的风险作不恰当的表述或虚假承诺。</w:t>
            </w:r>
          </w:p>
          <w:p>
            <w:pPr>
              <w:pStyle w:val="null3"/>
              <w:ind w:firstLine="400"/>
            </w:pPr>
            <w:r>
              <w:rPr>
                <w:rFonts w:ascii="仿宋_GB2312" w:hAnsi="仿宋_GB2312" w:cs="仿宋_GB2312" w:eastAsia="仿宋_GB2312"/>
                <w:sz w:val="20"/>
              </w:rPr>
              <w:t>6.依据《中华人民共和国律师法》应当履行的其他义务。</w:t>
            </w:r>
          </w:p>
          <w:p>
            <w:pPr>
              <w:pStyle w:val="null3"/>
              <w:ind w:firstLine="400"/>
            </w:pPr>
            <w:r>
              <w:rPr>
                <w:rFonts w:ascii="仿宋_GB2312" w:hAnsi="仿宋_GB2312" w:cs="仿宋_GB2312" w:eastAsia="仿宋_GB2312"/>
                <w:sz w:val="20"/>
              </w:rPr>
              <w:t>7.其他相关要求按《陕西省人民政府办公厅关于加强政府法律顾问工作的通知》(陕政办函(2016)12号)文件相关规定执行。</w:t>
            </w:r>
          </w:p>
          <w:p>
            <w:pPr>
              <w:pStyle w:val="null3"/>
            </w:pPr>
            <w:r>
              <w:rPr>
                <w:rFonts w:ascii="仿宋_GB2312" w:hAnsi="仿宋_GB2312" w:cs="仿宋_GB2312" w:eastAsia="仿宋_GB2312"/>
                <w:sz w:val="20"/>
                <w:b/>
              </w:rPr>
              <w:t>四、服务方式</w:t>
            </w:r>
            <w:r>
              <w:rPr>
                <w:rFonts w:ascii="仿宋_GB2312" w:hAnsi="仿宋_GB2312" w:cs="仿宋_GB2312" w:eastAsia="仿宋_GB2312"/>
                <w:sz w:val="20"/>
                <w:b/>
              </w:rPr>
              <w:t>:</w:t>
            </w:r>
          </w:p>
          <w:p>
            <w:pPr>
              <w:pStyle w:val="null3"/>
              <w:ind w:firstLine="400"/>
            </w:pPr>
            <w:r>
              <w:rPr>
                <w:rFonts w:ascii="仿宋_GB2312" w:hAnsi="仿宋_GB2312" w:cs="仿宋_GB2312" w:eastAsia="仿宋_GB2312"/>
                <w:sz w:val="20"/>
              </w:rPr>
              <w:t>1.上门服务:顾问律师每周应来西安市土地储备交易中心至少一次沟通；顾问律师的人数应保障甲方的工作需要。</w:t>
            </w:r>
          </w:p>
          <w:p>
            <w:pPr>
              <w:pStyle w:val="null3"/>
              <w:ind w:firstLine="400"/>
            </w:pPr>
            <w:r>
              <w:rPr>
                <w:rFonts w:ascii="仿宋_GB2312" w:hAnsi="仿宋_GB2312" w:cs="仿宋_GB2312" w:eastAsia="仿宋_GB2312"/>
                <w:sz w:val="20"/>
              </w:rPr>
              <w:t>2.现场开会:根据采购人要求，指派律师团队成员参加采购人会议，提供法律分析，拟定法律解决方案。</w:t>
            </w:r>
          </w:p>
          <w:p>
            <w:pPr>
              <w:pStyle w:val="null3"/>
              <w:ind w:firstLine="400"/>
            </w:pPr>
            <w:r>
              <w:rPr>
                <w:rFonts w:ascii="仿宋_GB2312" w:hAnsi="仿宋_GB2312" w:cs="仿宋_GB2312" w:eastAsia="仿宋_GB2312"/>
                <w:sz w:val="20"/>
              </w:rPr>
              <w:t>3.通讯作业:通过传真、电子邮件、专用QQ群传递资料，提供法律服务。</w:t>
            </w:r>
          </w:p>
          <w:p>
            <w:pPr>
              <w:pStyle w:val="null3"/>
              <w:ind w:firstLine="400"/>
            </w:pPr>
            <w:r>
              <w:rPr>
                <w:rFonts w:ascii="仿宋_GB2312" w:hAnsi="仿宋_GB2312" w:cs="仿宋_GB2312" w:eastAsia="仿宋_GB2312"/>
                <w:sz w:val="20"/>
              </w:rPr>
              <w:t>4.定期联系:供应商每周均会与采购人指派的联系人主动联系，及时沟通并根据实际情况跟进相应事务，提供法律服务。</w:t>
            </w:r>
          </w:p>
          <w:p>
            <w:pPr>
              <w:pStyle w:val="null3"/>
              <w:ind w:firstLine="400"/>
            </w:pPr>
            <w:r>
              <w:rPr>
                <w:rFonts w:ascii="仿宋_GB2312" w:hAnsi="仿宋_GB2312" w:cs="仿宋_GB2312" w:eastAsia="仿宋_GB2312"/>
                <w:sz w:val="20"/>
              </w:rPr>
              <w:t>5.意见汇报:律师团队将会根据采购人的要求或在供应商认为需要的情况下，以书面提交法律意见、法律建议或汇报材料的方式提供法律服务。</w:t>
            </w:r>
          </w:p>
          <w:p>
            <w:pPr>
              <w:pStyle w:val="null3"/>
              <w:ind w:firstLine="400"/>
            </w:pPr>
            <w:r>
              <w:rPr>
                <w:rFonts w:ascii="仿宋_GB2312" w:hAnsi="仿宋_GB2312" w:cs="仿宋_GB2312" w:eastAsia="仿宋_GB2312"/>
                <w:sz w:val="20"/>
              </w:rPr>
              <w:t>6.现场回访:律师团队将会不定期地预约采购人所指派的联系人，以现场回访的方式了解采购人的法律服务需求并及时提供相应的法律服务。</w:t>
            </w:r>
          </w:p>
          <w:p>
            <w:pPr>
              <w:pStyle w:val="null3"/>
            </w:pPr>
            <w:r>
              <w:rPr>
                <w:rFonts w:ascii="仿宋_GB2312" w:hAnsi="仿宋_GB2312" w:cs="仿宋_GB2312" w:eastAsia="仿宋_GB2312"/>
                <w:sz w:val="20"/>
                <w:b/>
              </w:rPr>
              <w:t>五、商务要求</w:t>
            </w:r>
          </w:p>
          <w:p>
            <w:pPr>
              <w:pStyle w:val="null3"/>
              <w:ind w:firstLine="400"/>
            </w:pPr>
            <w:r>
              <w:rPr>
                <w:rFonts w:ascii="仿宋_GB2312" w:hAnsi="仿宋_GB2312" w:cs="仿宋_GB2312" w:eastAsia="仿宋_GB2312"/>
                <w:sz w:val="20"/>
              </w:rPr>
              <w:t>*1.服务期限:自合同签订之日起一年。</w:t>
            </w:r>
          </w:p>
          <w:p>
            <w:pPr>
              <w:pStyle w:val="null3"/>
              <w:ind w:firstLine="400"/>
            </w:pPr>
            <w:r>
              <w:rPr>
                <w:rFonts w:ascii="仿宋_GB2312" w:hAnsi="仿宋_GB2312" w:cs="仿宋_GB2312" w:eastAsia="仿宋_GB2312"/>
                <w:sz w:val="20"/>
              </w:rPr>
              <w:t>*2.服务地点:采购人指定地点。</w:t>
            </w:r>
          </w:p>
          <w:p>
            <w:pPr>
              <w:pStyle w:val="null3"/>
              <w:ind w:firstLine="400"/>
            </w:pPr>
            <w:r>
              <w:rPr>
                <w:rFonts w:ascii="仿宋_GB2312" w:hAnsi="仿宋_GB2312" w:cs="仿宋_GB2312" w:eastAsia="仿宋_GB2312"/>
                <w:sz w:val="20"/>
              </w:rPr>
              <w:t>*3.款项结算。</w:t>
            </w:r>
          </w:p>
          <w:p>
            <w:pPr>
              <w:pStyle w:val="null3"/>
              <w:ind w:firstLine="400"/>
            </w:pPr>
            <w:r>
              <w:rPr>
                <w:rFonts w:ascii="仿宋_GB2312" w:hAnsi="仿宋_GB2312" w:cs="仿宋_GB2312" w:eastAsia="仿宋_GB2312"/>
                <w:sz w:val="20"/>
              </w:rPr>
              <w:t>1)支付方式:银行转账。</w:t>
            </w:r>
          </w:p>
          <w:p>
            <w:pPr>
              <w:pStyle w:val="null3"/>
              <w:ind w:firstLine="400"/>
            </w:pPr>
            <w:r>
              <w:rPr>
                <w:rFonts w:ascii="仿宋_GB2312" w:hAnsi="仿宋_GB2312" w:cs="仿宋_GB2312" w:eastAsia="仿宋_GB2312"/>
                <w:sz w:val="20"/>
              </w:rPr>
              <w:t>2)结算方式:自合同签订之日起半年后，由供应商提供相对应的金额发票，达到付款条件起 30 日内，支付合同总金额的50.00%。服务期结束后由采购人验收合格，供应商提供相对应的金额发票，达到付款条件起30日内，支付合同总金额的50.00%。</w:t>
            </w:r>
          </w:p>
          <w:p>
            <w:pPr>
              <w:pStyle w:val="null3"/>
              <w:jc w:val="both"/>
            </w:pPr>
            <w:r>
              <w:rPr>
                <w:rFonts w:ascii="仿宋_GB2312" w:hAnsi="仿宋_GB2312" w:cs="仿宋_GB2312" w:eastAsia="仿宋_GB2312"/>
                <w:sz w:val="20"/>
                <w:b/>
              </w:rPr>
              <w:t xml:space="preserve">  以</w:t>
            </w:r>
            <w:r>
              <w:rPr>
                <w:rFonts w:ascii="仿宋_GB2312" w:hAnsi="仿宋_GB2312" w:cs="仿宋_GB2312" w:eastAsia="仿宋_GB2312"/>
                <w:sz w:val="20"/>
                <w:b/>
              </w:rPr>
              <w:t>“*”号标记的条款为不允许偏离的技术和商务的实质性要求和条件，不满足实质性要求和条件的响应为无效响应，供应商需在响应文件中单独列明并作出响应。</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由采购单位根据合同要求进行验收。验收完成后，出具验收书，以便结算。</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自合同签订之日起半年后，由供应商提供相对应的金额发票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服务期结束后由采购人验收合格，供应商提供相对应的金额发票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1.按《中华人民共和国民法典》中的相关条款执行。 2.未按合同要求提供系统或服务不能满足采购的技术要求，甲方有权终止合同，并保留追究乙方违约责任的权利。 3.时间迟延的，违约方按照每天1‰向对方承担违约责任。产品质量问题违约的，除了按照迟延时间计算违约金外，另可以采取退货、换货等方式，由供方承担一切费用。 （二）解决争议的方法： 1.本合同在履行过程中发生的争议，由甲、乙双方当事人协商解决，协商不成的依法向甲方所在地有管辖权的人民法院法院起诉。 2.在诉讼期间，除正在进行诉讼部分外，合同其他部分继续执行。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（一）本项目采购内容“2025年度法律顾问服务”对应的中小企业划分标准所属行业为：其他未列明行业。 （二）本项目采购活动执行下列政府采购政策(具体办法详见磋商文件): （1）《国务院办公厅关于建立政府强制采购节能产品制度的通知》(国办发(2007)51号)； （2）《关于印发环境标志产品政府采购品目清单的通知》(财库(2019)18号) （3）《关于印发节能产品政府采购品目清单的通知》(财库(2019)19号) （4）《财政部司法部关于政府采购支持监狱企业发展有关问题的通知》(财库(2014)68号)； （5）《关于促进残疾人就业政府采购政策的通知》(财库(2017)141号)； （6）《关于调整优化节能产品、环境标志产品政府采购执行机制的通知》(财库(2019)9号)； （7）《关于运用政府采购政策支持乡村产业振兴的通知》(财库(2021)19号)； （8）《政府采购促进中小企业发展管理办法》(财库(2020)46号)； （9）《陕西省财政厅关于印发&lt;陕西省中小企业政府采购信用融资办法&gt;的通知》(陕财办采(2018)23号)； （10）陕西省财政厅《关于进一步加强政府绿色采购有关问题的通知》(陕财办采(2021)29号) （11）《关于进一步加大政府采购支持中小企业力度的通知》(财库(2022)19号)； （12）《关于扩大政府采购支持绿色建材促进建筑品质提升政策实施范围的通知》(财库(2022)35号)； （13）《陕西省财政厅关于进一步优化政府采购营商环境有关事项的通知》（陕财办采〔2023〕4号）； （14）《陕西省财政厅进一步落实政府采购支持中小企业相关政策的通知》（陕财办采〔2023〕3号）； （15）《陕西省财政厅关于加快推进我省中小企业政府采购信用融资工作的通知》（陕财办采〔2020〕15号）； （16）其他需执行的政府采购政策。 （三）为顺利推进政府采购电子化交易平台应用工作，供应商需要在线提交所有通过电子化交易平台实施的政府采购项目的响应文件，同时，线下提交纸质响应文件正本壹份、副本贰份、电子版文件U盘贰份。若电子响应文件与纸质响应文件不一致的，以电子响应文件为准；若正本和副本不符，以正本为准。响应文件正、副本分别各自装订成册密封。在封口处加盖供应商公章。 （四）纸质响应文件递交截止时间同在线递交电子响应文件截止时间一致。线下递交文件地点：陕西省西安市雁塔区科技西路绿地鸿海大厦A座1806室。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具有独立承担民事责任的能力：提供注册登记凭证（营业执照、其他组织经营的合法凭证，自然人的提供身份证明文件）。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具有良好的商业信誉和健全的财务会计制度：提供经审计的近三年任意一年财务报告（包括四表一注，即资产负债表、利润表、现金流量表、所有者权益变动表及其附注），且无反对意见；事业法人提供部门决算报告；/或在磋商日期前六个月内其基本开户银行出具的资信证明（附《基本存款账户信息》或《银行开户许可证》复印件）；/或财政部门认可的政府采购专业担保机构出具的磋商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具有履行合同所必需的设备和专业技术能力：提供声明文件原件。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具有依法缴纳税收的良好记录：提供缴费所属日期为磋商截止时间前12个月内任一月份（磋商截止时间当月不计入）的增值税（或所得税）缴费凭据或税务机关出具的完税证明/在法规范围内不需提供的应出具书面说明和证明文件；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具有依法缴纳社会保障资金的良好记录：提供缴费所属日期为磋商截止时间前12个月内任一月份（磋商截止时间当月不计入）的缴费凭据或社保机关出具的缴费证明/在法规范围内不需提供的应出具书面说明和证明文件；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法定代表人直接参加磋商的，须出具法定代表人身份证明书；法定代表人委托代理人参加磋商的，须出具法定代表人授权委托书及委托代理人身份证。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仅允许法人（总所）或其授权的一个分支机构（分所）前来投标，若法人（总所）和分支机构（分所）同时参与投标，或授权两个及以上的分支机构（分所）前来投标，其响应文件将均被视为无效。分支机构（分所）前来磋商需提供法人（总所）出具的授权函或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本项目不接受联合体磋商。投标供应商应提供《非联合体投标声明》，视为独立投标。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法定代表人授权委托书 中小企业声明函 商务应答表 供应商应提交的相关资格证明材料 报价表 响应文件封面 残疾人福利性单位声明函 供应商认为有必要提供的其他材料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法定代表人授权委托书 中小企业声明函 商务应答表 供应商应提交的相关资格证明材料 报价表 响应文件封面 残疾人福利性单位声明函 供应商认为有必要提供的其他材料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三处均无遗漏，且与所投项目名称、项目编号、包号（如有）一致。</w:t>
            </w:r>
          </w:p>
        </w:tc>
        <w:tc>
          <w:tcPr>
            <w:tcW w:type="dxa" w:w="1661"/>
          </w:tcPr>
          <w:p>
            <w:pPr>
              <w:pStyle w:val="null3"/>
            </w:pPr>
            <w:r>
              <w:rPr>
                <w:rFonts w:ascii="仿宋_GB2312" w:hAnsi="仿宋_GB2312" w:cs="仿宋_GB2312" w:eastAsia="仿宋_GB2312"/>
              </w:rPr>
              <w:t>服务内容及服务邀请应答表 法定代表人授权委托书 中小企业声明函 商务应答表 供应商应提交的相关资格证明材料 报价表 响应文件封面 残疾人福利性单位声明函 供应商认为有必要提供的其他材料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服务内容及服务邀请应答表 法定代表人授权委托书 中小企业声明函 商务应答表 供应商应提交的相关资格证明材料 报价表 响应文件封面 残疾人福利性单位声明函 供应商认为有必要提供的其他材料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完全理解接受磋商文件商务条款，并签署商务条款响应表。</w:t>
            </w:r>
          </w:p>
        </w:tc>
        <w:tc>
          <w:tcPr>
            <w:tcW w:type="dxa" w:w="1661"/>
          </w:tcPr>
          <w:p>
            <w:pPr>
              <w:pStyle w:val="null3"/>
            </w:pPr>
            <w:r>
              <w:rPr>
                <w:rFonts w:ascii="仿宋_GB2312" w:hAnsi="仿宋_GB2312" w:cs="仿宋_GB2312" w:eastAsia="仿宋_GB2312"/>
              </w:rPr>
              <w:t>服务内容及服务邀请应答表 法定代表人授权委托书 中小企业声明函 商务应答表 供应商应提交的相关资格证明材料 报价表 响应文件封面 残疾人福利性单位声明函 供应商认为有必要提供的其他材料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报价表</w:t>
            </w:r>
          </w:p>
        </w:tc>
        <w:tc>
          <w:tcPr>
            <w:tcW w:type="dxa" w:w="3322"/>
          </w:tcPr>
          <w:p>
            <w:pPr>
              <w:pStyle w:val="null3"/>
            </w:pPr>
            <w:r>
              <w:rPr>
                <w:rFonts w:ascii="仿宋_GB2312" w:hAnsi="仿宋_GB2312" w:cs="仿宋_GB2312" w:eastAsia="仿宋_GB2312"/>
              </w:rPr>
              <w:t>（1）报价表填写符合要求； （2）计量单位、报价货币均符合磋商文件要求； （3）未超出采购预算或磋商文件规定的最高限价。</w:t>
            </w:r>
          </w:p>
        </w:tc>
        <w:tc>
          <w:tcPr>
            <w:tcW w:type="dxa" w:w="1661"/>
          </w:tcPr>
          <w:p>
            <w:pPr>
              <w:pStyle w:val="null3"/>
            </w:pPr>
            <w:r>
              <w:rPr>
                <w:rFonts w:ascii="仿宋_GB2312" w:hAnsi="仿宋_GB2312" w:cs="仿宋_GB2312" w:eastAsia="仿宋_GB2312"/>
              </w:rPr>
              <w:t>服务内容及服务邀请应答表 法定代表人授权委托书 中小企业声明函 商务应答表 供应商应提交的相关资格证明材料 报价表 响应文件封面 残疾人福利性单位声明函 供应商认为有必要提供的其他材料 服务方案 标的清单 陕西省政府采购供应商拒绝政府采购领域商业贿赂承诺书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服务内容及服务邀请应答表 法定代表人授权委托书 中小企业声明函 商务应答表 供应商应提交的相关资格证明材料 报价表 响应文件封面 残疾人福利性单位声明函 供应商认为有必要提供的其他材料 服务方案 标的清单 陕西省政府采购供应商拒绝政府采购领域商业贿赂承诺书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由磋商小组综合评审，根据服务要求提供针对性强且科学完善的项目服务方案: 1.上门服务方案由磋商小组横向比较，综合评审按其响应程度计5分～0分。 2.现场开会服务方案由磋商小组横向比较，综合评审按其响应程度计5分～0分。 3.通讯作业服务方案由磋商小组横向比较，综合评审按其响应程度计5分～0分。 4.定期联系服务方案由磋商小组横向比较，综合评审按其响应程度计5分～0分。 5.意见汇报服务方案由磋商小组横向比较，综合评审按其响应程度计5分～0分。 6.现场回访服务方案由磋商小组横向比较，综合评审按其响应程度计5分～0分。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针对本项目质量保证措施方案，依据其可行性及完整性。 1.有具体可行的质量保证措施，方案具体、完整、可操作性强，10分～7分； 2.方案较完整，质量保证措施内容明确，可基本保证质量保证需求，根据响应情况得6.9分～3分； 3.方案有明显缺漏项，不能完全保证服务期内质量保证需求，可操作性较差，2.9分～0分。 以上要求内容未提供的，不得分。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1.供应商结合本项目要求，配备具备相关项目经验，服务小组技术力量配备合理从职业资格、职称、学工作年限，主攻方向、综合实力等配备情况，人员力量配备科学数量在10人以上根据响应情况得15分～10分； 2.供应商所配备相关服务人员基本满足本项目服务需求,服务人员素质较为一般,根据响应情况得9.9分～5分； 3.供应商所配备相关服务人员配备薄弱数量不足，架构简单，根据响应情况得4.9～0分；(以上内容需提供相关人员学历证书或职称证书原件或复印件，并提供人员在本单位缴纳社保证明或相关合作证明。) 4.服务小组成员有合理的分工安排，并有相应的督查措施，磋商小组横向比较，根据响应情况得0分～5分。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内控制度</w:t>
            </w:r>
          </w:p>
        </w:tc>
        <w:tc>
          <w:tcPr>
            <w:tcW w:type="dxa" w:w="2492"/>
          </w:tcPr>
          <w:p>
            <w:pPr>
              <w:pStyle w:val="null3"/>
            </w:pPr>
            <w:r>
              <w:rPr>
                <w:rFonts w:ascii="仿宋_GB2312" w:hAnsi="仿宋_GB2312" w:cs="仿宋_GB2312" w:eastAsia="仿宋_GB2312"/>
              </w:rPr>
              <w:t>供应商内部管理制度、人力管理、财务和案件管理办法等规章制度完善程度: 1.相关制度内容详细具体，针对性较强，满足磋商文件要求10分～6分； 2.内容详细，针对性一般，基本满足磋商文件要求得5.9分～3分； 3.内容简单或不全，针对性较薄弱，在项目实施过程中可能存在工作不到位得2.9分～0分。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1.供应商提供迅速响应采购人的承诺书，计3分。 2.服务进度安排合理，承诺能够在服务期限内按质按量高效完成采购人要求的服务，及时出具书面法律意见。 服务进度安排合理，及时高效得7分～5分； 服务进度安排一般，较为及时得4.9分～3分； 无服务进度安排或不及时得2.9分～0分。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供应商业绩</w:t>
            </w:r>
          </w:p>
        </w:tc>
        <w:tc>
          <w:tcPr>
            <w:tcW w:type="dxa" w:w="2492"/>
          </w:tcPr>
          <w:p>
            <w:pPr>
              <w:pStyle w:val="null3"/>
            </w:pPr>
            <w:r>
              <w:rPr>
                <w:rFonts w:ascii="仿宋_GB2312" w:hAnsi="仿宋_GB2312" w:cs="仿宋_GB2312" w:eastAsia="仿宋_GB2312"/>
              </w:rPr>
              <w:t>供应商2022年8月至今(以合同签订时间为准)，同类业绩每提供1份得2分，最高10分。 注：以合同复印件为准，并加盖供应商公章，原件备查。弄虚作假者取消其磋商、成交资格。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1.最低评审价为评审基准价，得10分。 2.按(评审基准价/评审价x10)的公式计算价格得分。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详见附件：供应商认为有必要提供的其他材料</w:t>
      </w:r>
    </w:p>
    <w:p>
      <w:pPr>
        <w:pStyle w:val="null3"/>
        <w:ind w:firstLine="960"/>
      </w:pPr>
      <w:r>
        <w:rPr>
          <w:rFonts w:ascii="仿宋_GB2312" w:hAnsi="仿宋_GB2312" w:cs="仿宋_GB2312" w:eastAsia="仿宋_GB2312"/>
        </w:rPr>
        <w:t>详见附件：法定代表人授权委托书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详见附件：服务合同-2025年度法律顾问服务.docx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