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版本号：LZBC2025-114620250815001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大数据智能化管理系统延续运维项目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LZBC2025-1146</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大数据智能化管理系统延续运维项目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LZBC2025-1146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大数据智能化管理系统延续运维项目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西安市公共资源交易中心信息化平台大数据分析系统自2021年投入使用，本次拟采购2025年度大数据分析系统运维服务，确保交易平台系统持续稳定运行。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5、履行合同所必需的设备和专业技术能力书面声明函：供应商应提供履行合同所必需的设备和专业技术能力书面声明函，供应商需在项目电子化交易系统中按要求上传相应证明文件并进行电子签章。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采购包1：339,312.00元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关于印发《招标代理服务收费管理暂行办法》的通知（计价〔2002〕1980号）、《国家发展和改革委员会办公厅关于招标代理服务收费有关问题的通知》（发改办价格〔2003〕857号）按照人民币陆仟元整收取。2、成交供应商在取得成交通知书时，向采购代理机构一次性缴付成交服务费。招标代理服务费以转账或现金形式缴纳至以下账户： 开户名称：龙寰项目管理咨询有限公司 开户银行：平安银行西安高新路支行 账号：30201278017350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联系人：胡敏、王申午</w:t>
      </w:r>
    </w:p>
    <w:p>
      <w:pPr>
        <w:pStyle w:val="null3"/>
      </w:pPr>
      <w:r>
        <w:rPr>
          <w:rFonts w:ascii="仿宋_GB2312" w:hAnsi="仿宋_GB2312" w:cs="仿宋_GB2312" w:eastAsia="仿宋_GB2312"/>
        </w:rPr>
        <w:t>联系电话：029-88228899-633</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西安市公共资源交易中心信息化平台大数据分析系统自2021年投入使用，本次拟采购2025年度大数据分析系统运维服务，确保交易平台系统持续稳定运行。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339,312.00</w:t>
      </w:r>
    </w:p>
    <w:p>
      <w:pPr>
        <w:pStyle w:val="null3"/>
      </w:pPr>
      <w:r>
        <w:rPr>
          <w:rFonts w:ascii="仿宋_GB2312" w:hAnsi="仿宋_GB2312" w:cs="仿宋_GB2312" w:eastAsia="仿宋_GB2312"/>
        </w:rPr>
        <w:t>采购包最高限价（元）: 339,312.00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大数据智能化管理系统延续运维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339,312.00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标的名称：大数据智能化管理系统延续运维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1、大数据智能化管理系统维护一期</w:t>
            </w:r>
          </w:p>
          <w:p>
            <w:pPr>
              <w:pStyle w:val="null3"/>
              <w:ind w:firstLine="422"/>
              <w:jc w:val="both"/>
            </w:pPr>
            <w:r>
              <w:rPr>
                <w:rFonts w:ascii="仿宋_GB2312" w:hAnsi="仿宋_GB2312" w:cs="仿宋_GB2312" w:eastAsia="仿宋_GB2312"/>
                <w:sz w:val="21"/>
                <w:b/>
              </w:rPr>
              <w:t>数据资源中心</w:t>
            </w:r>
          </w:p>
          <w:p>
            <w:pPr>
              <w:pStyle w:val="null3"/>
              <w:ind w:firstLine="420"/>
              <w:jc w:val="both"/>
            </w:pPr>
            <w:r>
              <w:rPr>
                <w:rFonts w:ascii="仿宋_GB2312" w:hAnsi="仿宋_GB2312" w:cs="仿宋_GB2312" w:eastAsia="仿宋_GB2312"/>
                <w:sz w:val="21"/>
              </w:rPr>
              <w:t>具体需要维护的内容需包括：数据采集加工、数据处理、数据存储、数据架构设计、数据仓库与数据集市、数据管理层、数据服务层。</w:t>
            </w:r>
          </w:p>
          <w:p>
            <w:pPr>
              <w:pStyle w:val="null3"/>
              <w:ind w:firstLine="422"/>
              <w:jc w:val="both"/>
            </w:pPr>
            <w:r>
              <w:rPr>
                <w:rFonts w:ascii="仿宋_GB2312" w:hAnsi="仿宋_GB2312" w:cs="仿宋_GB2312" w:eastAsia="仿宋_GB2312"/>
                <w:sz w:val="21"/>
                <w:b/>
              </w:rPr>
              <w:t>大数据可视化</w:t>
            </w:r>
          </w:p>
          <w:p>
            <w:pPr>
              <w:pStyle w:val="null3"/>
              <w:ind w:firstLine="420"/>
              <w:jc w:val="both"/>
            </w:pPr>
            <w:r>
              <w:rPr>
                <w:rFonts w:ascii="仿宋_GB2312" w:hAnsi="仿宋_GB2312" w:cs="仿宋_GB2312" w:eastAsia="仿宋_GB2312"/>
                <w:sz w:val="21"/>
              </w:rPr>
              <w:t>具体需要维护的内容需包括：交易一览图、交易时效分析、专家行为分析、交易行为分析、工程建设综合分析、政府采购。</w:t>
            </w:r>
          </w:p>
          <w:p>
            <w:pPr>
              <w:pStyle w:val="null3"/>
              <w:ind w:firstLine="422"/>
              <w:jc w:val="both"/>
            </w:pPr>
            <w:r>
              <w:rPr>
                <w:rFonts w:ascii="仿宋_GB2312" w:hAnsi="仿宋_GB2312" w:cs="仿宋_GB2312" w:eastAsia="仿宋_GB2312"/>
                <w:sz w:val="21"/>
                <w:b/>
              </w:rPr>
              <w:t>行政监督平台</w:t>
            </w:r>
          </w:p>
          <w:p>
            <w:pPr>
              <w:pStyle w:val="null3"/>
              <w:ind w:firstLine="420"/>
              <w:jc w:val="both"/>
            </w:pPr>
            <w:r>
              <w:rPr>
                <w:rFonts w:ascii="仿宋_GB2312" w:hAnsi="仿宋_GB2312" w:cs="仿宋_GB2312" w:eastAsia="仿宋_GB2312"/>
                <w:sz w:val="21"/>
              </w:rPr>
              <w:t>具体需要维护的内容需包括：交易异常监督、项目报警、报警点设置、交易全过程监控、视频监控。</w:t>
            </w:r>
          </w:p>
          <w:p>
            <w:pPr>
              <w:pStyle w:val="null3"/>
              <w:ind w:firstLine="422"/>
              <w:jc w:val="both"/>
            </w:pPr>
            <w:r>
              <w:rPr>
                <w:rFonts w:ascii="仿宋_GB2312" w:hAnsi="仿宋_GB2312" w:cs="仿宋_GB2312" w:eastAsia="仿宋_GB2312"/>
                <w:sz w:val="21"/>
                <w:b/>
              </w:rPr>
              <w:t>系统接口</w:t>
            </w:r>
          </w:p>
          <w:p>
            <w:pPr>
              <w:pStyle w:val="null3"/>
              <w:ind w:firstLine="420"/>
              <w:jc w:val="both"/>
            </w:pPr>
            <w:r>
              <w:rPr>
                <w:rFonts w:ascii="仿宋_GB2312" w:hAnsi="仿宋_GB2312" w:cs="仿宋_GB2312" w:eastAsia="仿宋_GB2312"/>
                <w:sz w:val="21"/>
              </w:rPr>
              <w:t>具体需要维护的内容需包括：与</w:t>
            </w:r>
            <w:r>
              <w:rPr>
                <w:rFonts w:ascii="仿宋_GB2312" w:hAnsi="仿宋_GB2312" w:cs="仿宋_GB2312" w:eastAsia="仿宋_GB2312"/>
                <w:sz w:val="21"/>
              </w:rPr>
              <w:t>建设工程交易</w:t>
            </w:r>
            <w:r>
              <w:rPr>
                <w:rFonts w:ascii="仿宋_GB2312" w:hAnsi="仿宋_GB2312" w:cs="仿宋_GB2312" w:eastAsia="仿宋_GB2312"/>
                <w:sz w:val="21"/>
              </w:rPr>
              <w:t>系统</w:t>
            </w:r>
            <w:r>
              <w:rPr>
                <w:rFonts w:ascii="仿宋_GB2312" w:hAnsi="仿宋_GB2312" w:cs="仿宋_GB2312" w:eastAsia="仿宋_GB2312"/>
                <w:sz w:val="21"/>
              </w:rPr>
              <w:t>对接</w:t>
            </w:r>
            <w:r>
              <w:rPr>
                <w:rFonts w:ascii="仿宋_GB2312" w:hAnsi="仿宋_GB2312" w:cs="仿宋_GB2312" w:eastAsia="仿宋_GB2312"/>
                <w:sz w:val="21"/>
              </w:rPr>
              <w:t>、与</w:t>
            </w:r>
            <w:r>
              <w:rPr>
                <w:rFonts w:ascii="仿宋_GB2312" w:hAnsi="仿宋_GB2312" w:cs="仿宋_GB2312" w:eastAsia="仿宋_GB2312"/>
                <w:sz w:val="21"/>
              </w:rPr>
              <w:t>音视频见证系统对接</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、大数据智能化管理系统维护二期</w:t>
            </w:r>
          </w:p>
          <w:p>
            <w:pPr>
              <w:pStyle w:val="null3"/>
              <w:ind w:firstLine="422"/>
              <w:jc w:val="both"/>
            </w:pPr>
            <w:r>
              <w:rPr>
                <w:rFonts w:ascii="仿宋_GB2312" w:hAnsi="仿宋_GB2312" w:cs="仿宋_GB2312" w:eastAsia="仿宋_GB2312"/>
                <w:sz w:val="21"/>
                <w:b/>
              </w:rPr>
              <w:t>数据服务</w:t>
            </w:r>
          </w:p>
          <w:p>
            <w:pPr>
              <w:pStyle w:val="null3"/>
              <w:ind w:firstLine="420"/>
              <w:jc w:val="both"/>
            </w:pPr>
            <w:r>
              <w:rPr>
                <w:rFonts w:ascii="仿宋_GB2312" w:hAnsi="仿宋_GB2312" w:cs="仿宋_GB2312" w:eastAsia="仿宋_GB2312"/>
                <w:sz w:val="21"/>
              </w:rPr>
              <w:t>具体需要维护的内容需包括：工程建设招投标综合分析</w:t>
            </w:r>
            <w:r>
              <w:rPr>
                <w:rFonts w:ascii="仿宋_GB2312" w:hAnsi="仿宋_GB2312" w:cs="仿宋_GB2312" w:eastAsia="仿宋_GB2312"/>
                <w:sz w:val="21"/>
              </w:rPr>
              <w:t>政府采购综合分析</w:t>
            </w:r>
            <w:r>
              <w:rPr>
                <w:rFonts w:ascii="仿宋_GB2312" w:hAnsi="仿宋_GB2312" w:cs="仿宋_GB2312" w:eastAsia="仿宋_GB2312"/>
                <w:sz w:val="21"/>
              </w:rPr>
              <w:t>国有土地使用权转让综合分析</w:t>
            </w:r>
            <w:r>
              <w:rPr>
                <w:rFonts w:ascii="仿宋_GB2312" w:hAnsi="仿宋_GB2312" w:cs="仿宋_GB2312" w:eastAsia="仿宋_GB2312"/>
                <w:sz w:val="21"/>
              </w:rPr>
              <w:t>矿业权转让综合分析</w:t>
            </w:r>
            <w:r>
              <w:rPr>
                <w:rFonts w:ascii="仿宋_GB2312" w:hAnsi="仿宋_GB2312" w:cs="仿宋_GB2312" w:eastAsia="仿宋_GB2312"/>
                <w:sz w:val="21"/>
              </w:rPr>
              <w:t>国有产权交易综合分析。</w:t>
            </w:r>
          </w:p>
          <w:p>
            <w:pPr>
              <w:pStyle w:val="null3"/>
              <w:ind w:firstLine="422"/>
              <w:jc w:val="both"/>
            </w:pPr>
            <w:r>
              <w:rPr>
                <w:rFonts w:ascii="仿宋_GB2312" w:hAnsi="仿宋_GB2312" w:cs="仿宋_GB2312" w:eastAsia="仿宋_GB2312"/>
                <w:sz w:val="21"/>
                <w:b/>
              </w:rPr>
              <w:t>数据治理</w:t>
            </w:r>
          </w:p>
          <w:p>
            <w:pPr>
              <w:pStyle w:val="null3"/>
              <w:ind w:firstLine="420"/>
              <w:jc w:val="both"/>
            </w:pPr>
            <w:r>
              <w:rPr>
                <w:rFonts w:ascii="仿宋_GB2312" w:hAnsi="仿宋_GB2312" w:cs="仿宋_GB2312" w:eastAsia="仿宋_GB2312"/>
                <w:sz w:val="21"/>
              </w:rPr>
              <w:t>具体需要维护的内容需包括：交易主体行为分析、投标异常分析、投标异常分析、投标异常分析、中标异常分析。</w:t>
            </w:r>
          </w:p>
          <w:p>
            <w:pPr>
              <w:pStyle w:val="null3"/>
              <w:ind w:firstLine="422"/>
              <w:jc w:val="both"/>
            </w:pPr>
            <w:r>
              <w:rPr>
                <w:rFonts w:ascii="仿宋_GB2312" w:hAnsi="仿宋_GB2312" w:cs="仿宋_GB2312" w:eastAsia="仿宋_GB2312"/>
                <w:sz w:val="21"/>
                <w:b/>
              </w:rPr>
              <w:t>数据决策</w:t>
            </w:r>
          </w:p>
          <w:p>
            <w:pPr>
              <w:pStyle w:val="null3"/>
              <w:ind w:firstLine="420"/>
              <w:jc w:val="both"/>
            </w:pPr>
            <w:r>
              <w:rPr>
                <w:rFonts w:ascii="仿宋_GB2312" w:hAnsi="仿宋_GB2312" w:cs="仿宋_GB2312" w:eastAsia="仿宋_GB2312"/>
                <w:sz w:val="21"/>
              </w:rPr>
              <w:t>具体需要维护的内容需包括：市场主体风险、市场主体关系图谱。</w:t>
            </w:r>
          </w:p>
          <w:p>
            <w:pPr>
              <w:pStyle w:val="null3"/>
              <w:ind w:firstLine="420"/>
              <w:jc w:val="both"/>
            </w:pPr>
            <w:r>
              <w:rPr>
                <w:rFonts w:ascii="仿宋_GB2312" w:hAnsi="仿宋_GB2312" w:cs="仿宋_GB2312" w:eastAsia="仿宋_GB2312"/>
                <w:sz w:val="21"/>
                <w:color w:val="000000"/>
              </w:rPr>
              <w:t>注：包括但不限于以上运维内容，以具体系统为准。同时投标人应在投标书中补充提供每个标段中所涉及相关系统按用户角色分类所包含的所有功能模块。</w:t>
            </w:r>
          </w:p>
          <w:p>
            <w:pPr>
              <w:pStyle w:val="null3"/>
              <w:ind w:firstLine="420"/>
              <w:jc w:val="both"/>
            </w:pPr>
            <w:r>
              <w:rPr>
                <w:rFonts w:ascii="仿宋_GB2312" w:hAnsi="仿宋_GB2312" w:cs="仿宋_GB2312" w:eastAsia="仿宋_GB2312"/>
                <w:sz w:val="21"/>
              </w:rPr>
              <w:t>（二）运维区域</w:t>
            </w:r>
          </w:p>
          <w:p>
            <w:pPr>
              <w:pStyle w:val="null3"/>
              <w:ind w:firstLine="420"/>
              <w:jc w:val="both"/>
            </w:pPr>
            <w:r>
              <w:rPr>
                <w:rFonts w:ascii="仿宋_GB2312" w:hAnsi="仿宋_GB2312" w:cs="仿宋_GB2312" w:eastAsia="仿宋_GB2312"/>
                <w:sz w:val="21"/>
              </w:rPr>
              <w:t>西安市公共资源交易中心（西安市经济技术开发区文景路</w:t>
            </w:r>
            <w:r>
              <w:rPr>
                <w:rFonts w:ascii="仿宋_GB2312" w:hAnsi="仿宋_GB2312" w:cs="仿宋_GB2312" w:eastAsia="仿宋_GB2312"/>
                <w:sz w:val="21"/>
              </w:rPr>
              <w:t>16号白桦林国际B座1-11层）</w:t>
            </w:r>
          </w:p>
          <w:p>
            <w:pPr>
              <w:pStyle w:val="null3"/>
              <w:ind w:left="420"/>
              <w:jc w:val="both"/>
            </w:pPr>
            <w:r>
              <w:rPr>
                <w:rFonts w:ascii="仿宋_GB2312" w:hAnsi="仿宋_GB2312" w:cs="仿宋_GB2312" w:eastAsia="仿宋_GB2312"/>
                <w:sz w:val="21"/>
                <w:b/>
              </w:rPr>
              <w:t>三、技术要求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供应商完全响应本项目的服务内容。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驻场运维人员要求</w:t>
            </w:r>
          </w:p>
          <w:p>
            <w:pPr>
              <w:pStyle w:val="null3"/>
              <w:ind w:left="135" w:firstLine="420"/>
              <w:jc w:val="both"/>
            </w:pPr>
            <w:r>
              <w:rPr>
                <w:rFonts w:ascii="仿宋_GB2312" w:hAnsi="仿宋_GB2312" w:cs="仿宋_GB2312" w:eastAsia="仿宋_GB2312"/>
                <w:sz w:val="21"/>
              </w:rPr>
              <w:t>驻场运维人员：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0"/>
              </w:rPr>
              <w:t>驻场实施人员应具有两年以上的现场运维实施工作经验（提供证明材料，包括但不限于业绩，从业证明，相关证书）。</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、具备交易系统实施、维护和排障的能力，能够快速诊断故障，提出解决方案。</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、熟悉公共资源交易的业务流程、掌握系统与业务之间的联系，熟练使用基于交易平台相关系统的应用软件。</w:t>
            </w:r>
          </w:p>
          <w:p>
            <w:pPr>
              <w:pStyle w:val="null3"/>
              <w:ind w:firstLine="420"/>
              <w:jc w:val="both"/>
            </w:pPr>
            <w:r>
              <w:rPr>
                <w:rFonts w:ascii="仿宋_GB2312" w:hAnsi="仿宋_GB2312" w:cs="仿宋_GB2312" w:eastAsia="仿宋_GB2312"/>
                <w:sz w:val="21"/>
              </w:rPr>
              <w:t>4、掌握数据库的设计、维护和优化等技术，掌握应用程序测试的方法和技巧，能够对应用程序进行全面的测试和维护。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基础要求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1）必备资料要求</w:t>
            </w:r>
          </w:p>
          <w:p>
            <w:pPr>
              <w:pStyle w:val="null3"/>
              <w:ind w:firstLine="420"/>
              <w:jc w:val="both"/>
            </w:pPr>
            <w:r>
              <w:rPr>
                <w:rFonts w:ascii="仿宋_GB2312" w:hAnsi="仿宋_GB2312" w:cs="仿宋_GB2312" w:eastAsia="仿宋_GB2312"/>
                <w:sz w:val="21"/>
              </w:rPr>
              <w:t>成交供应商须梳理运维过程中代理机构及招投标单位所遇到的相关问题，并整理成对应的问答文档（具体文档内容以采购人实际工作要求为准）。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2）数据保障要求</w:t>
            </w:r>
          </w:p>
          <w:p>
            <w:pPr>
              <w:pStyle w:val="null3"/>
              <w:ind w:firstLine="420"/>
              <w:jc w:val="both"/>
            </w:pPr>
            <w:r>
              <w:rPr>
                <w:rFonts w:ascii="仿宋_GB2312" w:hAnsi="仿宋_GB2312" w:cs="仿宋_GB2312" w:eastAsia="仿宋_GB2312"/>
                <w:sz w:val="21"/>
              </w:rPr>
              <w:t>在采购人提供相应条件前提下，成交供应商应当能够配合建立异地容灾备份系统和相关工作机制，并根据实际存储能力，提供相对应的数据备份方案，做到数据每日备份，保证重要数据在受到破坏后，可紧急恢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3）巡检要求</w:t>
            </w:r>
          </w:p>
          <w:p>
            <w:pPr>
              <w:pStyle w:val="null3"/>
              <w:ind w:firstLine="420"/>
              <w:jc w:val="both"/>
            </w:pPr>
            <w:r>
              <w:rPr>
                <w:rFonts w:ascii="仿宋_GB2312" w:hAnsi="仿宋_GB2312" w:cs="仿宋_GB2312" w:eastAsia="仿宋_GB2312"/>
                <w:sz w:val="21"/>
              </w:rPr>
              <w:t>成交供应商应对软件平台提供日常巡检，每天进行应用系统健康状态检查。日常巡检表包含（日常巡检表以实际工作为基准）：</w:t>
            </w:r>
          </w:p>
          <w:p>
            <w:pPr>
              <w:pStyle w:val="null3"/>
              <w:ind w:firstLine="420"/>
              <w:jc w:val="both"/>
            </w:pPr>
            <w:r>
              <w:rPr>
                <w:rFonts w:ascii="仿宋_GB2312" w:hAnsi="仿宋_GB2312" w:cs="仿宋_GB2312" w:eastAsia="仿宋_GB2312"/>
                <w:sz w:val="21"/>
              </w:rPr>
              <w:t>①系统登录状态核查。</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数据库应用量变化。</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数据备份是否正常。</w:t>
            </w:r>
          </w:p>
          <w:p>
            <w:pPr>
              <w:pStyle w:val="null3"/>
              <w:ind w:firstLine="420"/>
              <w:jc w:val="both"/>
            </w:pPr>
            <w:r>
              <w:rPr>
                <w:rFonts w:ascii="仿宋_GB2312" w:hAnsi="仿宋_GB2312" w:cs="仿宋_GB2312" w:eastAsia="仿宋_GB2312"/>
                <w:sz w:val="21"/>
              </w:rPr>
              <w:t>包含但不限于以上内容，需每日下午下班前巡检，保证第二天系统正常使用。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4）风险评估要求</w:t>
            </w:r>
          </w:p>
          <w:p>
            <w:pPr>
              <w:pStyle w:val="null3"/>
              <w:ind w:firstLine="420"/>
              <w:jc w:val="both"/>
            </w:pPr>
            <w:r>
              <w:rPr>
                <w:rFonts w:ascii="仿宋_GB2312" w:hAnsi="仿宋_GB2312" w:cs="仿宋_GB2312" w:eastAsia="仿宋_GB2312"/>
                <w:sz w:val="21"/>
              </w:rPr>
              <w:t>成交供应商需每六个月对应用系统进行一次风险评估，并形成风险评估报告。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应急处理要求</w:t>
            </w:r>
          </w:p>
          <w:p>
            <w:pPr>
              <w:pStyle w:val="null3"/>
              <w:ind w:firstLine="420"/>
              <w:jc w:val="both"/>
            </w:pPr>
            <w:r>
              <w:rPr>
                <w:rFonts w:ascii="仿宋_GB2312" w:hAnsi="仿宋_GB2312" w:cs="仿宋_GB2312" w:eastAsia="仿宋_GB2312"/>
                <w:sz w:val="21"/>
              </w:rPr>
              <w:t>成交供应商需提供突发事件应急响应预案和异常情况处理解决方案。突发事件和应急处理方案，包括具体现场的应急处理、备份与恢复策略、针对各类可能情况的应急措施、相关应急处理报告与总结内容。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驻场人员运维服务要求</w:t>
            </w:r>
          </w:p>
          <w:p>
            <w:pPr>
              <w:pStyle w:val="null3"/>
              <w:ind w:firstLine="420"/>
              <w:jc w:val="both"/>
            </w:pPr>
            <w:r>
              <w:rPr>
                <w:rFonts w:ascii="仿宋_GB2312" w:hAnsi="仿宋_GB2312" w:cs="仿宋_GB2312" w:eastAsia="仿宋_GB2312"/>
                <w:sz w:val="21"/>
              </w:rPr>
              <w:t>所有驻场人员在西安市交易场地面向平台所有使用对象提供全面的技术服务支持工作，确保系统的稳定安全运行。</w:t>
            </w:r>
          </w:p>
          <w:p>
            <w:pPr>
              <w:pStyle w:val="null3"/>
              <w:ind w:firstLine="420"/>
              <w:jc w:val="both"/>
            </w:pPr>
            <w:r>
              <w:rPr>
                <w:rFonts w:ascii="仿宋_GB2312" w:hAnsi="仿宋_GB2312" w:cs="仿宋_GB2312" w:eastAsia="仿宋_GB2312"/>
                <w:sz w:val="21"/>
              </w:rPr>
              <w:t>驻场人员需承担服务内容包括：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1）现场开标环节的技术保障。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2）现场评标环节的技术保障。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3）招标人使用过程中遇到问题的处理。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4）投标人使用过程中遇到问题的现场处理。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）系统使用方技术培训工作。</w:t>
            </w:r>
          </w:p>
          <w:p>
            <w:pPr>
              <w:pStyle w:val="null3"/>
              <w:ind w:left="135" w:firstLine="420"/>
              <w:jc w:val="both"/>
            </w:pPr>
            <w:r>
              <w:rPr>
                <w:rFonts w:ascii="仿宋_GB2312" w:hAnsi="仿宋_GB2312" w:cs="仿宋_GB2312" w:eastAsia="仿宋_GB2312"/>
                <w:sz w:val="21"/>
              </w:rPr>
              <w:t>（</w:t>
            </w:r>
            <w:r>
              <w:rPr>
                <w:rFonts w:ascii="仿宋_GB2312" w:hAnsi="仿宋_GB2312" w:cs="仿宋_GB2312" w:eastAsia="仿宋_GB2312"/>
                <w:sz w:val="21"/>
              </w:rPr>
              <w:t>6）成交供应商须保障现有数据接口正常使用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）其他采购人要求的系统相关服务工作。</w:t>
            </w:r>
          </w:p>
          <w:p>
            <w:pPr>
              <w:pStyle w:val="null3"/>
              <w:ind w:firstLine="420"/>
              <w:jc w:val="both"/>
            </w:pPr>
            <w:r>
              <w:rPr>
                <w:rFonts w:ascii="仿宋_GB2312" w:hAnsi="仿宋_GB2312" w:cs="仿宋_GB2312" w:eastAsia="仿宋_GB2312"/>
                <w:sz w:val="21"/>
              </w:rPr>
              <w:t>（六）特殊要求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、成交供应商须提供与正式系统一致的业务测试系统，除部署环境外功能及流程的应与正式系统一致。要求做到新项目测试模块只能在测试系统进行，正式系统不可测试相关内容。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、成交供应商须提供业务系统的操作学习视频，并根据实际情况，更新学习视频。操作视频中须进行功能模块说明，保证招标代理和招投标人可通过学习视频，操作相关业务。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、成交供应商须按计划向采购人提供业务培训，包含业务功能培训、故障排查、系统部署等，保障紧急情况下，采购人有能力重启业务系统，保证系统运行。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0"/>
              </w:rPr>
              <w:t>成交供应商应向采购人承诺在服务期内提供至少</w:t>
            </w:r>
            <w:r>
              <w:rPr>
                <w:rFonts w:ascii="仿宋_GB2312" w:hAnsi="仿宋_GB2312" w:cs="仿宋_GB2312" w:eastAsia="仿宋_GB2312"/>
                <w:sz w:val="20"/>
              </w:rPr>
              <w:t>240工时的新增功能模块研发，新增功能工时计算由成交供应商与采购人协商确定（提供承诺）。</w:t>
            </w:r>
          </w:p>
          <w:p>
            <w:pPr>
              <w:pStyle w:val="null3"/>
              <w:ind w:firstLine="420"/>
              <w:jc w:val="both"/>
            </w:pPr>
            <w:r>
              <w:rPr>
                <w:rFonts w:ascii="仿宋_GB2312" w:hAnsi="仿宋_GB2312" w:cs="仿宋_GB2312" w:eastAsia="仿宋_GB2312"/>
                <w:sz w:val="21"/>
              </w:rPr>
              <w:t>5、成交供应商应在中标之后完成系统政治敏感词库升级，并向采购人提供政治敏感词库列表。</w:t>
            </w:r>
          </w:p>
          <w:p>
            <w:pPr>
              <w:pStyle w:val="null3"/>
              <w:ind w:left="420"/>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人员配置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本项目要求至少配备驻场项目经理1名、驻场运维人员2名。须提供项目经理、驻场运维人员的相关资料，包括姓名、联系方式。供应商需提供近三个月为驻场项目经理缴存社保的单据或工资发放转账记录（工资委托银行代发的，提供个人工资入账截图）</w:t>
            </w:r>
            <w:r>
              <w:rPr>
                <w:rFonts w:ascii="仿宋_GB2312" w:hAnsi="仿宋_GB2312" w:cs="仿宋_GB2312" w:eastAsia="仿宋_GB2312"/>
                <w:sz w:val="21"/>
              </w:rPr>
              <w:t>（</w:t>
            </w:r>
            <w:r>
              <w:rPr>
                <w:rFonts w:ascii="仿宋_GB2312" w:hAnsi="仿宋_GB2312" w:cs="仿宋_GB2312" w:eastAsia="仿宋_GB2312"/>
                <w:sz w:val="21"/>
              </w:rPr>
              <w:t>需提供证明材料）。</w:t>
            </w:r>
          </w:p>
          <w:p>
            <w:pPr>
              <w:pStyle w:val="null3"/>
              <w:ind w:firstLine="420"/>
              <w:jc w:val="both"/>
            </w:pPr>
            <w:r>
              <w:rPr>
                <w:rFonts w:ascii="仿宋_GB2312" w:hAnsi="仿宋_GB2312" w:cs="仿宋_GB2312" w:eastAsia="仿宋_GB2312"/>
                <w:sz w:val="21"/>
              </w:rPr>
              <w:t>2、成交供应商应在投标书中注明驻场人员名单，实际驻场服务人员应是驻场名单中实际工作人员，不得随意更换人员名单。</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、为采购人提供每周</w:t>
            </w:r>
            <w:r>
              <w:rPr>
                <w:rFonts w:ascii="仿宋_GB2312" w:hAnsi="仿宋_GB2312" w:cs="仿宋_GB2312" w:eastAsia="仿宋_GB2312"/>
                <w:sz w:val="21"/>
              </w:rPr>
              <w:t>5×9小时驻场服务（直至项目正常评审结束），保障软件系统稳定运行，并根据采购人的工作需要，安排夜班、重大活动、节假日的保障值守。</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、为保证驻场运维人员的稳定，供应商无特殊原因不得更换驻场运维人员（包括项目经理、运维人员），人员更换应至少提前</w:t>
            </w:r>
            <w:r>
              <w:rPr>
                <w:rFonts w:ascii="仿宋_GB2312" w:hAnsi="仿宋_GB2312" w:cs="仿宋_GB2312" w:eastAsia="仿宋_GB2312"/>
                <w:sz w:val="21"/>
              </w:rPr>
              <w:t>10个工作日将变更计划以书面形式通知采购人，征得采购人同意后方可进行调整（采购人要求更换的除外）。</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、驻场运维人员须服从采购人的管理，遵守采购人的考勤制度，无特殊原因不得擅自离岗，离岗须经采购人同意。</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、运维驻场人员须佩戴工作牌，在做好运维工作之余，配合完成采购人安排的临时任务。</w:t>
            </w:r>
          </w:p>
          <w:p>
            <w:pPr>
              <w:pStyle w:val="null3"/>
              <w:ind w:firstLine="422"/>
              <w:jc w:val="both"/>
            </w:pPr>
            <w:r>
              <w:rPr>
                <w:rFonts w:ascii="仿宋_GB2312" w:hAnsi="仿宋_GB2312" w:cs="仿宋_GB2312" w:eastAsia="仿宋_GB2312"/>
                <w:sz w:val="21"/>
                <w:b/>
              </w:rPr>
              <w:t>备注：</w:t>
            </w:r>
            <w:r>
              <w:rPr>
                <w:rFonts w:ascii="仿宋_GB2312" w:hAnsi="仿宋_GB2312" w:cs="仿宋_GB2312" w:eastAsia="仿宋_GB2312"/>
                <w:sz w:val="21"/>
              </w:rPr>
              <w:t>上述第</w:t>
            </w:r>
            <w:r>
              <w:rPr>
                <w:rFonts w:ascii="仿宋_GB2312" w:hAnsi="仿宋_GB2312" w:cs="仿宋_GB2312" w:eastAsia="仿宋_GB2312"/>
                <w:sz w:val="21"/>
              </w:rPr>
              <w:t>4条驻场运维人员驻场后3个月内不得更换，3个月以后按条款内容执行</w:t>
            </w:r>
          </w:p>
          <w:p>
            <w:pPr>
              <w:pStyle w:val="null3"/>
              <w:ind w:firstLine="420"/>
              <w:jc w:val="both"/>
            </w:pPr>
            <w:r>
              <w:rPr>
                <w:rFonts w:ascii="仿宋_GB2312" w:hAnsi="仿宋_GB2312" w:cs="仿宋_GB2312" w:eastAsia="仿宋_GB2312"/>
                <w:sz w:val="21"/>
              </w:rPr>
              <w:t>（二）服务标准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、日常巡检。每天巡查系统运行状态，并与采购人沟通系统使用情况，发现问题，及时解决处理，按月提交日常巡检记录表，由采购人进行确认。</w:t>
            </w:r>
          </w:p>
          <w:p>
            <w:pPr>
              <w:pStyle w:val="null3"/>
              <w:ind w:firstLine="420"/>
              <w:jc w:val="both"/>
            </w:pPr>
            <w:r>
              <w:rPr>
                <w:rFonts w:ascii="仿宋_GB2312" w:hAnsi="仿宋_GB2312" w:cs="仿宋_GB2312" w:eastAsia="仿宋_GB2312"/>
                <w:sz w:val="21"/>
              </w:rPr>
              <w:t>2、日常事务处理登记。成交供应商应提供日常事务处理登记表，注明事务日期、问题描述、处理方法、处理状态等，由供应商和采购人双方签字确认。</w:t>
            </w:r>
          </w:p>
          <w:p>
            <w:pPr>
              <w:pStyle w:val="null3"/>
              <w:ind w:firstLine="420"/>
              <w:jc w:val="both"/>
            </w:pPr>
            <w:r>
              <w:rPr>
                <w:rFonts w:ascii="仿宋_GB2312" w:hAnsi="仿宋_GB2312" w:cs="仿宋_GB2312" w:eastAsia="仿宋_GB2312"/>
                <w:sz w:val="21"/>
              </w:rPr>
              <w:t>3、节日保障。逢春节、五一、国庆等重大节日，驻</w:t>
            </w:r>
            <w:r>
              <w:rPr>
                <w:rFonts w:ascii="仿宋_GB2312" w:hAnsi="仿宋_GB2312" w:cs="仿宋_GB2312" w:eastAsia="仿宋_GB2312"/>
                <w:sz w:val="21"/>
                <w:color w:val="000000"/>
              </w:rPr>
              <w:t>场运维人</w:t>
            </w:r>
            <w:r>
              <w:rPr>
                <w:rFonts w:ascii="仿宋_GB2312" w:hAnsi="仿宋_GB2312" w:cs="仿宋_GB2312" w:eastAsia="仿宋_GB2312"/>
                <w:sz w:val="21"/>
              </w:rPr>
              <w:t>员于节前最后一天、节日最后一天，对软件系统各进行一次全面巡查并做好巡查结果记录。</w:t>
            </w:r>
          </w:p>
          <w:p>
            <w:pPr>
              <w:pStyle w:val="null3"/>
              <w:ind w:firstLine="420"/>
              <w:jc w:val="both"/>
            </w:pPr>
            <w:r>
              <w:rPr>
                <w:rFonts w:ascii="仿宋_GB2312" w:hAnsi="仿宋_GB2312" w:cs="仿宋_GB2312" w:eastAsia="仿宋_GB2312"/>
                <w:sz w:val="21"/>
              </w:rPr>
              <w:t>5、运维报告。每半年向采购人提交一次运维报告，针对所运维的软件系统提出隐患提醒和合理化建议。</w:t>
            </w:r>
          </w:p>
          <w:p>
            <w:pPr>
              <w:pStyle w:val="null3"/>
              <w:ind w:firstLine="420"/>
              <w:jc w:val="both"/>
            </w:pPr>
            <w:r>
              <w:rPr>
                <w:rFonts w:ascii="仿宋_GB2312" w:hAnsi="仿宋_GB2312" w:cs="仿宋_GB2312" w:eastAsia="仿宋_GB2312"/>
                <w:sz w:val="21"/>
              </w:rPr>
              <w:t>6、系统文档更新。成交供应商需根据运维情况及时更新系统操作文档、设计说明书、需求说明书、软件部署操作文档、数据库文档、A</w:t>
            </w:r>
            <w:r>
              <w:rPr>
                <w:rFonts w:ascii="仿宋_GB2312" w:hAnsi="仿宋_GB2312" w:cs="仿宋_GB2312" w:eastAsia="仿宋_GB2312"/>
                <w:sz w:val="21"/>
              </w:rPr>
              <w:t>PI</w:t>
            </w:r>
            <w:r>
              <w:rPr>
                <w:rFonts w:ascii="仿宋_GB2312" w:hAnsi="仿宋_GB2312" w:cs="仿宋_GB2312" w:eastAsia="仿宋_GB2312"/>
                <w:sz w:val="21"/>
              </w:rPr>
              <w:t>接口、源代码等系统文件，同时，成交供应商应按正式系统上线频率，提供对应更新电子文档。服务期满项目验收前提供最终电子文档与纸质档案。</w:t>
            </w:r>
          </w:p>
          <w:p>
            <w:pPr>
              <w:pStyle w:val="null3"/>
              <w:ind w:firstLine="420"/>
              <w:jc w:val="both"/>
            </w:pPr>
            <w:r>
              <w:rPr>
                <w:rFonts w:ascii="仿宋_GB2312" w:hAnsi="仿宋_GB2312" w:cs="仿宋_GB2312" w:eastAsia="仿宋_GB2312"/>
                <w:sz w:val="21"/>
              </w:rPr>
              <w:t>7、服务方式。驻场服务以外的时段，提供2</w:t>
            </w:r>
            <w:r>
              <w:rPr>
                <w:rFonts w:ascii="仿宋_GB2312" w:hAnsi="仿宋_GB2312" w:cs="仿宋_GB2312" w:eastAsia="仿宋_GB2312"/>
                <w:sz w:val="21"/>
              </w:rPr>
              <w:t>4</w:t>
            </w:r>
            <w:r>
              <w:rPr>
                <w:rFonts w:ascii="仿宋_GB2312" w:hAnsi="仿宋_GB2312" w:cs="仿宋_GB2312" w:eastAsia="仿宋_GB2312"/>
                <w:sz w:val="21"/>
              </w:rPr>
              <w:t>小时技术热线支持，特殊情况根据采购人需要进行现场技术支持。服务方式包括但不限于电话服务、在线人工服务、远程服务。</w:t>
            </w:r>
          </w:p>
          <w:p>
            <w:pPr>
              <w:pStyle w:val="null3"/>
              <w:ind w:firstLine="420"/>
              <w:jc w:val="both"/>
            </w:pPr>
            <w:r>
              <w:rPr>
                <w:rFonts w:ascii="仿宋_GB2312" w:hAnsi="仿宋_GB2312" w:cs="仿宋_GB2312" w:eastAsia="仿宋_GB2312"/>
                <w:sz w:val="21"/>
              </w:rPr>
              <w:t>（三）排障时限</w:t>
            </w:r>
          </w:p>
          <w:p>
            <w:pPr>
              <w:pStyle w:val="null3"/>
              <w:ind w:firstLine="420"/>
              <w:jc w:val="both"/>
            </w:pPr>
            <w:r>
              <w:rPr>
                <w:rFonts w:ascii="仿宋_GB2312" w:hAnsi="仿宋_GB2312" w:cs="仿宋_GB2312" w:eastAsia="仿宋_GB2312"/>
                <w:sz w:val="21"/>
              </w:rPr>
              <w:t>故障事件等级划分：</w:t>
            </w:r>
            <w:r>
              <w:rPr>
                <w:rFonts w:ascii="仿宋_GB2312" w:hAnsi="仿宋_GB2312" w:cs="仿宋_GB2312" w:eastAsia="仿宋_GB2312"/>
                <w:sz w:val="21"/>
              </w:rPr>
              <w:t>S1级、S2级、S3级。</w:t>
            </w:r>
          </w:p>
          <w:p>
            <w:pPr>
              <w:pStyle w:val="null3"/>
              <w:ind w:firstLine="420"/>
              <w:jc w:val="both"/>
            </w:pPr>
            <w:r>
              <w:rPr>
                <w:rFonts w:ascii="仿宋_GB2312" w:hAnsi="仿宋_GB2312" w:cs="仿宋_GB2312" w:eastAsia="仿宋_GB2312"/>
                <w:sz w:val="21"/>
              </w:rPr>
              <w:t>S1级：实时业务系统中断，全部用户无法访问。</w:t>
            </w:r>
          </w:p>
          <w:p>
            <w:pPr>
              <w:pStyle w:val="null3"/>
              <w:ind w:firstLine="420"/>
              <w:jc w:val="both"/>
            </w:pPr>
            <w:r>
              <w:rPr>
                <w:rFonts w:ascii="仿宋_GB2312" w:hAnsi="仿宋_GB2312" w:cs="仿宋_GB2312" w:eastAsia="仿宋_GB2312"/>
                <w:sz w:val="21"/>
              </w:rPr>
              <w:t>S2级：实时业务系统出现性能下降、非实时业务系统业务中断、部分用户无法访问。</w:t>
            </w:r>
          </w:p>
          <w:p>
            <w:pPr>
              <w:pStyle w:val="null3"/>
              <w:ind w:firstLine="420"/>
              <w:jc w:val="both"/>
            </w:pPr>
            <w:r>
              <w:rPr>
                <w:rFonts w:ascii="仿宋_GB2312" w:hAnsi="仿宋_GB2312" w:cs="仿宋_GB2312" w:eastAsia="仿宋_GB2312"/>
                <w:sz w:val="21"/>
              </w:rPr>
              <w:t>S3级：个别用户不能访问服务、部分用户访问变慢。</w:t>
            </w:r>
          </w:p>
          <w:p>
            <w:pPr>
              <w:pStyle w:val="null3"/>
              <w:ind w:firstLine="420"/>
              <w:jc w:val="both"/>
            </w:pPr>
            <w:r>
              <w:rPr>
                <w:rFonts w:ascii="仿宋_GB2312" w:hAnsi="仿宋_GB2312" w:cs="仿宋_GB2312" w:eastAsia="仿宋_GB2312"/>
                <w:sz w:val="21"/>
              </w:rPr>
              <w:t>1、驻场服务期间软件系统出现故障后，30分钟内进行响应。驻场服务时段以外出现故障时，自接到采购人到场要求后，驻场运维人员</w:t>
            </w:r>
            <w:r>
              <w:rPr>
                <w:rFonts w:ascii="仿宋_GB2312" w:hAnsi="仿宋_GB2312" w:cs="仿宋_GB2312" w:eastAsia="仿宋_GB2312"/>
                <w:sz w:val="21"/>
              </w:rPr>
              <w:t>2</w:t>
            </w:r>
            <w:r>
              <w:rPr>
                <w:rFonts w:ascii="仿宋_GB2312" w:hAnsi="仿宋_GB2312" w:cs="仿宋_GB2312" w:eastAsia="仿宋_GB2312"/>
                <w:sz w:val="21"/>
              </w:rPr>
              <w:t>小时内抵达现场，按照故障事件等级对应时限进行处置。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1</w:t>
            </w:r>
            <w:r>
              <w:rPr>
                <w:rFonts w:ascii="仿宋_GB2312" w:hAnsi="仿宋_GB2312" w:cs="仿宋_GB2312" w:eastAsia="仿宋_GB2312"/>
                <w:sz w:val="21"/>
              </w:rPr>
              <w:t>级别故障，驻场时间内</w:t>
            </w:r>
            <w:r>
              <w:rPr>
                <w:rFonts w:ascii="仿宋_GB2312" w:hAnsi="仿宋_GB2312" w:cs="仿宋_GB2312" w:eastAsia="仿宋_GB2312"/>
                <w:sz w:val="21"/>
              </w:rPr>
              <w:t>30</w:t>
            </w:r>
            <w:r>
              <w:rPr>
                <w:rFonts w:ascii="仿宋_GB2312" w:hAnsi="仿宋_GB2312" w:cs="仿宋_GB2312" w:eastAsia="仿宋_GB2312"/>
                <w:sz w:val="21"/>
              </w:rPr>
              <w:t>分钟内完成故障排查或进行临时处置，</w:t>
            </w:r>
            <w:r>
              <w:rPr>
                <w:rFonts w:ascii="仿宋_GB2312" w:hAnsi="仿宋_GB2312" w:cs="仿宋_GB2312" w:eastAsia="仿宋_GB2312"/>
                <w:sz w:val="21"/>
              </w:rPr>
              <w:t>1</w:t>
            </w:r>
            <w:r>
              <w:rPr>
                <w:rFonts w:ascii="仿宋_GB2312" w:hAnsi="仿宋_GB2312" w:cs="仿宋_GB2312" w:eastAsia="仿宋_GB2312"/>
                <w:sz w:val="21"/>
              </w:rPr>
              <w:t>小时内完成故障修复。驻场时间外，</w:t>
            </w:r>
            <w:r>
              <w:rPr>
                <w:rFonts w:ascii="仿宋_GB2312" w:hAnsi="仿宋_GB2312" w:cs="仿宋_GB2312" w:eastAsia="仿宋_GB2312"/>
                <w:sz w:val="21"/>
              </w:rPr>
              <w:t>2</w:t>
            </w:r>
            <w:r>
              <w:rPr>
                <w:rFonts w:ascii="仿宋_GB2312" w:hAnsi="仿宋_GB2312" w:cs="仿宋_GB2312" w:eastAsia="仿宋_GB2312"/>
                <w:sz w:val="21"/>
              </w:rPr>
              <w:t>小时内抵达现场</w:t>
            </w:r>
            <w:r>
              <w:rPr>
                <w:rFonts w:ascii="仿宋_GB2312" w:hAnsi="仿宋_GB2312" w:cs="仿宋_GB2312" w:eastAsia="仿宋_GB2312"/>
                <w:sz w:val="21"/>
              </w:rPr>
              <w:t>30</w:t>
            </w:r>
            <w:r>
              <w:rPr>
                <w:rFonts w:ascii="仿宋_GB2312" w:hAnsi="仿宋_GB2312" w:cs="仿宋_GB2312" w:eastAsia="仿宋_GB2312"/>
                <w:sz w:val="21"/>
              </w:rPr>
              <w:t>分钟内完成故障排查或进行临时处置，</w:t>
            </w:r>
            <w:r>
              <w:rPr>
                <w:rFonts w:ascii="仿宋_GB2312" w:hAnsi="仿宋_GB2312" w:cs="仿宋_GB2312" w:eastAsia="仿宋_GB2312"/>
                <w:sz w:val="21"/>
              </w:rPr>
              <w:t>1</w:t>
            </w:r>
            <w:r>
              <w:rPr>
                <w:rFonts w:ascii="仿宋_GB2312" w:hAnsi="仿宋_GB2312" w:cs="仿宋_GB2312" w:eastAsia="仿宋_GB2312"/>
                <w:sz w:val="21"/>
              </w:rPr>
              <w:t>小时内完成故障修复。以上情况，</w:t>
            </w:r>
            <w:r>
              <w:rPr>
                <w:rFonts w:ascii="仿宋_GB2312" w:hAnsi="仿宋_GB2312" w:cs="仿宋_GB2312" w:eastAsia="仿宋_GB2312"/>
                <w:sz w:val="21"/>
              </w:rPr>
              <w:t>1</w:t>
            </w:r>
            <w:r>
              <w:rPr>
                <w:rFonts w:ascii="仿宋_GB2312" w:hAnsi="仿宋_GB2312" w:cs="仿宋_GB2312" w:eastAsia="仿宋_GB2312"/>
                <w:sz w:val="21"/>
              </w:rPr>
              <w:t>小时内未完成故障修复的，待故障修复后，需成交供应商出具情况说明，并加盖公司公章。</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2</w:t>
            </w:r>
            <w:r>
              <w:rPr>
                <w:rFonts w:ascii="仿宋_GB2312" w:hAnsi="仿宋_GB2312" w:cs="仿宋_GB2312" w:eastAsia="仿宋_GB2312"/>
                <w:sz w:val="21"/>
              </w:rPr>
              <w:t>级别故障，</w:t>
            </w:r>
            <w:r>
              <w:rPr>
                <w:rFonts w:ascii="仿宋_GB2312" w:hAnsi="仿宋_GB2312" w:cs="仿宋_GB2312" w:eastAsia="仿宋_GB2312"/>
                <w:sz w:val="21"/>
              </w:rPr>
              <w:t>2</w:t>
            </w:r>
            <w:r>
              <w:rPr>
                <w:rFonts w:ascii="仿宋_GB2312" w:hAnsi="仿宋_GB2312" w:cs="仿宋_GB2312" w:eastAsia="仿宋_GB2312"/>
                <w:sz w:val="21"/>
              </w:rPr>
              <w:t>小时内完成故障排查或进行临时处置，</w:t>
            </w:r>
            <w:r>
              <w:rPr>
                <w:rFonts w:ascii="仿宋_GB2312" w:hAnsi="仿宋_GB2312" w:cs="仿宋_GB2312" w:eastAsia="仿宋_GB2312"/>
                <w:sz w:val="21"/>
              </w:rPr>
              <w:t>4小时内完成故障修复。</w:t>
            </w:r>
          </w:p>
          <w:p>
            <w:pPr>
              <w:pStyle w:val="null3"/>
              <w:ind w:firstLine="420"/>
              <w:jc w:val="both"/>
            </w:pPr>
            <w:r>
              <w:rPr>
                <w:rFonts w:ascii="仿宋_GB2312" w:hAnsi="仿宋_GB2312" w:cs="仿宋_GB2312" w:eastAsia="仿宋_GB2312"/>
                <w:sz w:val="21"/>
              </w:rPr>
              <w:t>4、S</w:t>
            </w:r>
            <w:r>
              <w:rPr>
                <w:rFonts w:ascii="仿宋_GB2312" w:hAnsi="仿宋_GB2312" w:cs="仿宋_GB2312" w:eastAsia="仿宋_GB2312"/>
                <w:sz w:val="21"/>
              </w:rPr>
              <w:t>3</w:t>
            </w:r>
            <w:r>
              <w:rPr>
                <w:rFonts w:ascii="仿宋_GB2312" w:hAnsi="仿宋_GB2312" w:cs="仿宋_GB2312" w:eastAsia="仿宋_GB2312"/>
                <w:sz w:val="21"/>
              </w:rPr>
              <w:t>级别故障，</w:t>
            </w:r>
            <w:r>
              <w:rPr>
                <w:rFonts w:ascii="仿宋_GB2312" w:hAnsi="仿宋_GB2312" w:cs="仿宋_GB2312" w:eastAsia="仿宋_GB2312"/>
                <w:sz w:val="21"/>
              </w:rPr>
              <w:t>4</w:t>
            </w:r>
            <w:r>
              <w:rPr>
                <w:rFonts w:ascii="仿宋_GB2312" w:hAnsi="仿宋_GB2312" w:cs="仿宋_GB2312" w:eastAsia="仿宋_GB2312"/>
                <w:sz w:val="21"/>
              </w:rPr>
              <w:t>小时内完成故障排查或进行临时处置，</w:t>
            </w:r>
            <w:r>
              <w:rPr>
                <w:rFonts w:ascii="仿宋_GB2312" w:hAnsi="仿宋_GB2312" w:cs="仿宋_GB2312" w:eastAsia="仿宋_GB2312"/>
                <w:sz w:val="21"/>
              </w:rPr>
              <w:t>24</w:t>
            </w:r>
            <w:r>
              <w:rPr>
                <w:rFonts w:ascii="仿宋_GB2312" w:hAnsi="仿宋_GB2312" w:cs="仿宋_GB2312" w:eastAsia="仿宋_GB2312"/>
                <w:sz w:val="21"/>
              </w:rPr>
              <w:t>小时内完成故障修复。</w:t>
            </w:r>
          </w:p>
          <w:p>
            <w:pPr>
              <w:pStyle w:val="null3"/>
              <w:ind w:left="420"/>
              <w:jc w:val="both"/>
            </w:pPr>
            <w:r>
              <w:rPr>
                <w:rFonts w:ascii="仿宋_GB2312" w:hAnsi="仿宋_GB2312" w:cs="仿宋_GB2312" w:eastAsia="仿宋_GB2312"/>
                <w:sz w:val="21"/>
                <w:b/>
              </w:rPr>
              <w:t>五、商务要求</w:t>
            </w:r>
          </w:p>
          <w:p>
            <w:pPr>
              <w:pStyle w:val="null3"/>
              <w:ind w:firstLine="420"/>
              <w:jc w:val="left"/>
            </w:pPr>
            <w:r>
              <w:rPr>
                <w:rFonts w:ascii="仿宋_GB2312" w:hAnsi="仿宋_GB2312" w:cs="仿宋_GB2312" w:eastAsia="仿宋_GB2312"/>
                <w:sz w:val="21"/>
              </w:rPr>
              <w:t>（一）服务期限</w:t>
            </w:r>
          </w:p>
          <w:p>
            <w:pPr>
              <w:pStyle w:val="null3"/>
              <w:ind w:firstLine="420"/>
              <w:jc w:val="left"/>
            </w:pPr>
            <w:r>
              <w:rPr>
                <w:rFonts w:ascii="仿宋_GB2312" w:hAnsi="仿宋_GB2312" w:cs="仿宋_GB2312" w:eastAsia="仿宋_GB2312"/>
                <w:sz w:val="21"/>
              </w:rPr>
              <w:t>本项目服务期为</w:t>
            </w:r>
            <w:r>
              <w:rPr>
                <w:rFonts w:ascii="仿宋_GB2312" w:hAnsi="仿宋_GB2312" w:cs="仿宋_GB2312" w:eastAsia="仿宋_GB2312"/>
                <w:sz w:val="21"/>
              </w:rPr>
              <w:t>12</w:t>
            </w:r>
            <w:r>
              <w:rPr>
                <w:rFonts w:ascii="仿宋_GB2312" w:hAnsi="仿宋_GB2312" w:cs="仿宋_GB2312" w:eastAsia="仿宋_GB2312"/>
                <w:sz w:val="21"/>
              </w:rPr>
              <w:t>个月，具体日期以双方合同约定为准。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）验收</w:t>
            </w:r>
          </w:p>
          <w:p>
            <w:pPr>
              <w:pStyle w:val="null3"/>
              <w:ind w:firstLine="420"/>
              <w:jc w:val="left"/>
            </w:pPr>
            <w:r>
              <w:rPr>
                <w:rFonts w:ascii="仿宋_GB2312" w:hAnsi="仿宋_GB2312" w:cs="仿宋_GB2312" w:eastAsia="仿宋_GB2312"/>
                <w:sz w:val="21"/>
              </w:rPr>
              <w:t>1、运维服务期满后，按照西安市信息化项目验收相关要求进行验收。</w:t>
            </w:r>
          </w:p>
          <w:p>
            <w:pPr>
              <w:pStyle w:val="null3"/>
              <w:ind w:firstLine="420"/>
              <w:jc w:val="left"/>
            </w:pPr>
            <w:r>
              <w:rPr>
                <w:rFonts w:ascii="仿宋_GB2312" w:hAnsi="仿宋_GB2312" w:cs="仿宋_GB2312" w:eastAsia="仿宋_GB2312"/>
                <w:sz w:val="21"/>
              </w:rPr>
              <w:t>2、验收依据：</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1）招标文件、响应文件及合同文本。</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2）国家和行业制定的相应标准和规范。</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3）供应商出具的运维服务自检报告。</w:t>
            </w:r>
          </w:p>
          <w:p>
            <w:pPr>
              <w:pStyle w:val="null3"/>
              <w:ind w:firstLine="420"/>
              <w:jc w:val="left"/>
            </w:pPr>
            <w:r>
              <w:rPr>
                <w:rFonts w:ascii="仿宋_GB2312" w:hAnsi="仿宋_GB2312" w:cs="仿宋_GB2312" w:eastAsia="仿宋_GB2312"/>
                <w:sz w:val="21"/>
              </w:rPr>
              <w:t>4、验收合格后，填写项目验收单作为对运维服务的最终认可。</w:t>
            </w:r>
          </w:p>
          <w:p>
            <w:pPr>
              <w:pStyle w:val="null3"/>
              <w:ind w:firstLine="420"/>
              <w:jc w:val="left"/>
            </w:pPr>
            <w:r>
              <w:rPr>
                <w:rFonts w:ascii="仿宋_GB2312" w:hAnsi="仿宋_GB2312" w:cs="仿宋_GB2312" w:eastAsia="仿宋_GB2312"/>
                <w:sz w:val="21"/>
              </w:rPr>
              <w:t>5、供应商向采购人提交运维服务实施过程中的所有资料，以便采购人日后管理和维护。</w:t>
            </w:r>
          </w:p>
          <w:p>
            <w:pPr>
              <w:pStyle w:val="null3"/>
              <w:ind w:firstLine="420"/>
              <w:jc w:val="left"/>
            </w:pPr>
            <w:r>
              <w:rPr>
                <w:rFonts w:ascii="仿宋_GB2312" w:hAnsi="仿宋_GB2312" w:cs="仿宋_GB2312" w:eastAsia="仿宋_GB2312"/>
                <w:sz w:val="21"/>
              </w:rPr>
              <w:t>（四）款项结算</w:t>
            </w:r>
          </w:p>
          <w:p>
            <w:pPr>
              <w:pStyle w:val="null3"/>
            </w:pPr>
            <w:r>
              <w:rPr>
                <w:rFonts w:ascii="仿宋_GB2312" w:hAnsi="仿宋_GB2312" w:cs="仿宋_GB2312" w:eastAsia="仿宋_GB2312"/>
              </w:rPr>
              <w:t>采购包</w:t>
            </w:r>
            <w:r>
              <w:rPr>
                <w:rFonts w:ascii="仿宋_GB2312" w:hAnsi="仿宋_GB2312" w:cs="仿宋_GB2312" w:eastAsia="仿宋_GB2312"/>
              </w:rPr>
              <w:t>1： 付款条件说明：</w:t>
            </w:r>
            <w:r>
              <w:rPr>
                <w:rFonts w:ascii="仿宋_GB2312" w:hAnsi="仿宋_GB2312" w:cs="仿宋_GB2312" w:eastAsia="仿宋_GB2312"/>
              </w:rPr>
              <w:t>首付款</w:t>
            </w:r>
            <w:r>
              <w:rPr>
                <w:rFonts w:ascii="仿宋_GB2312" w:hAnsi="仿宋_GB2312" w:cs="仿宋_GB2312" w:eastAsia="仿宋_GB2312"/>
              </w:rPr>
              <w:t>17</w:t>
            </w:r>
            <w:r>
              <w:rPr>
                <w:rFonts w:ascii="仿宋_GB2312" w:hAnsi="仿宋_GB2312" w:cs="仿宋_GB2312" w:eastAsia="仿宋_GB2312"/>
              </w:rPr>
              <w:t>%，剩余按实际维护日期按月支付。</w:t>
            </w:r>
          </w:p>
          <w:p>
            <w:pPr>
              <w:pStyle w:val="null3"/>
              <w:ind w:firstLine="420"/>
              <w:jc w:val="left"/>
            </w:pPr>
            <w:r>
              <w:rPr>
                <w:rFonts w:ascii="仿宋_GB2312" w:hAnsi="仿宋_GB2312" w:cs="仿宋_GB2312" w:eastAsia="仿宋_GB2312"/>
                <w:sz w:val="21"/>
              </w:rPr>
              <w:t>2、服务期间，采购人对供应商进行考核打分（每季度一次）。</w:t>
            </w:r>
          </w:p>
          <w:p>
            <w:pPr>
              <w:pStyle w:val="null3"/>
              <w:ind w:firstLine="420"/>
              <w:jc w:val="both"/>
            </w:pPr>
            <w:r>
              <w:rPr>
                <w:rFonts w:ascii="仿宋_GB2312" w:hAnsi="仿宋_GB2312" w:cs="仿宋_GB2312" w:eastAsia="仿宋_GB2312"/>
                <w:sz w:val="21"/>
                <w:color w:val="000000"/>
              </w:rPr>
              <w:t>3、项目服务期满后，采购人根据全年考核打分结果组织验收。考核结果分为良好、合格、一般三个等次。（考核表模板如下）</w:t>
            </w:r>
          </w:p>
          <w:tbl>
            <w:tblPr>
              <w:tblInd w:type="dxa" w:w="120"/>
              <w:tblBorders>
                <w:top w:val="none" w:color="000000" w:sz="4"/>
                <w:left w:val="none" w:color="000000" w:sz="4"/>
                <w:bottom w:val="none" w:color="000000" w:sz="4"/>
                <w:right w:val="none" w:color="000000" w:sz="4"/>
                <w:insideH w:val="none"/>
                <w:insideV w:val="none"/>
              </w:tblBorders>
            </w:tblPr>
            <w:tblGrid>
              <w:gridCol w:w="292"/>
              <w:gridCol w:w="608"/>
              <w:gridCol w:w="614"/>
              <w:gridCol w:w="363"/>
              <w:gridCol w:w="363"/>
              <w:gridCol w:w="298"/>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考核内容</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分值</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得分</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故障处理</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日常系统问题正常维护。</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08"/>
                  <w:vMerge/>
                  <w:tcBorders>
                    <w:top w:val="none" w:color="000000" w:sz="4"/>
                    <w:left w:val="none" w:color="000000" w:sz="4"/>
                    <w:bottom w:val="singl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系统故障运维是否正常响应。</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08"/>
                  <w:vMerge/>
                  <w:tcBorders>
                    <w:top w:val="none" w:color="000000" w:sz="4"/>
                    <w:left w:val="none" w:color="000000" w:sz="4"/>
                    <w:bottom w:val="singl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是否未发生重大系统故障。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08"/>
                  <w:vMerge/>
                  <w:tcBorders>
                    <w:top w:val="none" w:color="000000" w:sz="4"/>
                    <w:left w:val="none" w:color="000000" w:sz="4"/>
                    <w:bottom w:val="singl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季度系统故障是否少于</w:t>
                  </w:r>
                  <w:r>
                    <w:rPr>
                      <w:rFonts w:ascii="仿宋_GB2312" w:hAnsi="仿宋_GB2312" w:cs="仿宋_GB2312" w:eastAsia="仿宋_GB2312"/>
                      <w:sz w:val="21"/>
                      <w:color w:val="000000"/>
                    </w:rPr>
                    <w:t>15次。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08"/>
                  <w:vMerge/>
                  <w:tcBorders>
                    <w:top w:val="none" w:color="000000" w:sz="4"/>
                    <w:left w:val="none" w:color="000000" w:sz="4"/>
                    <w:bottom w:val="singl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其他等必要系统故障处理</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巡检记录</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是否有日常运维记录。</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是否有日常运维问答档案。</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是否有运维报告。</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是否有风险评估报告。</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其他等必要的巡检记录。</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技术保障</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是否提供业务培训。</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是否提供系统操作视频。</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是否有对应业务测试系统。</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是否有根据系统变化更新相关文档。</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608"/>
                  <w:vMerge/>
                  <w:tcBorders>
                    <w:top w:val="none" w:color="000000" w:sz="4"/>
                    <w:left w:val="none" w:color="000000" w:sz="4"/>
                    <w:bottom w:val="none" w:color="000000" w:sz="4"/>
                    <w:right w:val="single" w:color="000000" w:sz="4"/>
                  </w:tcBorders>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其他等必要的技术服务保障。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608"/>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服务态度</w:t>
                  </w: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积极配合响应业务需求。</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608"/>
                  <w:vMerge/>
                  <w:tcBorders>
                    <w:top w:val="none" w:color="000000" w:sz="4"/>
                    <w:left w:val="none" w:color="000000" w:sz="4"/>
                    <w:bottom w:val="single" w:color="000000" w:sz="4"/>
                    <w:right w:val="none" w:color="000000" w:sz="4"/>
                  </w:tcBorders>
                </w:tcP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积极配合处理电话等多手段问题咨询。</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608"/>
                  <w:vMerge/>
                  <w:tcBorders>
                    <w:top w:val="none" w:color="000000" w:sz="4"/>
                    <w:left w:val="none" w:color="000000" w:sz="4"/>
                    <w:bottom w:val="single" w:color="000000" w:sz="4"/>
                    <w:right w:val="none" w:color="000000" w:sz="4"/>
                  </w:tcBorders>
                </w:tcP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业务系统接口对接响应程度。</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608"/>
                  <w:vMerge/>
                  <w:tcBorders>
                    <w:top w:val="none" w:color="000000" w:sz="4"/>
                    <w:left w:val="none" w:color="000000" w:sz="4"/>
                    <w:bottom w:val="single" w:color="000000" w:sz="4"/>
                    <w:right w:val="none" w:color="000000" w:sz="4"/>
                  </w:tcBorders>
                </w:tcP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新功能需求核查确认。</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08"/>
                  <w:vMerge/>
                  <w:tcBorders>
                    <w:top w:val="none" w:color="000000" w:sz="4"/>
                    <w:left w:val="none" w:color="000000" w:sz="4"/>
                    <w:bottom w:val="single" w:color="000000" w:sz="4"/>
                    <w:right w:val="none" w:color="000000" w:sz="4"/>
                  </w:tcBorders>
                </w:tcP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主管处室服务满意度。</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08"/>
                  <w:vMerge/>
                  <w:tcBorders>
                    <w:top w:val="none" w:color="000000" w:sz="4"/>
                    <w:left w:val="none" w:color="000000" w:sz="4"/>
                    <w:bottom w:val="single" w:color="000000" w:sz="4"/>
                    <w:right w:val="none" w:color="000000" w:sz="4"/>
                  </w:tcBorders>
                </w:tcP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是否有系统年度优化方案。</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608"/>
                  <w:vMerge/>
                  <w:tcBorders>
                    <w:top w:val="none" w:color="000000" w:sz="4"/>
                    <w:left w:val="none" w:color="000000" w:sz="4"/>
                    <w:bottom w:val="single" w:color="000000" w:sz="4"/>
                    <w:right w:val="none" w:color="000000" w:sz="4"/>
                  </w:tcBorders>
                </w:tcP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所有驻场人员是否按上班时间抵达现场。</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608"/>
                  <w:vMerge/>
                  <w:tcBorders>
                    <w:top w:val="none" w:color="000000" w:sz="4"/>
                    <w:left w:val="none" w:color="000000" w:sz="4"/>
                    <w:bottom w:val="single" w:color="000000" w:sz="4"/>
                    <w:right w:val="none" w:color="000000" w:sz="4"/>
                  </w:tcBorders>
                </w:tcPr>
                <w:p/>
              </w:tc>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其他等必要的服务保障。</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考核得分</w:t>
                  </w:r>
                  <w:r>
                    <w:rPr>
                      <w:rFonts w:ascii="仿宋_GB2312" w:hAnsi="仿宋_GB2312" w:cs="仿宋_GB2312" w:eastAsia="仿宋_GB2312"/>
                      <w:sz w:val="21"/>
                      <w:color w:val="000000"/>
                    </w:rPr>
                    <w:t>90分及以上为“良好”、</w:t>
                  </w:r>
                  <w:r>
                    <w:rPr>
                      <w:rFonts w:ascii="仿宋_GB2312" w:hAnsi="仿宋_GB2312" w:cs="仿宋_GB2312" w:eastAsia="仿宋_GB2312"/>
                      <w:sz w:val="21"/>
                      <w:color w:val="000000"/>
                    </w:rPr>
                    <w:t>8</w:t>
                  </w:r>
                  <w:r>
                    <w:rPr>
                      <w:rFonts w:ascii="仿宋_GB2312" w:hAnsi="仿宋_GB2312" w:cs="仿宋_GB2312" w:eastAsia="仿宋_GB2312"/>
                      <w:sz w:val="21"/>
                      <w:color w:val="000000"/>
                    </w:rPr>
                    <w:t>0-89分为“合格”、</w:t>
                  </w:r>
                  <w:r>
                    <w:rPr>
                      <w:rFonts w:ascii="仿宋_GB2312" w:hAnsi="仿宋_GB2312" w:cs="仿宋_GB2312" w:eastAsia="仿宋_GB2312"/>
                      <w:sz w:val="21"/>
                      <w:color w:val="000000"/>
                    </w:rPr>
                    <w:t>7</w:t>
                  </w:r>
                  <w:r>
                    <w:rPr>
                      <w:rFonts w:ascii="仿宋_GB2312" w:hAnsi="仿宋_GB2312" w:cs="仿宋_GB2312" w:eastAsia="仿宋_GB2312"/>
                      <w:sz w:val="21"/>
                      <w:color w:val="000000"/>
                    </w:rPr>
                    <w:t>0-</w:t>
                  </w:r>
                  <w:r>
                    <w:rPr>
                      <w:rFonts w:ascii="仿宋_GB2312" w:hAnsi="仿宋_GB2312" w:cs="仿宋_GB2312" w:eastAsia="仿宋_GB2312"/>
                      <w:sz w:val="21"/>
                      <w:color w:val="000000"/>
                    </w:rPr>
                    <w:t>7</w:t>
                  </w:r>
                  <w:r>
                    <w:rPr>
                      <w:rFonts w:ascii="仿宋_GB2312" w:hAnsi="仿宋_GB2312" w:cs="仿宋_GB2312" w:eastAsia="仿宋_GB2312"/>
                      <w:sz w:val="21"/>
                      <w:color w:val="000000"/>
                    </w:rPr>
                    <w:t>9分为“一般”。</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1"/>
              </w:rPr>
              <w:t>考核说明：</w:t>
            </w:r>
          </w:p>
          <w:p>
            <w:pPr>
              <w:pStyle w:val="null3"/>
              <w:ind w:firstLine="420"/>
              <w:jc w:val="left"/>
            </w:pPr>
            <w:r>
              <w:rPr>
                <w:rFonts w:ascii="仿宋_GB2312" w:hAnsi="仿宋_GB2312" w:cs="仿宋_GB2312" w:eastAsia="仿宋_GB2312"/>
                <w:sz w:val="21"/>
              </w:rPr>
              <w:t>系统重大事故包含：重大政治事故及系统宕机</w:t>
            </w:r>
            <w:r>
              <w:rPr>
                <w:rFonts w:ascii="仿宋_GB2312" w:hAnsi="仿宋_GB2312" w:cs="仿宋_GB2312" w:eastAsia="仿宋_GB2312"/>
                <w:sz w:val="21"/>
              </w:rPr>
              <w:t>1小时以上的生产事故。</w:t>
            </w:r>
          </w:p>
          <w:p>
            <w:pPr>
              <w:pStyle w:val="null3"/>
              <w:ind w:firstLine="420"/>
              <w:jc w:val="left"/>
            </w:pPr>
            <w:r>
              <w:rPr>
                <w:rFonts w:ascii="仿宋_GB2312" w:hAnsi="仿宋_GB2312" w:cs="仿宋_GB2312" w:eastAsia="仿宋_GB2312"/>
                <w:sz w:val="21"/>
              </w:rPr>
              <w:t>按季度系统故障应小于</w:t>
            </w:r>
            <w:r>
              <w:rPr>
                <w:rFonts w:ascii="仿宋_GB2312" w:hAnsi="仿宋_GB2312" w:cs="仿宋_GB2312" w:eastAsia="仿宋_GB2312"/>
                <w:sz w:val="21"/>
              </w:rPr>
              <w:t>15</w:t>
            </w:r>
            <w:r>
              <w:rPr>
                <w:rFonts w:ascii="仿宋_GB2312" w:hAnsi="仿宋_GB2312" w:cs="仿宋_GB2312" w:eastAsia="仿宋_GB2312"/>
                <w:sz w:val="21"/>
              </w:rPr>
              <w:t>次，每月不得超过</w:t>
            </w:r>
            <w:r>
              <w:rPr>
                <w:rFonts w:ascii="仿宋_GB2312" w:hAnsi="仿宋_GB2312" w:cs="仿宋_GB2312" w:eastAsia="仿宋_GB2312"/>
                <w:sz w:val="21"/>
              </w:rPr>
              <w:t>5次。</w:t>
            </w:r>
          </w:p>
          <w:p>
            <w:pPr>
              <w:pStyle w:val="null3"/>
              <w:ind w:firstLine="420"/>
              <w:jc w:val="left"/>
            </w:pPr>
            <w:r>
              <w:rPr>
                <w:rFonts w:ascii="仿宋_GB2312" w:hAnsi="仿宋_GB2312" w:cs="仿宋_GB2312" w:eastAsia="仿宋_GB2312"/>
                <w:sz w:val="21"/>
              </w:rPr>
              <w:t>第</w:t>
            </w:r>
            <w:r>
              <w:rPr>
                <w:rFonts w:ascii="仿宋_GB2312" w:hAnsi="仿宋_GB2312" w:cs="仿宋_GB2312" w:eastAsia="仿宋_GB2312"/>
                <w:sz w:val="21"/>
              </w:rPr>
              <w:t>3</w:t>
            </w:r>
            <w:r>
              <w:rPr>
                <w:rFonts w:ascii="仿宋_GB2312" w:hAnsi="仿宋_GB2312" w:cs="仿宋_GB2312" w:eastAsia="仿宋_GB2312"/>
                <w:sz w:val="21"/>
              </w:rPr>
              <w:t>项多次发生重大生产事故，可在重大事故得分项中累计多次扣分。</w:t>
            </w:r>
          </w:p>
          <w:p>
            <w:pPr>
              <w:pStyle w:val="null3"/>
              <w:ind w:firstLine="420"/>
              <w:jc w:val="left"/>
            </w:pPr>
            <w:r>
              <w:rPr>
                <w:rFonts w:ascii="仿宋_GB2312" w:hAnsi="仿宋_GB2312" w:cs="仿宋_GB2312" w:eastAsia="仿宋_GB2312"/>
                <w:sz w:val="21"/>
              </w:rPr>
              <w:t>第</w:t>
            </w:r>
            <w:r>
              <w:rPr>
                <w:rFonts w:ascii="仿宋_GB2312" w:hAnsi="仿宋_GB2312" w:cs="仿宋_GB2312" w:eastAsia="仿宋_GB2312"/>
                <w:sz w:val="21"/>
              </w:rPr>
              <w:t>16</w:t>
            </w:r>
            <w:r>
              <w:rPr>
                <w:rFonts w:ascii="仿宋_GB2312" w:hAnsi="仿宋_GB2312" w:cs="仿宋_GB2312" w:eastAsia="仿宋_GB2312"/>
                <w:sz w:val="21"/>
              </w:rPr>
              <w:t>项、</w:t>
            </w:r>
            <w:r>
              <w:rPr>
                <w:rFonts w:ascii="仿宋_GB2312" w:hAnsi="仿宋_GB2312" w:cs="仿宋_GB2312" w:eastAsia="仿宋_GB2312"/>
                <w:sz w:val="21"/>
              </w:rPr>
              <w:t>20</w:t>
            </w:r>
            <w:r>
              <w:rPr>
                <w:rFonts w:ascii="仿宋_GB2312" w:hAnsi="仿宋_GB2312" w:cs="仿宋_GB2312" w:eastAsia="仿宋_GB2312"/>
                <w:sz w:val="21"/>
              </w:rPr>
              <w:t>项、</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项根据实际情况，可累计多次扣分。</w:t>
            </w:r>
          </w:p>
          <w:p>
            <w:pPr>
              <w:pStyle w:val="null3"/>
              <w:ind w:firstLine="420"/>
              <w:jc w:val="left"/>
            </w:pPr>
            <w:r>
              <w:rPr>
                <w:rFonts w:ascii="仿宋_GB2312" w:hAnsi="仿宋_GB2312" w:cs="仿宋_GB2312" w:eastAsia="仿宋_GB2312"/>
                <w:sz w:val="21"/>
              </w:rPr>
              <w:t>第</w:t>
            </w:r>
            <w:r>
              <w:rPr>
                <w:rFonts w:ascii="仿宋_GB2312" w:hAnsi="仿宋_GB2312" w:cs="仿宋_GB2312" w:eastAsia="仿宋_GB2312"/>
                <w:sz w:val="21"/>
              </w:rPr>
              <w:t>17</w:t>
            </w:r>
            <w:r>
              <w:rPr>
                <w:rFonts w:ascii="仿宋_GB2312" w:hAnsi="仿宋_GB2312" w:cs="仿宋_GB2312" w:eastAsia="仿宋_GB2312"/>
                <w:sz w:val="21"/>
              </w:rPr>
              <w:t>项中如多次收到代理，招投标人投诉，包含电话多次未接听，解答不清，态度差等服务态度问题，可累计多次扣分。</w:t>
            </w:r>
          </w:p>
          <w:p>
            <w:pPr>
              <w:pStyle w:val="null3"/>
              <w:ind w:firstLine="420"/>
              <w:jc w:val="both"/>
            </w:pPr>
            <w:r>
              <w:rPr>
                <w:rFonts w:ascii="仿宋_GB2312" w:hAnsi="仿宋_GB2312" w:cs="仿宋_GB2312" w:eastAsia="仿宋_GB2312"/>
                <w:sz w:val="21"/>
                <w:color w:val="000000"/>
              </w:rPr>
              <w:t>注：此表供参考，合同签订时根据实际情况制定考核内容。</w:t>
            </w:r>
          </w:p>
          <w:p>
            <w:pPr>
              <w:pStyle w:val="null3"/>
              <w:ind w:firstLine="420"/>
              <w:jc w:val="both"/>
            </w:pPr>
            <w:r>
              <w:rPr>
                <w:rFonts w:ascii="仿宋_GB2312" w:hAnsi="仿宋_GB2312" w:cs="仿宋_GB2312" w:eastAsia="仿宋_GB2312"/>
                <w:sz w:val="21"/>
              </w:rPr>
              <w:t>4、验收合格后，由供应商提出书面申请，采购人按照考核等次对应的付款比例支付项目尾款。良好等次为100%、合格等次为90%、一般等次为80%。</w:t>
            </w:r>
          </w:p>
          <w:p>
            <w:pPr>
              <w:pStyle w:val="null3"/>
              <w:ind w:firstLine="420"/>
              <w:jc w:val="left"/>
            </w:pPr>
            <w:r>
              <w:rPr>
                <w:rFonts w:ascii="仿宋_GB2312" w:hAnsi="仿宋_GB2312" w:cs="仿宋_GB2312" w:eastAsia="仿宋_GB2312"/>
                <w:sz w:val="21"/>
              </w:rPr>
              <w:t>5、每次付款前，供应商按所收款项金额向采购人开具等额的增值税普通</w:t>
            </w:r>
            <w:r>
              <w:rPr>
                <w:rFonts w:ascii="仿宋_GB2312" w:hAnsi="仿宋_GB2312" w:cs="仿宋_GB2312" w:eastAsia="仿宋_GB2312"/>
                <w:sz w:val="21"/>
              </w:rPr>
              <w:t>发票。</w:t>
            </w:r>
          </w:p>
          <w:p>
            <w:pPr>
              <w:pStyle w:val="null3"/>
              <w:ind w:firstLine="420"/>
              <w:jc w:val="left"/>
            </w:pPr>
            <w:r>
              <w:rPr>
                <w:rFonts w:ascii="仿宋_GB2312" w:hAnsi="仿宋_GB2312" w:cs="仿宋_GB2312" w:eastAsia="仿宋_GB2312"/>
                <w:sz w:val="21"/>
              </w:rPr>
              <w:t>6、因供应商逾期提供发票或提供的发票不符合采购人要求，采购人就逾期付款不承担任何违约责任</w:t>
            </w:r>
          </w:p>
          <w:p>
            <w:pPr>
              <w:pStyle w:val="null3"/>
              <w:ind w:firstLine="420"/>
              <w:jc w:val="left"/>
            </w:pPr>
            <w:r>
              <w:rPr>
                <w:rFonts w:ascii="仿宋_GB2312" w:hAnsi="仿宋_GB2312" w:cs="仿宋_GB2312" w:eastAsia="仿宋_GB2312"/>
                <w:sz w:val="21"/>
              </w:rPr>
              <w:t>7、支付方式：银行转帐或支票。</w:t>
            </w:r>
          </w:p>
          <w:p>
            <w:pPr>
              <w:pStyle w:val="null3"/>
              <w:jc w:val="both"/>
            </w:pPr>
            <w:r>
              <w:rPr>
                <w:rFonts w:ascii="仿宋_GB2312" w:hAnsi="仿宋_GB2312" w:cs="仿宋_GB2312" w:eastAsia="仿宋_GB2312"/>
                <w:sz w:val="21"/>
                <w:b/>
              </w:rPr>
              <w:t>六、其他</w:t>
            </w:r>
          </w:p>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保密要求</w:t>
            </w:r>
          </w:p>
          <w:p>
            <w:pPr>
              <w:pStyle w:val="null3"/>
              <w:ind w:firstLine="420"/>
              <w:jc w:val="left"/>
            </w:pPr>
            <w:r>
              <w:rPr>
                <w:rFonts w:ascii="仿宋_GB2312" w:hAnsi="仿宋_GB2312" w:cs="仿宋_GB2312" w:eastAsia="仿宋_GB2312"/>
                <w:sz w:val="21"/>
              </w:rPr>
              <w:t>1、合同签订后，供应商与采购人签订《保密协议》，对履约期间了解到的采购人的信息、资料等进行严格保密，不得向他人泄露。合同的解除或终止不免除供应商应承担的保密义务。</w:t>
            </w:r>
          </w:p>
          <w:p>
            <w:pPr>
              <w:pStyle w:val="null3"/>
              <w:ind w:firstLine="420"/>
              <w:jc w:val="left"/>
            </w:pPr>
            <w:r>
              <w:rPr>
                <w:rFonts w:ascii="仿宋_GB2312" w:hAnsi="仿宋_GB2312" w:cs="仿宋_GB2312" w:eastAsia="仿宋_GB2312"/>
                <w:sz w:val="21"/>
              </w:rPr>
              <w:t>2、合同签订后，驻场运维人员按照网络安全保障工作要求，提供《第三方技术支持、运维人员背景审查表》。</w:t>
            </w:r>
          </w:p>
          <w:p>
            <w:pPr>
              <w:pStyle w:val="null3"/>
              <w:ind w:firstLine="420"/>
              <w:jc w:val="left"/>
            </w:pPr>
            <w:r>
              <w:rPr>
                <w:rFonts w:ascii="仿宋_GB2312" w:hAnsi="仿宋_GB2312" w:cs="仿宋_GB2312" w:eastAsia="仿宋_GB2312"/>
                <w:sz w:val="21"/>
              </w:rPr>
              <w:t>（二）违约责任</w:t>
            </w:r>
          </w:p>
          <w:p>
            <w:pPr>
              <w:pStyle w:val="null3"/>
              <w:ind w:firstLine="420"/>
              <w:jc w:val="left"/>
            </w:pPr>
            <w:r>
              <w:rPr>
                <w:rFonts w:ascii="仿宋_GB2312" w:hAnsi="仿宋_GB2312" w:cs="仿宋_GB2312" w:eastAsia="仿宋_GB2312"/>
                <w:sz w:val="21"/>
              </w:rPr>
              <w:t>1、合同违约责任按《中华人民共和国政府采购法》中的相关条款执行。</w:t>
            </w:r>
          </w:p>
          <w:p>
            <w:pPr>
              <w:pStyle w:val="null3"/>
              <w:ind w:firstLine="420"/>
              <w:jc w:val="left"/>
            </w:pPr>
            <w:r>
              <w:rPr>
                <w:rFonts w:ascii="仿宋_GB2312" w:hAnsi="仿宋_GB2312" w:cs="仿宋_GB2312" w:eastAsia="仿宋_GB2312"/>
                <w:sz w:val="21"/>
              </w:rPr>
              <w:t>2、供应商未全面履行合同义务或发生违约，采购人有权终止合同，并依法向供应商进行经济索赔。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剩余按实际维护日期按月支付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的或与本合同有关的争议，双方应友好协商解决。协商不成时，双方均同意采用以下第（1）种争议解决方式：（1）甲、乙双方均同意向（甲方所在地人民法院）提起诉讼。（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供应商应提供履行合同所必需的设备和专业技术能力书面声明函，供应商需在项目电子化交易系统中按要求上传相应证明文件并进行电子签章。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磋商响应文件完整性：磋商响应文件构成是否有缺项，是否按照磋商响应文件要求编写投标文件。2、磋商响应文件报价：内容是否无重大缺漏项，是否报价唯一，且没有低于成本价或高于采购预算。3、磋商响应文件有效性：磋商响应文件的签署、加盖印章是否合格、有效；提供的各种证明文件、数据、资料是否真实、有效。★号项是否满足磋商文件要求。4、磋商有效期：是否符合竞争性磋商文件要求。5、授权委托书：是否符合竞争性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评审内容：根据供应商针对本项目的①运维服务管理体系②运维管理制度③运维服务方案④服务实施组织机构及人员安排⑤具体服务规范和流程 响应情况进行赋分； 说明：以上内容切合本项目实际情况及实施要求，内容全面详细、阐述条理清晰详尽，符合本项目采购需求，能保障本项目实施的得25分。 评审内容任意一项缺项或只有标题没有实质性内容扣5分。 评审内容任意一项每有一处缺陷扣0.5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评审内容：根据供应商针对本项目的①服务质量保证措施②数据安全保密措施③故障处理响应时间④技术驻场及远程指导服务保证措施 响应情况进行赋分； 说明：以上内容切合本项目实际情况及实施要求，内容全面详细、阐述条理清晰详尽，符合本项目采购需求，能保障本项目实施的得20分。 评审内容任意一项缺项或只有标题没有实质性内容扣5分。 评审内容任意一项每有一处缺陷扣0.5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评审内容：根据供应商针对本项目的①突发事件的处理预案②应急保障措施响应情况进行赋分； 说明：以上内容切合本项目实际情况及实施要求，内容全面详细、阐述条理清晰详尽，符合本项目采购需求，能保障本项目实施的得10分。 评审内容任意一项缺项或只有标题没有实质性内容扣5分。 评审内容任意一项每有一处缺陷扣0.5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评审内容：根据供应商针对本项目的①人员管理制度②人员行为规范③考勤管理 响应情况进行赋分； 说明：以上内容切合本项目实际情况及实施要求，内容全面详细、阐述条理清晰详尽，符合本项目采购需求，能保障本项目实施的得15分。 评审内容任意一项缺项或只有标题没有实质性内容扣5分。 评审内容任意一项每有一处缺陷扣0.5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评审内容：根据供应商针对本项目的①培训内容②培训计划③培训组织安排响应情况进行赋分； 说明：以上内容切合本项目实际情况及实施要求，内容全面详细、阐述条理清晰详尽，符合本项目采购需求，能保障本项目实施的得15分。 评审内容任意一项缺项或只有标题没有实质性内容扣5分。 评审内容任意一项每有一处缺陷扣0.5分。（缺陷是指：内容粗略不够全面、不够合理、不够规范、可行性不足、与项目特点不匹配、逻辑混乱、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供应商具备2023年1月1日至今类似项目业绩，（以合同复印件和验收资料加盖供应商公章做为依据，以合同签订日期为准，合同履约期间的项目无需提供验收资料）提供一个计2.5分，满分5分。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