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F82F3">
      <w:pPr>
        <w:pStyle w:val="4"/>
        <w:jc w:val="center"/>
        <w:rPr>
          <w:rFonts w:hint="eastAsia" w:ascii="宋体" w:hAnsi="宋体" w:eastAsia="宋体" w:cs="宋体"/>
          <w:sz w:val="32"/>
          <w:szCs w:val="32"/>
          <w:highlight w:val="none"/>
          <w:lang w:val="en-US" w:eastAsia="zh-CN"/>
        </w:rPr>
      </w:pPr>
      <w:r>
        <w:rPr>
          <w:rFonts w:hint="eastAsia" w:ascii="宋体" w:hAnsi="宋体" w:eastAsia="宋体" w:cs="宋体"/>
          <w:b/>
          <w:bCs/>
          <w:sz w:val="32"/>
          <w:szCs w:val="32"/>
          <w:highlight w:val="none"/>
          <w:lang w:val="en-US" w:eastAsia="zh-CN"/>
        </w:rPr>
        <w:t>特定资格证明文件</w:t>
      </w:r>
    </w:p>
    <w:p w14:paraId="3FDB812F">
      <w:pPr>
        <w:pStyle w:val="4"/>
        <w:jc w:val="center"/>
        <w:rPr>
          <w:rFonts w:hint="eastAsia" w:ascii="仿宋_GB2312" w:hAnsi="仿宋_GB2312" w:eastAsia="仿宋_GB2312" w:cs="仿宋_GB2312"/>
          <w:sz w:val="32"/>
          <w:szCs w:val="32"/>
          <w:highlight w:val="none"/>
          <w:lang w:val="en-US" w:eastAsia="zh-CN"/>
        </w:rPr>
      </w:pPr>
    </w:p>
    <w:p w14:paraId="7A7AAB7F">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1、营业执照等主体资格证明文件：在中华人民共和国境内注册，依法取得并有效存续的营业执照（含电子营业执照）\事业单位法人证书\民办非企业单位登记证书\非企业专业服务机构执业许可证等。</w:t>
      </w:r>
    </w:p>
    <w:p w14:paraId="4DEE739D">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2、授权书：法定代表人（主要负责人）委托代理人参加谈判时，应提供法定代表人（主要负责人）委托授权书；法定代表人（主要负责人）亲自参加谈判时，应提供法定代表人（主要负责人）身份证明书。</w:t>
      </w:r>
    </w:p>
    <w:p w14:paraId="1F87187C">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14:paraId="410514EB">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758DCC45">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73F38481">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6、专业技术能力说明：供应商提供具有履行本合同所必需的设备和专业技术能力的承诺函。</w:t>
      </w:r>
    </w:p>
    <w:p w14:paraId="49651488">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7、参加本次政府采购活动前3年内在经营活动中没有重大违法记录。</w:t>
      </w:r>
    </w:p>
    <w:p w14:paraId="02CC16DF">
      <w:pPr>
        <w:pStyle w:val="4"/>
        <w:spacing w:line="480" w:lineRule="auto"/>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14:paraId="158B0C7C">
      <w:r>
        <w:rPr>
          <w:rFonts w:hint="eastAsia" w:ascii="宋体" w:hAnsi="宋体" w:eastAsia="宋体" w:cs="宋体"/>
          <w:b w:val="0"/>
          <w:bCs w:val="0"/>
          <w:sz w:val="28"/>
          <w:szCs w:val="28"/>
          <w:highlight w:val="none"/>
          <w:lang w:val="en-US" w:eastAsia="zh-CN"/>
        </w:rPr>
        <w:t>9、非联合体承诺书：本项目不接受联合体谈判。</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65DF4"/>
    <w:rsid w:val="6EB65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2025-08-15T10:13:00Z</dcterms:created>
  <dc:creator>一路向阳</dc:creator>
  <cp:lastModifiedBy>一路向阳</cp:lastModifiedBy>
  <dcterms:modified xsi:type="dcterms:W3CDTF">2025-08-15T10:13:48Z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2102AEE641D5499E9B3E2BB7D49C44F6_11</vt:lpwstr>
  </property>
  <property fmtid="{D5CDD505-2E9C-101B-9397-08002B2CF9AE}" pid="4" name="KSOTemplateDocerSaveRecord">
    <vt:lpwstr>eyJoZGlkIjoiZDY5MTEyNTY0YTRkZDRjZmY1ZjFkZDdhZTZhODkxOWQiLCJ1c2VySWQiOiIyNTc4MTQ2NzUifQ==</vt:lpwstr>
  </property>
</Properties>
</file>