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B79CF">
      <w:pPr>
        <w:autoSpaceDE w:val="0"/>
        <w:autoSpaceDN w:val="0"/>
        <w:adjustRightInd w:val="0"/>
        <w:snapToGrid w:val="0"/>
        <w:spacing w:line="360" w:lineRule="auto"/>
        <w:jc w:val="center"/>
        <w:outlineLvl w:val="0"/>
        <w:rPr>
          <w:b/>
          <w:bCs/>
          <w:color w:val="auto"/>
          <w:sz w:val="44"/>
          <w:szCs w:val="44"/>
          <w:highlight w:val="none"/>
          <w:lang w:val="zh-CN"/>
        </w:rPr>
      </w:pPr>
      <w:bookmarkStart w:id="0" w:name="_Toc11013"/>
      <w:r>
        <w:rPr>
          <w:b/>
          <w:bCs/>
          <w:color w:val="auto"/>
          <w:sz w:val="44"/>
          <w:szCs w:val="44"/>
          <w:highlight w:val="none"/>
          <w:lang w:val="zh-CN"/>
        </w:rPr>
        <w:t>拟签订的合同文本</w:t>
      </w:r>
      <w:bookmarkEnd w:id="0"/>
    </w:p>
    <w:p w14:paraId="2B337611">
      <w:pPr>
        <w:adjustRightInd w:val="0"/>
        <w:snapToGrid w:val="0"/>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w:t>
      </w:r>
      <w:r>
        <w:rPr>
          <w:rFonts w:hint="eastAsia" w:ascii="宋体" w:hAnsi="宋体" w:cs="宋体"/>
          <w:color w:val="auto"/>
          <w:sz w:val="21"/>
          <w:szCs w:val="21"/>
          <w:highlight w:val="none"/>
          <w:lang w:val="en-US" w:eastAsia="zh-CN"/>
        </w:rPr>
        <w:t>中标</w:t>
      </w:r>
      <w:r>
        <w:rPr>
          <w:rFonts w:hint="eastAsia" w:ascii="宋体" w:hAnsi="宋体" w:eastAsia="宋体" w:cs="宋体"/>
          <w:color w:val="auto"/>
          <w:sz w:val="21"/>
          <w:szCs w:val="21"/>
          <w:highlight w:val="none"/>
        </w:rPr>
        <w:t>人双方签订合同参考，最终以采购人提供的合同为准）</w:t>
      </w:r>
    </w:p>
    <w:p w14:paraId="34ED07EC">
      <w:pPr>
        <w:jc w:val="center"/>
        <w:rPr>
          <w:rFonts w:hint="eastAsia" w:ascii="宋体" w:hAnsi="宋体" w:eastAsia="宋体" w:cs="宋体"/>
          <w:b/>
          <w:bCs/>
          <w:color w:val="auto"/>
          <w:spacing w:val="20"/>
          <w:sz w:val="44"/>
          <w:szCs w:val="22"/>
          <w:highlight w:val="none"/>
          <w:u w:val="single"/>
          <w:lang w:val="en-US" w:eastAsia="zh-CN"/>
        </w:rPr>
      </w:pPr>
    </w:p>
    <w:p w14:paraId="5BEF023F">
      <w:pPr>
        <w:jc w:val="center"/>
        <w:rPr>
          <w:rFonts w:hint="eastAsia" w:ascii="宋体" w:hAnsi="宋体" w:eastAsia="宋体" w:cs="宋体"/>
          <w:b/>
          <w:bCs/>
          <w:color w:val="auto"/>
          <w:spacing w:val="20"/>
          <w:sz w:val="44"/>
          <w:szCs w:val="22"/>
          <w:highlight w:val="none"/>
          <w:u w:val="single"/>
          <w:lang w:val="en-US" w:eastAsia="zh-CN"/>
        </w:rPr>
      </w:pPr>
    </w:p>
    <w:p w14:paraId="0BAE10E5">
      <w:pPr>
        <w:jc w:val="center"/>
        <w:rPr>
          <w:rFonts w:hint="eastAsia" w:ascii="宋体" w:hAnsi="宋体" w:eastAsia="宋体" w:cs="宋体"/>
          <w:b/>
          <w:color w:val="auto"/>
          <w:kern w:val="0"/>
          <w:sz w:val="52"/>
          <w:szCs w:val="52"/>
          <w:highlight w:val="none"/>
        </w:rPr>
      </w:pPr>
      <w:r>
        <w:rPr>
          <w:rFonts w:hint="eastAsia" w:ascii="宋体" w:hAnsi="宋体" w:eastAsia="宋体" w:cs="宋体"/>
          <w:b/>
          <w:bCs/>
          <w:color w:val="auto"/>
          <w:spacing w:val="20"/>
          <w:sz w:val="44"/>
          <w:szCs w:val="22"/>
          <w:highlight w:val="none"/>
          <w:u w:val="single"/>
          <w:lang w:val="en-US" w:eastAsia="zh-CN"/>
        </w:rPr>
        <w:t xml:space="preserve">                 </w:t>
      </w:r>
      <w:r>
        <w:rPr>
          <w:rFonts w:hint="eastAsia" w:ascii="宋体" w:hAnsi="宋体" w:eastAsia="宋体" w:cs="宋体"/>
          <w:b/>
          <w:bCs/>
          <w:color w:val="auto"/>
          <w:spacing w:val="20"/>
          <w:sz w:val="44"/>
          <w:szCs w:val="22"/>
          <w:highlight w:val="none"/>
          <w:lang w:eastAsia="zh-CN"/>
        </w:rPr>
        <w:t>项目</w:t>
      </w:r>
      <w:r>
        <w:rPr>
          <w:rFonts w:hint="eastAsia" w:ascii="宋体" w:hAnsi="宋体" w:eastAsia="宋体" w:cs="宋体"/>
          <w:b/>
          <w:bCs/>
          <w:color w:val="auto"/>
          <w:spacing w:val="20"/>
          <w:sz w:val="44"/>
          <w:szCs w:val="22"/>
          <w:highlight w:val="none"/>
          <w:lang w:val="en-US" w:eastAsia="zh-CN"/>
        </w:rPr>
        <w:t>服务</w:t>
      </w:r>
      <w:r>
        <w:rPr>
          <w:rFonts w:hint="eastAsia" w:ascii="宋体" w:hAnsi="宋体" w:eastAsia="宋体" w:cs="宋体"/>
          <w:b/>
          <w:bCs/>
          <w:color w:val="auto"/>
          <w:spacing w:val="20"/>
          <w:sz w:val="44"/>
          <w:szCs w:val="22"/>
          <w:highlight w:val="none"/>
          <w:lang w:eastAsia="zh-CN"/>
        </w:rPr>
        <w:t>合同</w:t>
      </w:r>
    </w:p>
    <w:p w14:paraId="011FF931">
      <w:pPr>
        <w:snapToGrid w:val="0"/>
        <w:spacing w:line="532" w:lineRule="atLeast"/>
        <w:textAlignment w:val="baseline"/>
        <w:rPr>
          <w:rFonts w:hint="eastAsia" w:ascii="宋体" w:hAnsi="宋体" w:eastAsia="宋体" w:cs="宋体"/>
          <w:color w:val="auto"/>
          <w:kern w:val="0"/>
          <w:szCs w:val="21"/>
          <w:highlight w:val="none"/>
        </w:rPr>
      </w:pPr>
    </w:p>
    <w:p w14:paraId="474F2FB0">
      <w:pPr>
        <w:snapToGrid w:val="0"/>
        <w:spacing w:line="532" w:lineRule="atLeast"/>
        <w:textAlignment w:val="baseline"/>
        <w:rPr>
          <w:rFonts w:hint="eastAsia" w:ascii="宋体" w:hAnsi="宋体" w:eastAsia="宋体" w:cs="宋体"/>
          <w:color w:val="auto"/>
          <w:kern w:val="0"/>
          <w:szCs w:val="21"/>
          <w:highlight w:val="none"/>
        </w:rPr>
      </w:pPr>
    </w:p>
    <w:p w14:paraId="4ED553A2">
      <w:pPr>
        <w:snapToGrid w:val="0"/>
        <w:spacing w:line="532" w:lineRule="atLeast"/>
        <w:textAlignment w:val="baseline"/>
        <w:rPr>
          <w:rFonts w:hint="eastAsia" w:ascii="宋体" w:hAnsi="宋体" w:eastAsia="宋体" w:cs="宋体"/>
          <w:color w:val="auto"/>
          <w:kern w:val="0"/>
          <w:szCs w:val="21"/>
          <w:highlight w:val="none"/>
        </w:rPr>
      </w:pPr>
    </w:p>
    <w:p w14:paraId="270ED50E">
      <w:pPr>
        <w:snapToGrid w:val="0"/>
        <w:spacing w:line="532" w:lineRule="atLeast"/>
        <w:textAlignment w:val="baseline"/>
        <w:rPr>
          <w:rFonts w:hint="eastAsia" w:ascii="宋体" w:hAnsi="宋体" w:eastAsia="宋体" w:cs="宋体"/>
          <w:color w:val="auto"/>
          <w:kern w:val="0"/>
          <w:szCs w:val="21"/>
          <w:highlight w:val="none"/>
        </w:rPr>
      </w:pPr>
    </w:p>
    <w:p w14:paraId="1CCA9678">
      <w:pPr>
        <w:snapToGrid w:val="0"/>
        <w:spacing w:line="532" w:lineRule="atLeast"/>
        <w:textAlignment w:val="baseline"/>
        <w:rPr>
          <w:rFonts w:hint="eastAsia" w:ascii="宋体" w:hAnsi="宋体" w:eastAsia="宋体" w:cs="宋体"/>
          <w:color w:val="auto"/>
          <w:kern w:val="0"/>
          <w:szCs w:val="21"/>
          <w:highlight w:val="none"/>
        </w:rPr>
      </w:pPr>
    </w:p>
    <w:p w14:paraId="1399694C">
      <w:pPr>
        <w:snapToGrid w:val="0"/>
        <w:spacing w:line="532" w:lineRule="atLeast"/>
        <w:textAlignment w:val="baseline"/>
        <w:rPr>
          <w:rFonts w:hint="eastAsia" w:ascii="宋体" w:hAnsi="宋体" w:eastAsia="宋体" w:cs="宋体"/>
          <w:color w:val="auto"/>
          <w:kern w:val="0"/>
          <w:szCs w:val="21"/>
          <w:highlight w:val="none"/>
        </w:rPr>
      </w:pPr>
    </w:p>
    <w:p w14:paraId="3F9B6180">
      <w:pPr>
        <w:snapToGrid w:val="0"/>
        <w:spacing w:line="532" w:lineRule="atLeast"/>
        <w:textAlignment w:val="baseline"/>
        <w:rPr>
          <w:rFonts w:hint="eastAsia" w:ascii="宋体" w:hAnsi="宋体" w:eastAsia="宋体" w:cs="宋体"/>
          <w:color w:val="auto"/>
          <w:kern w:val="0"/>
          <w:szCs w:val="21"/>
          <w:highlight w:val="none"/>
        </w:rPr>
      </w:pPr>
    </w:p>
    <w:p w14:paraId="616E8DAD">
      <w:pPr>
        <w:pStyle w:val="2"/>
        <w:rPr>
          <w:rFonts w:hint="eastAsia" w:ascii="宋体" w:hAnsi="宋体" w:eastAsia="宋体" w:cs="宋体"/>
          <w:color w:val="auto"/>
          <w:kern w:val="0"/>
          <w:szCs w:val="21"/>
          <w:highlight w:val="none"/>
        </w:rPr>
      </w:pPr>
    </w:p>
    <w:p w14:paraId="4F908D90">
      <w:pPr>
        <w:rPr>
          <w:rFonts w:hint="eastAsia" w:ascii="宋体" w:hAnsi="宋体" w:eastAsia="宋体" w:cs="宋体"/>
          <w:color w:val="auto"/>
          <w:kern w:val="0"/>
          <w:szCs w:val="21"/>
          <w:highlight w:val="none"/>
        </w:rPr>
      </w:pPr>
    </w:p>
    <w:p w14:paraId="1936FC32">
      <w:pPr>
        <w:pStyle w:val="2"/>
        <w:rPr>
          <w:rFonts w:hint="eastAsia" w:ascii="宋体" w:hAnsi="宋体" w:eastAsia="宋体" w:cs="宋体"/>
          <w:color w:val="auto"/>
          <w:kern w:val="0"/>
          <w:szCs w:val="21"/>
          <w:highlight w:val="none"/>
        </w:rPr>
      </w:pPr>
    </w:p>
    <w:p w14:paraId="10273D70">
      <w:pPr>
        <w:rPr>
          <w:rFonts w:hint="eastAsia" w:ascii="宋体" w:hAnsi="宋体" w:eastAsia="宋体" w:cs="宋体"/>
          <w:color w:val="auto"/>
          <w:kern w:val="0"/>
          <w:szCs w:val="21"/>
          <w:highlight w:val="none"/>
        </w:rPr>
      </w:pPr>
    </w:p>
    <w:p w14:paraId="7FBF5CE3">
      <w:pPr>
        <w:pStyle w:val="2"/>
        <w:rPr>
          <w:rFonts w:hint="eastAsia" w:ascii="宋体" w:hAnsi="宋体" w:eastAsia="宋体" w:cs="宋体"/>
          <w:color w:val="auto"/>
          <w:kern w:val="0"/>
          <w:szCs w:val="21"/>
          <w:highlight w:val="none"/>
        </w:rPr>
      </w:pPr>
    </w:p>
    <w:p w14:paraId="65EA6381">
      <w:pPr>
        <w:rPr>
          <w:rFonts w:hint="eastAsia"/>
          <w:color w:val="auto"/>
        </w:rPr>
      </w:pPr>
    </w:p>
    <w:p w14:paraId="265BD0DF">
      <w:pPr>
        <w:snapToGrid w:val="0"/>
        <w:spacing w:line="532" w:lineRule="atLeast"/>
        <w:ind w:firstLine="960" w:firstLineChars="400"/>
        <w:textAlignment w:val="baseline"/>
        <w:rPr>
          <w:rFonts w:hint="eastAsia" w:ascii="宋体" w:hAnsi="宋体" w:eastAsia="宋体" w:cs="宋体"/>
          <w:b/>
          <w:bCs/>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名 称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bCs/>
          <w:color w:val="auto"/>
          <w:kern w:val="0"/>
          <w:sz w:val="24"/>
          <w:szCs w:val="24"/>
          <w:highlight w:val="none"/>
          <w:u w:val="single" w:color="000000"/>
        </w:rPr>
        <w:t xml:space="preserve">       </w:t>
      </w:r>
    </w:p>
    <w:p w14:paraId="28F00C05">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地 点 ：</w:t>
      </w:r>
      <w:r>
        <w:rPr>
          <w:rFonts w:hint="eastAsia" w:ascii="宋体" w:hAnsi="宋体" w:eastAsia="宋体" w:cs="宋体"/>
          <w:color w:val="auto"/>
          <w:kern w:val="0"/>
          <w:sz w:val="24"/>
          <w:szCs w:val="24"/>
          <w:highlight w:val="none"/>
          <w:u w:val="single" w:color="000000"/>
        </w:rPr>
        <w:t xml:space="preserve">                                           </w:t>
      </w:r>
    </w:p>
    <w:p w14:paraId="45F14F8B">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p>
    <w:p w14:paraId="37978525">
      <w:pPr>
        <w:snapToGrid w:val="0"/>
        <w:spacing w:line="532" w:lineRule="atLeast"/>
        <w:ind w:firstLine="960" w:firstLineChars="4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   包  人 ：</w:t>
      </w:r>
      <w:r>
        <w:rPr>
          <w:rFonts w:hint="eastAsia" w:ascii="宋体" w:hAnsi="宋体" w:eastAsia="宋体" w:cs="宋体"/>
          <w:color w:val="auto"/>
          <w:kern w:val="0"/>
          <w:sz w:val="24"/>
          <w:szCs w:val="24"/>
          <w:highlight w:val="none"/>
          <w:u w:val="single" w:color="000000"/>
        </w:rPr>
        <w:t xml:space="preserve">                                           </w:t>
      </w:r>
    </w:p>
    <w:p w14:paraId="61362BEC">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color="000000"/>
        </w:rPr>
        <w:t xml:space="preserve">                                           </w:t>
      </w:r>
    </w:p>
    <w:p w14:paraId="50E7B9F2">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722DB1F9">
      <w:pPr>
        <w:snapToGrid w:val="0"/>
        <w:spacing w:line="532" w:lineRule="atLeast"/>
        <w:textAlignment w:val="baseline"/>
        <w:rPr>
          <w:rFonts w:hint="eastAsia" w:ascii="宋体" w:hAnsi="宋体" w:eastAsia="宋体" w:cs="宋体"/>
          <w:b/>
          <w:bCs/>
          <w:color w:val="auto"/>
          <w:sz w:val="24"/>
          <w:szCs w:val="24"/>
          <w:highlight w:val="none"/>
        </w:rPr>
      </w:pPr>
    </w:p>
    <w:p w14:paraId="4CFFC079">
      <w:pPr>
        <w:snapToGrid w:val="0"/>
        <w:spacing w:line="532" w:lineRule="atLeast"/>
        <w:textAlignment w:val="baseline"/>
        <w:rPr>
          <w:rFonts w:hint="eastAsia" w:ascii="宋体" w:hAnsi="宋体" w:eastAsia="宋体" w:cs="宋体"/>
          <w:b/>
          <w:bCs/>
          <w:color w:val="auto"/>
          <w:kern w:val="0"/>
          <w:szCs w:val="21"/>
          <w:highlight w:val="none"/>
        </w:rPr>
      </w:pPr>
    </w:p>
    <w:p w14:paraId="1D0F867F">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kern w:val="0"/>
          <w:sz w:val="21"/>
          <w:szCs w:val="21"/>
          <w:highlight w:val="none"/>
        </w:rPr>
        <w:t>一、采购合同格式（服务）</w:t>
      </w:r>
    </w:p>
    <w:p w14:paraId="5FCBB3B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cs="宋体"/>
          <w:b w:val="0"/>
          <w:bCs/>
          <w:color w:val="auto"/>
          <w:kern w:val="0"/>
          <w:sz w:val="21"/>
          <w:szCs w:val="21"/>
          <w:highlight w:val="none"/>
          <w:shd w:val="clear" w:color="auto" w:fill="FFFFFF"/>
          <w:lang w:val="en-US" w:eastAsia="zh-CN" w:bidi="ar-SA"/>
        </w:rPr>
        <w:t>西安市司法局</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rPr>
        <w:t>项目</w:t>
      </w: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的监督管理下，由</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组织</w:t>
      </w:r>
      <w:r>
        <w:rPr>
          <w:rFonts w:hint="eastAsia" w:ascii="宋体" w:hAnsi="宋体" w:eastAsia="宋体" w:cs="宋体"/>
          <w:color w:val="auto"/>
          <w:kern w:val="0"/>
          <w:sz w:val="21"/>
          <w:szCs w:val="21"/>
          <w:highlight w:val="none"/>
          <w:lang w:val="en-US" w:eastAsia="zh-CN"/>
        </w:rPr>
        <w:t>竞争性磋商会议</w:t>
      </w:r>
      <w:r>
        <w:rPr>
          <w:rFonts w:hint="eastAsia" w:ascii="宋体" w:hAnsi="宋体" w:eastAsia="宋体" w:cs="宋体"/>
          <w:color w:val="auto"/>
          <w:kern w:val="0"/>
          <w:sz w:val="21"/>
          <w:szCs w:val="21"/>
          <w:highlight w:val="none"/>
        </w:rPr>
        <w:t>。</w:t>
      </w:r>
      <w:r>
        <w:rPr>
          <w:rFonts w:hint="eastAsia" w:ascii="宋体" w:hAnsi="宋体" w:cs="宋体"/>
          <w:b w:val="0"/>
          <w:bCs/>
          <w:color w:val="auto"/>
          <w:kern w:val="0"/>
          <w:sz w:val="21"/>
          <w:szCs w:val="21"/>
          <w:highlight w:val="none"/>
          <w:shd w:val="clear" w:color="auto" w:fill="FFFFFF"/>
          <w:lang w:val="en-US" w:eastAsia="zh-CN" w:bidi="ar-SA"/>
        </w:rPr>
        <w:t>西安市司法局</w:t>
      </w:r>
      <w:r>
        <w:rPr>
          <w:rFonts w:hint="eastAsia" w:ascii="宋体" w:hAnsi="宋体" w:eastAsia="宋体" w:cs="宋体"/>
          <w:color w:val="auto"/>
          <w:kern w:val="0"/>
          <w:sz w:val="21"/>
          <w:szCs w:val="21"/>
          <w:highlight w:val="none"/>
        </w:rPr>
        <w:t>(以下简称“甲方”)确定</w:t>
      </w:r>
      <w:r>
        <w:rPr>
          <w:rFonts w:hint="eastAsia" w:ascii="宋体" w:hAnsi="宋体" w:eastAsia="宋体" w:cs="宋体"/>
          <w:color w:val="auto"/>
          <w:kern w:val="0"/>
          <w:sz w:val="21"/>
          <w:szCs w:val="21"/>
          <w:highlight w:val="none"/>
          <w:u w:val="single"/>
        </w:rPr>
        <w:t xml:space="preserve">    (</w:t>
      </w:r>
      <w:bookmarkStart w:id="1" w:name="_GoBack"/>
      <w:bookmarkEnd w:id="1"/>
      <w:r>
        <w:rPr>
          <w:rFonts w:hint="eastAsia" w:ascii="宋体" w:hAnsi="宋体" w:cs="宋体"/>
          <w:color w:val="auto"/>
          <w:kern w:val="0"/>
          <w:sz w:val="21"/>
          <w:szCs w:val="21"/>
          <w:highlight w:val="none"/>
          <w:u w:val="single"/>
          <w:lang w:eastAsia="zh-CN"/>
        </w:rPr>
        <w:t>中标</w:t>
      </w:r>
      <w:r>
        <w:rPr>
          <w:rFonts w:hint="eastAsia" w:ascii="宋体" w:hAnsi="宋体" w:eastAsia="宋体" w:cs="宋体"/>
          <w:color w:val="auto"/>
          <w:kern w:val="0"/>
          <w:sz w:val="21"/>
          <w:szCs w:val="21"/>
          <w:highlight w:val="none"/>
          <w:u w:val="single"/>
        </w:rPr>
        <w:t xml:space="preserve">单位名称)  </w:t>
      </w:r>
      <w:r>
        <w:rPr>
          <w:rFonts w:hint="eastAsia" w:ascii="宋体" w:hAnsi="宋体" w:eastAsia="宋体" w:cs="宋体"/>
          <w:color w:val="auto"/>
          <w:kern w:val="0"/>
          <w:sz w:val="21"/>
          <w:szCs w:val="21"/>
          <w:highlight w:val="none"/>
        </w:rPr>
        <w:t>（以下简称“乙方”）为</w:t>
      </w:r>
      <w:r>
        <w:rPr>
          <w:rFonts w:hint="eastAsia" w:ascii="宋体" w:hAnsi="宋体" w:cs="宋体"/>
          <w:color w:val="auto"/>
          <w:kern w:val="0"/>
          <w:sz w:val="21"/>
          <w:szCs w:val="21"/>
          <w:highlight w:val="none"/>
          <w:lang w:eastAsia="zh-CN"/>
        </w:rPr>
        <w:t>中标</w:t>
      </w:r>
      <w:r>
        <w:rPr>
          <w:rFonts w:hint="eastAsia" w:ascii="宋体" w:hAnsi="宋体" w:eastAsia="宋体" w:cs="宋体"/>
          <w:color w:val="auto"/>
          <w:kern w:val="0"/>
          <w:sz w:val="21"/>
          <w:szCs w:val="21"/>
          <w:highlight w:val="none"/>
        </w:rPr>
        <w:t>单位。</w:t>
      </w:r>
    </w:p>
    <w:p w14:paraId="0F7D596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依据《中华人民共和国</w:t>
      </w:r>
      <w:r>
        <w:rPr>
          <w:rFonts w:hint="eastAsia" w:ascii="宋体" w:hAnsi="宋体" w:eastAsia="宋体" w:cs="宋体"/>
          <w:color w:val="auto"/>
          <w:kern w:val="0"/>
          <w:sz w:val="21"/>
          <w:szCs w:val="21"/>
          <w:highlight w:val="none"/>
          <w:lang w:eastAsia="zh-CN"/>
        </w:rPr>
        <w:t>民法典</w:t>
      </w:r>
      <w:r>
        <w:rPr>
          <w:rFonts w:hint="eastAsia" w:ascii="宋体" w:hAnsi="宋体" w:eastAsia="宋体" w:cs="宋体"/>
          <w:color w:val="auto"/>
          <w:kern w:val="0"/>
          <w:sz w:val="21"/>
          <w:szCs w:val="21"/>
          <w:highlight w:val="none"/>
        </w:rPr>
        <w:t>》和《中华人民共和国政府采购法》</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《中华人民共和国政府采购法实施条例》，甲方通过</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u w:val="single"/>
        </w:rPr>
        <w:t xml:space="preserve">        （服务内容）        </w:t>
      </w:r>
      <w:r>
        <w:rPr>
          <w:rFonts w:hint="eastAsia" w:ascii="宋体" w:hAnsi="宋体" w:eastAsia="宋体" w:cs="宋体"/>
          <w:color w:val="auto"/>
          <w:kern w:val="0"/>
          <w:sz w:val="21"/>
          <w:szCs w:val="21"/>
          <w:highlight w:val="none"/>
        </w:rPr>
        <w:t>，并接受了乙方以价格</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eastAsia="zh-CN"/>
        </w:rPr>
        <w:t>中标</w:t>
      </w:r>
      <w:r>
        <w:rPr>
          <w:rFonts w:hint="eastAsia" w:ascii="宋体" w:hAnsi="宋体" w:eastAsia="宋体" w:cs="宋体"/>
          <w:color w:val="auto"/>
          <w:kern w:val="0"/>
          <w:sz w:val="21"/>
          <w:szCs w:val="21"/>
          <w:highlight w:val="none"/>
          <w:u w:val="single"/>
        </w:rPr>
        <w:t xml:space="preserve">金额大写)   </w:t>
      </w:r>
      <w:r>
        <w:rPr>
          <w:rFonts w:hint="eastAsia" w:ascii="宋体" w:hAnsi="宋体" w:eastAsia="宋体" w:cs="宋体"/>
          <w:color w:val="auto"/>
          <w:kern w:val="0"/>
          <w:sz w:val="21"/>
          <w:szCs w:val="21"/>
          <w:highlight w:val="none"/>
          <w:u w:val="none"/>
          <w:lang w:eastAsia="zh-CN"/>
        </w:rPr>
        <w:t>（</w:t>
      </w:r>
      <w:r>
        <w:rPr>
          <w:rFonts w:hint="eastAsia" w:ascii="宋体" w:hAnsi="宋体" w:eastAsia="宋体" w:cs="宋体"/>
          <w:color w:val="auto"/>
          <w:kern w:val="0"/>
          <w:sz w:val="21"/>
          <w:szCs w:val="21"/>
          <w:highlight w:val="none"/>
        </w:rPr>
        <w:t>以下简称“合同价”)提供的产品及服务。</w:t>
      </w:r>
    </w:p>
    <w:p w14:paraId="5D405D8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本合同在此声明如下：</w:t>
      </w:r>
    </w:p>
    <w:p w14:paraId="411A696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1、本合同中的词语和术语的含义与合同条款中定义的相同。</w:t>
      </w:r>
    </w:p>
    <w:p w14:paraId="6BBC72E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2、下述文件是本合同的一部分，并与本合同一起阅读和解释：</w:t>
      </w:r>
    </w:p>
    <w:p w14:paraId="789D6691">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1）合同条款</w:t>
      </w:r>
    </w:p>
    <w:p w14:paraId="56C91F0E">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2）合同条款附件</w:t>
      </w:r>
    </w:p>
    <w:p w14:paraId="50D02FB9">
      <w:pPr>
        <w:keepNext w:val="0"/>
        <w:keepLines w:val="0"/>
        <w:pageBreakBefore w:val="0"/>
        <w:widowControl w:val="0"/>
        <w:kinsoku/>
        <w:wordWrap/>
        <w:overflowPunct/>
        <w:topLinePunct w:val="0"/>
        <w:bidi w:val="0"/>
        <w:snapToGrid w:val="0"/>
        <w:spacing w:line="470" w:lineRule="exact"/>
        <w:ind w:firstLine="840" w:firstLineChars="4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附件1—服务承诺</w:t>
      </w:r>
    </w:p>
    <w:p w14:paraId="1AF82181">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cs="宋体"/>
          <w:color w:val="auto"/>
          <w:kern w:val="0"/>
          <w:sz w:val="21"/>
          <w:szCs w:val="21"/>
          <w:highlight w:val="none"/>
          <w:lang w:eastAsia="zh-CN"/>
        </w:rPr>
        <w:t>中标</w:t>
      </w:r>
      <w:r>
        <w:rPr>
          <w:rFonts w:hint="eastAsia" w:ascii="宋体" w:hAnsi="宋体" w:eastAsia="宋体" w:cs="宋体"/>
          <w:color w:val="auto"/>
          <w:kern w:val="0"/>
          <w:sz w:val="21"/>
          <w:szCs w:val="21"/>
          <w:highlight w:val="none"/>
        </w:rPr>
        <w:t>通知书</w:t>
      </w:r>
    </w:p>
    <w:p w14:paraId="6416E352">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w:t>
      </w:r>
    </w:p>
    <w:p w14:paraId="5711C376">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cs="宋体"/>
          <w:color w:val="auto"/>
          <w:kern w:val="0"/>
          <w:sz w:val="21"/>
          <w:szCs w:val="21"/>
          <w:highlight w:val="none"/>
          <w:lang w:val="en-US" w:eastAsia="zh-CN"/>
        </w:rPr>
        <w:t>磋商响应</w:t>
      </w:r>
      <w:r>
        <w:rPr>
          <w:rFonts w:hint="eastAsia" w:ascii="宋体" w:hAnsi="宋体" w:eastAsia="宋体" w:cs="宋体"/>
          <w:color w:val="auto"/>
          <w:kern w:val="0"/>
          <w:sz w:val="21"/>
          <w:szCs w:val="21"/>
          <w:highlight w:val="none"/>
        </w:rPr>
        <w:t>文件</w:t>
      </w:r>
    </w:p>
    <w:p w14:paraId="5E752D5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3、考虑到甲方将按照本合同向乙方支付货款，乙方在此保证全部按照合同的规定向甲方提供服务，并修补缺陷。</w:t>
      </w:r>
    </w:p>
    <w:p w14:paraId="2036C31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4、考虑到乙方提供的服务并修补缺陷，甲方在此保证按照合同规定的时间和方式向乙方支付合同价或其他按合同规定应支付的金额。</w:t>
      </w:r>
    </w:p>
    <w:p w14:paraId="24CF940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5、付款方式</w:t>
      </w:r>
    </w:p>
    <w:p w14:paraId="71E9CBE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合同签订时，双方自行商议确定。</w:t>
      </w:r>
    </w:p>
    <w:p w14:paraId="0CE4560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6、服务期限：</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w:t>
      </w:r>
    </w:p>
    <w:p w14:paraId="659ED0C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地    点：</w:t>
      </w:r>
      <w:r>
        <w:rPr>
          <w:rFonts w:hint="eastAsia" w:ascii="宋体" w:hAnsi="宋体" w:cs="宋体"/>
          <w:color w:val="auto"/>
          <w:kern w:val="0"/>
          <w:sz w:val="21"/>
          <w:szCs w:val="21"/>
          <w:highlight w:val="none"/>
          <w:lang w:val="en-US" w:eastAsia="zh-CN"/>
        </w:rPr>
        <w:t>西安市司法局</w:t>
      </w:r>
      <w:r>
        <w:rPr>
          <w:rFonts w:hint="eastAsia" w:ascii="宋体" w:hAnsi="宋体" w:eastAsia="宋体" w:cs="宋体"/>
          <w:color w:val="auto"/>
          <w:kern w:val="0"/>
          <w:sz w:val="21"/>
          <w:szCs w:val="21"/>
          <w:highlight w:val="none"/>
        </w:rPr>
        <w:t>指定地点。</w:t>
      </w:r>
    </w:p>
    <w:p w14:paraId="23333AB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lang w:val="en-US" w:eastAsia="zh-CN"/>
        </w:rPr>
        <w:t>肆</w:t>
      </w:r>
      <w:r>
        <w:rPr>
          <w:rFonts w:hint="eastAsia" w:ascii="宋体" w:hAnsi="宋体" w:eastAsia="宋体" w:cs="宋体"/>
          <w:color w:val="auto"/>
          <w:kern w:val="0"/>
          <w:sz w:val="21"/>
          <w:szCs w:val="21"/>
          <w:highlight w:val="none"/>
        </w:rPr>
        <w:t>份，其中，甲方贰份，乙方贰份。</w:t>
      </w:r>
    </w:p>
    <w:p w14:paraId="45FE30D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、本合同由甲乙双方共同签字盖章之日起生效。</w:t>
      </w:r>
    </w:p>
    <w:p w14:paraId="1945EB3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tbl>
      <w:tblPr>
        <w:tblStyle w:val="7"/>
        <w:tblW w:w="0" w:type="auto"/>
        <w:jc w:val="center"/>
        <w:tblLayout w:type="fixed"/>
        <w:tblCellMar>
          <w:top w:w="0" w:type="dxa"/>
          <w:left w:w="108" w:type="dxa"/>
          <w:bottom w:w="0" w:type="dxa"/>
          <w:right w:w="108" w:type="dxa"/>
        </w:tblCellMar>
      </w:tblPr>
      <w:tblGrid>
        <w:gridCol w:w="4139"/>
        <w:gridCol w:w="4139"/>
      </w:tblGrid>
      <w:tr w14:paraId="2CE969C1">
        <w:tblPrEx>
          <w:tblCellMar>
            <w:top w:w="0" w:type="dxa"/>
            <w:left w:w="108" w:type="dxa"/>
            <w:bottom w:w="0" w:type="dxa"/>
            <w:right w:w="108" w:type="dxa"/>
          </w:tblCellMar>
        </w:tblPrEx>
        <w:trPr>
          <w:trHeight w:val="680" w:hRule="exact"/>
          <w:jc w:val="center"/>
        </w:trPr>
        <w:tc>
          <w:tcPr>
            <w:tcW w:w="4139" w:type="dxa"/>
            <w:noWrap w:val="0"/>
            <w:vAlign w:val="center"/>
          </w:tcPr>
          <w:p w14:paraId="72D0E1FE">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139" w:type="dxa"/>
            <w:noWrap w:val="0"/>
            <w:vAlign w:val="center"/>
          </w:tcPr>
          <w:p w14:paraId="76538948">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3119229D">
        <w:tblPrEx>
          <w:tblCellMar>
            <w:top w:w="0" w:type="dxa"/>
            <w:left w:w="108" w:type="dxa"/>
            <w:bottom w:w="0" w:type="dxa"/>
            <w:right w:w="108" w:type="dxa"/>
          </w:tblCellMar>
        </w:tblPrEx>
        <w:trPr>
          <w:trHeight w:val="590" w:hRule="exact"/>
          <w:jc w:val="center"/>
        </w:trPr>
        <w:tc>
          <w:tcPr>
            <w:tcW w:w="4139" w:type="dxa"/>
            <w:noWrap w:val="0"/>
            <w:vAlign w:val="center"/>
          </w:tcPr>
          <w:p w14:paraId="4F3B93DB">
            <w:pPr>
              <w:keepNext w:val="0"/>
              <w:keepLines w:val="0"/>
              <w:pageBreakBefore w:val="0"/>
              <w:widowControl w:val="0"/>
              <w:kinsoku/>
              <w:wordWrap/>
              <w:overflowPunct/>
              <w:topLinePunct w:val="0"/>
              <w:autoSpaceDE w:val="0"/>
              <w:autoSpaceDN w:val="0"/>
              <w:bidi w:val="0"/>
              <w:adjustRightInd w:val="0"/>
              <w:spacing w:line="47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139" w:type="dxa"/>
            <w:noWrap w:val="0"/>
            <w:vAlign w:val="center"/>
          </w:tcPr>
          <w:p w14:paraId="15BC6823">
            <w:pPr>
              <w:keepNext w:val="0"/>
              <w:keepLines w:val="0"/>
              <w:pageBreakBefore w:val="0"/>
              <w:widowControl w:val="0"/>
              <w:kinsoku/>
              <w:wordWrap/>
              <w:overflowPunct/>
              <w:topLinePunct w:val="0"/>
              <w:autoSpaceDE w:val="0"/>
              <w:autoSpaceDN w:val="0"/>
              <w:bidi w:val="0"/>
              <w:adjustRightInd w:val="0"/>
              <w:spacing w:line="47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77BABA15">
        <w:tblPrEx>
          <w:tblCellMar>
            <w:top w:w="0" w:type="dxa"/>
            <w:left w:w="108" w:type="dxa"/>
            <w:bottom w:w="0" w:type="dxa"/>
            <w:right w:w="108" w:type="dxa"/>
          </w:tblCellMar>
        </w:tblPrEx>
        <w:trPr>
          <w:trHeight w:val="620" w:hRule="exact"/>
          <w:jc w:val="center"/>
        </w:trPr>
        <w:tc>
          <w:tcPr>
            <w:tcW w:w="4139" w:type="dxa"/>
            <w:noWrap w:val="0"/>
            <w:vAlign w:val="center"/>
          </w:tcPr>
          <w:p w14:paraId="1717EEF9">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139" w:type="dxa"/>
            <w:noWrap w:val="0"/>
            <w:vAlign w:val="center"/>
          </w:tcPr>
          <w:p w14:paraId="24C74D30">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6A65628C">
        <w:tblPrEx>
          <w:tblCellMar>
            <w:top w:w="0" w:type="dxa"/>
            <w:left w:w="108" w:type="dxa"/>
            <w:bottom w:w="0" w:type="dxa"/>
            <w:right w:w="108" w:type="dxa"/>
          </w:tblCellMar>
        </w:tblPrEx>
        <w:trPr>
          <w:trHeight w:val="575" w:hRule="exact"/>
          <w:jc w:val="center"/>
        </w:trPr>
        <w:tc>
          <w:tcPr>
            <w:tcW w:w="4139" w:type="dxa"/>
            <w:noWrap w:val="0"/>
            <w:vAlign w:val="center"/>
          </w:tcPr>
          <w:p w14:paraId="14426D4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139" w:type="dxa"/>
            <w:noWrap w:val="0"/>
            <w:vAlign w:val="center"/>
          </w:tcPr>
          <w:p w14:paraId="64F17F6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695015A3">
        <w:tblPrEx>
          <w:tblCellMar>
            <w:top w:w="0" w:type="dxa"/>
            <w:left w:w="108" w:type="dxa"/>
            <w:bottom w:w="0" w:type="dxa"/>
            <w:right w:w="108" w:type="dxa"/>
          </w:tblCellMar>
        </w:tblPrEx>
        <w:trPr>
          <w:trHeight w:val="620" w:hRule="exact"/>
          <w:jc w:val="center"/>
        </w:trPr>
        <w:tc>
          <w:tcPr>
            <w:tcW w:w="4139" w:type="dxa"/>
            <w:noWrap w:val="0"/>
            <w:vAlign w:val="center"/>
          </w:tcPr>
          <w:p w14:paraId="3949056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139" w:type="dxa"/>
            <w:noWrap w:val="0"/>
            <w:vAlign w:val="center"/>
          </w:tcPr>
          <w:p w14:paraId="335E2D7C">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47581674">
        <w:tblPrEx>
          <w:tblCellMar>
            <w:top w:w="0" w:type="dxa"/>
            <w:left w:w="108" w:type="dxa"/>
            <w:bottom w:w="0" w:type="dxa"/>
            <w:right w:w="108" w:type="dxa"/>
          </w:tblCellMar>
        </w:tblPrEx>
        <w:trPr>
          <w:trHeight w:val="650" w:hRule="exact"/>
          <w:jc w:val="center"/>
        </w:trPr>
        <w:tc>
          <w:tcPr>
            <w:tcW w:w="4139" w:type="dxa"/>
            <w:noWrap w:val="0"/>
            <w:vAlign w:val="center"/>
          </w:tcPr>
          <w:p w14:paraId="7604B47A">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139" w:type="dxa"/>
            <w:noWrap w:val="0"/>
            <w:vAlign w:val="center"/>
          </w:tcPr>
          <w:p w14:paraId="0FF3317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3C75D4BA">
        <w:tblPrEx>
          <w:tblCellMar>
            <w:top w:w="0" w:type="dxa"/>
            <w:left w:w="108" w:type="dxa"/>
            <w:bottom w:w="0" w:type="dxa"/>
            <w:right w:w="108" w:type="dxa"/>
          </w:tblCellMar>
        </w:tblPrEx>
        <w:trPr>
          <w:trHeight w:val="530" w:hRule="exact"/>
          <w:jc w:val="center"/>
        </w:trPr>
        <w:tc>
          <w:tcPr>
            <w:tcW w:w="4139" w:type="dxa"/>
            <w:noWrap w:val="0"/>
            <w:vAlign w:val="center"/>
          </w:tcPr>
          <w:p w14:paraId="5CA761B7">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139" w:type="dxa"/>
            <w:noWrap w:val="0"/>
            <w:vAlign w:val="center"/>
          </w:tcPr>
          <w:p w14:paraId="4E5EC7E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4133BB46">
        <w:tblPrEx>
          <w:tblCellMar>
            <w:top w:w="0" w:type="dxa"/>
            <w:left w:w="108" w:type="dxa"/>
            <w:bottom w:w="0" w:type="dxa"/>
            <w:right w:w="108" w:type="dxa"/>
          </w:tblCellMar>
        </w:tblPrEx>
        <w:trPr>
          <w:trHeight w:val="530" w:hRule="exact"/>
          <w:jc w:val="center"/>
        </w:trPr>
        <w:tc>
          <w:tcPr>
            <w:tcW w:w="4139" w:type="dxa"/>
            <w:noWrap w:val="0"/>
            <w:vAlign w:val="center"/>
          </w:tcPr>
          <w:p w14:paraId="328D9A9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139" w:type="dxa"/>
            <w:noWrap w:val="0"/>
            <w:vAlign w:val="center"/>
          </w:tcPr>
          <w:p w14:paraId="14ADDED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2AF83BC1">
        <w:tblPrEx>
          <w:tblCellMar>
            <w:top w:w="0" w:type="dxa"/>
            <w:left w:w="108" w:type="dxa"/>
            <w:bottom w:w="0" w:type="dxa"/>
            <w:right w:w="108" w:type="dxa"/>
          </w:tblCellMar>
        </w:tblPrEx>
        <w:trPr>
          <w:trHeight w:val="665" w:hRule="exact"/>
          <w:jc w:val="center"/>
        </w:trPr>
        <w:tc>
          <w:tcPr>
            <w:tcW w:w="4139" w:type="dxa"/>
            <w:noWrap w:val="0"/>
            <w:vAlign w:val="center"/>
          </w:tcPr>
          <w:p w14:paraId="0A55F7AC">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139" w:type="dxa"/>
            <w:noWrap w:val="0"/>
            <w:vAlign w:val="center"/>
          </w:tcPr>
          <w:p w14:paraId="22500BD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474A550B">
        <w:tblPrEx>
          <w:tblCellMar>
            <w:top w:w="0" w:type="dxa"/>
            <w:left w:w="108" w:type="dxa"/>
            <w:bottom w:w="0" w:type="dxa"/>
            <w:right w:w="108" w:type="dxa"/>
          </w:tblCellMar>
        </w:tblPrEx>
        <w:trPr>
          <w:trHeight w:val="680" w:hRule="exact"/>
          <w:jc w:val="center"/>
        </w:trPr>
        <w:tc>
          <w:tcPr>
            <w:tcW w:w="4139" w:type="dxa"/>
            <w:noWrap w:val="0"/>
            <w:vAlign w:val="center"/>
          </w:tcPr>
          <w:p w14:paraId="1F628CF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139" w:type="dxa"/>
            <w:noWrap w:val="0"/>
            <w:vAlign w:val="center"/>
          </w:tcPr>
          <w:p w14:paraId="313492D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68B5F1A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5524C5D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F8A21A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4B9C27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431403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8120FC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D981F0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285EB9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6D212E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5216D72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596347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592CB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28A2C51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27A5A8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3E96494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56BCA6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321C37B">
      <w:pP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br w:type="page"/>
      </w:r>
    </w:p>
    <w:p w14:paraId="0E31239E">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二、合同条款</w:t>
      </w:r>
    </w:p>
    <w:p w14:paraId="71B4D93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1、定义</w:t>
      </w:r>
    </w:p>
    <w:p w14:paraId="0F79D17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本合同下列术语应解释为：</w:t>
      </w:r>
    </w:p>
    <w:p w14:paraId="3F21773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1-1、“合同”系指买卖双方签署的、合同格式中载明的甲乙双方所达成的协议，包括所有的附件、附录和</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文件所提到的构成合同的所有文件。</w:t>
      </w:r>
    </w:p>
    <w:p w14:paraId="284D17F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1-2、“合同价”系指根据本合同规定乙方在正确地完全履行合同义务后甲方应支付给乙方的价款。</w:t>
      </w:r>
    </w:p>
    <w:p w14:paraId="23FB400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 “服务”系指根据甲方需要，乙方为甲方提供该项目的服务等业务。</w:t>
      </w:r>
    </w:p>
    <w:p w14:paraId="5543BDB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1-4、“合同条款”系指本合同条款。</w:t>
      </w:r>
    </w:p>
    <w:p w14:paraId="6D505B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1-5、“甲方”是指购买服务的单位即</w:t>
      </w:r>
      <w:r>
        <w:rPr>
          <w:rFonts w:hint="eastAsia" w:ascii="宋体" w:hAnsi="宋体" w:cs="宋体"/>
          <w:color w:val="auto"/>
          <w:kern w:val="0"/>
          <w:sz w:val="21"/>
          <w:szCs w:val="21"/>
          <w:highlight w:val="none"/>
          <w:lang w:val="en-US" w:eastAsia="zh-CN"/>
        </w:rPr>
        <w:t>西安市司法局</w:t>
      </w:r>
      <w:r>
        <w:rPr>
          <w:rFonts w:hint="eastAsia" w:ascii="宋体" w:hAnsi="宋体" w:eastAsia="宋体" w:cs="宋体"/>
          <w:color w:val="auto"/>
          <w:kern w:val="0"/>
          <w:sz w:val="21"/>
          <w:szCs w:val="21"/>
          <w:highlight w:val="none"/>
        </w:rPr>
        <w:t>。</w:t>
      </w:r>
    </w:p>
    <w:p w14:paraId="450494D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1-6、“乙方”是指提供本合同内的服务的公司或其它实体即</w:t>
      </w:r>
      <w:r>
        <w:rPr>
          <w:rFonts w:hint="eastAsia" w:ascii="宋体" w:hAnsi="宋体" w:cs="宋体"/>
          <w:color w:val="auto"/>
          <w:kern w:val="0"/>
          <w:sz w:val="21"/>
          <w:szCs w:val="21"/>
          <w:highlight w:val="none"/>
          <w:lang w:eastAsia="zh-CN"/>
        </w:rPr>
        <w:t>中标</w:t>
      </w:r>
      <w:r>
        <w:rPr>
          <w:rFonts w:hint="eastAsia" w:ascii="宋体" w:hAnsi="宋体" w:eastAsia="宋体" w:cs="宋体"/>
          <w:color w:val="auto"/>
          <w:kern w:val="0"/>
          <w:sz w:val="21"/>
          <w:szCs w:val="21"/>
          <w:highlight w:val="none"/>
        </w:rPr>
        <w:t>人。</w:t>
      </w:r>
    </w:p>
    <w:p w14:paraId="490C756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1-7、“天”指日历天数。</w:t>
      </w:r>
    </w:p>
    <w:p w14:paraId="4CD9656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2、适用性</w:t>
      </w:r>
    </w:p>
    <w:p w14:paraId="1442699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本合同条款适用于没有被本项目</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文件规定条款、乙方的</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文件承诺条款所取代的范围。</w:t>
      </w:r>
    </w:p>
    <w:p w14:paraId="732054B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3、甲方的权利及义务</w:t>
      </w:r>
    </w:p>
    <w:p w14:paraId="2AB2B89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1）、甲方有权享有乙方按照上述约定提供的服务。</w:t>
      </w:r>
    </w:p>
    <w:p w14:paraId="2457EDE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96FF41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甲方有权根据服务要求和标准考评乙方服务质量，如乙方提供的服务不合格或不符合约定的，甲方有权按照一定比例减少支付服务费用，具体减付比例结合乙方提供服务未达到约定的范围，严重程度、给甲方造成的损失情况等确定。          </w:t>
      </w:r>
    </w:p>
    <w:p w14:paraId="48A226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4）、除本合同约定的服务费用外，乙方不得向甲方及其甲方人员收取其他任何费用，如甲方发现乙方有此类行为，甲方有权要求乙方清退所收费用，退还利息并支付违约金；</w:t>
      </w:r>
    </w:p>
    <w:p w14:paraId="3F6E316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5）、在服务实施过程中，甲方应为乙方提供必要的工作便利与指导，配合乙方履行职责。</w:t>
      </w:r>
    </w:p>
    <w:p w14:paraId="0CCD658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6）、甲方不得将本合同的内容向甲乙双方以外的、与签订和履行本合同无关的任何第三方透露，不得泄露乙方的商业秘密（包括本合同及其附件和合同签订前的各项方案）。</w:t>
      </w:r>
    </w:p>
    <w:p w14:paraId="52CEB6F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4、乙方的责任和义务</w:t>
      </w:r>
    </w:p>
    <w:p w14:paraId="66A244F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1）、乙方有义务按照</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文件约定的内容提供服务。</w:t>
      </w:r>
    </w:p>
    <w:p w14:paraId="36D9FD6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文件的项目参与人员在实际施工过程中不得随意更换，如有特殊情况，需报请采购单位同意后方可更换人员，更换人员应与原有人员具有相同资质。</w:t>
      </w:r>
    </w:p>
    <w:p w14:paraId="48A9008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3）、乙方须按照甲方要求完成服务。</w:t>
      </w:r>
    </w:p>
    <w:p w14:paraId="79AD024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4）、遵守国家及相关部门的规定，以及本文件的规定与要求，按规定作业，如有违反责任由</w:t>
      </w:r>
      <w:r>
        <w:rPr>
          <w:rFonts w:hint="eastAsia" w:ascii="宋体" w:hAnsi="宋体" w:cs="宋体"/>
          <w:color w:val="auto"/>
          <w:kern w:val="0"/>
          <w:sz w:val="21"/>
          <w:szCs w:val="21"/>
          <w:highlight w:val="none"/>
          <w:lang w:val="en-US" w:eastAsia="zh-CN"/>
        </w:rPr>
        <w:t>中标</w:t>
      </w:r>
      <w:r>
        <w:rPr>
          <w:rFonts w:hint="eastAsia" w:ascii="宋体" w:hAnsi="宋体" w:eastAsia="宋体" w:cs="宋体"/>
          <w:color w:val="auto"/>
          <w:kern w:val="0"/>
          <w:sz w:val="21"/>
          <w:szCs w:val="21"/>
          <w:highlight w:val="none"/>
        </w:rPr>
        <w:t>单位承担。</w:t>
      </w:r>
    </w:p>
    <w:p w14:paraId="6FE8A97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6）、合同执行完毕后，经过甲方与监理方共同验收，通过验收后，才能支付剩余款项。</w:t>
      </w:r>
    </w:p>
    <w:p w14:paraId="57F3BF2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5、违约责任</w:t>
      </w:r>
    </w:p>
    <w:p w14:paraId="5DE0629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（一）甲方：由于甲方的原因或因不可抗力的自然因素影响，则服务周期顺延。 </w:t>
      </w:r>
    </w:p>
    <w:p w14:paraId="0E64671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（二）乙方</w:t>
      </w:r>
    </w:p>
    <w:p w14:paraId="25F31CB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1、合同签订后，如乙方擅自中途停止或解除合同，乙方应向甲方双倍返还定金。没有约定定金的，乙方向甲方赔偿服务价款的。</w:t>
      </w:r>
    </w:p>
    <w:p w14:paraId="6A8106D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2、在甲方提供了必要的工作、生活条件，并且保证了项目款按时到位，乙方未能按合同规定的日期完成服务时，应向甲方赔偿拖期损失费，每天的拖期损失费按合同约定的项目总造价款的。</w:t>
      </w:r>
    </w:p>
    <w:p w14:paraId="6CDDF1D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3、因天气、交通、政府行为、甲方提供的资料不准确等客观原因造成的周期拖期，乙方不承担赔偿责任。 </w:t>
      </w:r>
    </w:p>
    <w:p w14:paraId="592610E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76901E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74621F1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乙方提供的服务成果不合格的，乙方应负责无偿予以改正或采取补救措施，以达到质量要求。因服务成果最终不符合合同要求（而又非甲方提供的资料原因所致）造成后果时，乙方应对因此造成的直接损失负赔偿责任，并承担相应的法律责任（由于甲方原因产生的责任由甲方自己负责）。</w:t>
      </w:r>
    </w:p>
    <w:p w14:paraId="45D9E14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在合同期内和合同终止后，乙方应负责所有成果、资料的保密，非经甲方书面认可，不得向任何人以任何方式提供任何资料。严格按甲方要求程序传递各种资料，否则甲方有权单方解除合同，并追回所付项目款。</w:t>
      </w:r>
    </w:p>
    <w:p w14:paraId="5769620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8、乙方不得将本项目的任何部分转包或分包给其他任何单位和个人。若擅自转包或分包本合同标的，甲方有权解除合同，并可要求乙方偿付预算服务费30%的违约金，同时追究其法律责任。</w:t>
      </w:r>
    </w:p>
    <w:p w14:paraId="2CC5BBA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（三）任何一方违反或擅自变更本合同的约定，应当承担由此给对方造成的经济损失和相关责任。 </w:t>
      </w:r>
    </w:p>
    <w:p w14:paraId="1747033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乙任何一方按照本合同约定收取违约金或赔偿金时，应提前书面通知违约方并说明违约金数额或赔偿金额；违约方应在收到对方发出的书面索赔通知的十个工作日内按索赔要求支付违约金或赔偿金；如违约方对违约金或赔偿金额有异议，应在收到通知后七个工作日内通知对方，双方应在收到对方的通知或答复后尽快协商明确违约责任。</w:t>
      </w:r>
    </w:p>
    <w:p w14:paraId="3062295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2、 因执行本合同发生的一切争议，双方应首先友好协商解决。经协商不能解决，应向甲方所在地人民法院提起诉讼。在诉讼期间，除必须在诉讼过程中进行解决的问题外，合同其余部分应继续履行。 </w:t>
      </w:r>
    </w:p>
    <w:p w14:paraId="6218CAB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 甲、乙双方有一方有正当理由要求变更本合同，须提前一个月以书面形式通知对方并协商解决，协商通过后再行变更合同。 </w:t>
      </w:r>
    </w:p>
    <w:p w14:paraId="7A832B8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4、合同期满双方不再续约或者因一方违约导致本合同无法履行，则本合同终止。但合同的终止不得损害第三方的利益，双方应为此做出合理安排。 </w:t>
      </w:r>
    </w:p>
    <w:p w14:paraId="2FE359F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5、甲乙双方未经对方同意，任何一方不得将本合同部分或全部权利和义务转让给第三方。</w:t>
      </w:r>
    </w:p>
    <w:p w14:paraId="677C612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6、本合同中涉及的所有“通知”、“同意”、“确认” 等事项均应以书面形式做出，并作为依据。</w:t>
      </w:r>
    </w:p>
    <w:p w14:paraId="6297DC2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7、本合同有关附件及补充合同是本合同不可分割的组成部分，与本合同具有同等法律效力；本合同未尽事宜，双方另行协商并签署补充合同，作为本合同的附件，具有同等法律效力。</w:t>
      </w:r>
    </w:p>
    <w:p w14:paraId="049DBEC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8、合同生效</w:t>
      </w:r>
    </w:p>
    <w:p w14:paraId="599B2B4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本合同由甲乙双方共同签字盖章之日起生效。</w:t>
      </w:r>
    </w:p>
    <w:p w14:paraId="0067115C">
      <w:pPr>
        <w:shd w:val="clear" w:color="auto" w:fill="auto"/>
        <w:adjustRightInd w:val="0"/>
        <w:snapToGrid w:val="0"/>
        <w:spacing w:line="360" w:lineRule="auto"/>
        <w:rPr>
          <w:rFonts w:hint="eastAsia" w:ascii="宋体" w:hAnsi="宋体" w:eastAsia="宋体" w:cs="宋体"/>
          <w:b/>
          <w:color w:val="auto"/>
          <w:sz w:val="21"/>
          <w:szCs w:val="21"/>
        </w:rPr>
      </w:pPr>
    </w:p>
    <w:p w14:paraId="4FE6EBFD">
      <w:pPr>
        <w:spacing w:line="360" w:lineRule="auto"/>
      </w:pPr>
    </w:p>
    <w:sectPr>
      <w:pgSz w:w="11905" w:h="16838"/>
      <w:pgMar w:top="1417" w:right="1417" w:bottom="1417" w:left="1417" w:header="850" w:footer="1134"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4A9545A4"/>
    <w:rsid w:val="05C475A6"/>
    <w:rsid w:val="0EFE331F"/>
    <w:rsid w:val="4A9545A4"/>
    <w:rsid w:val="664E3A69"/>
    <w:rsid w:val="682A5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Normal (Web)"/>
    <w:basedOn w:val="1"/>
    <w:next w:val="4"/>
    <w:autoRedefine/>
    <w:qFormat/>
    <w:uiPriority w:val="0"/>
    <w:pPr>
      <w:widowControl/>
      <w:spacing w:before="100" w:beforeAutospacing="1" w:after="100" w:afterAutospacing="1"/>
      <w:jc w:val="left"/>
    </w:pPr>
    <w:rPr>
      <w:rFonts w:ascii="宋体" w:hAnsi="宋体"/>
      <w:kern w:val="0"/>
      <w:sz w:val="18"/>
      <w:szCs w:val="18"/>
    </w:rPr>
  </w:style>
  <w:style w:type="paragraph" w:styleId="6">
    <w:name w:val="Body Text First Indent"/>
    <w:basedOn w:val="2"/>
    <w:autoRedefine/>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3035</Words>
  <Characters>3052</Characters>
  <Lines>0</Lines>
  <Paragraphs>0</Paragraphs>
  <TotalTime>4</TotalTime>
  <ScaleCrop>false</ScaleCrop>
  <LinksUpToDate>false</LinksUpToDate>
  <CharactersWithSpaces>3472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2024-08-15T08:16:00Z</dcterms:created>
  <dc:creator>WPS_1617088470</dc:creator>
  <cp:lastModifiedBy>WPS_1617088470</cp:lastModifiedBy>
  <dcterms:modified xsi:type="dcterms:W3CDTF">2025-08-18T10:49:57Z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A120D6020167489EB8AEC45D90CCA959_11</vt:lpwstr>
  </property>
  <property fmtid="{D5CDD505-2E9C-101B-9397-08002B2CF9AE}" pid="4" name="KSOTemplateDocerSaveRecord">
    <vt:lpwstr>eyJoZGlkIjoiMWY1ODBjODE3MGYxNGZkZDhjODRlNTc3ZDcwZGNmNjciLCJ1c2VySWQiOiIxMjAxNjE3NTYyIn0=</vt:lpwstr>
  </property>
</Properties>
</file>