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版本号：XAJG（ZFCG）-2025072220250818001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中文纸质报刊采购项目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XAJG（ZFCG）-20250722</w:t>
      </w:r>
      <w:r>
        <w:br/>
      </w:r>
      <w:r>
        <w:br/>
      </w:r>
      <w:r>
        <w:br/>
      </w:r>
    </w:p>
    <w:p>
      <w:pPr>
        <w:pStyle w:val="null3"/>
        <w:jc w:val="center"/>
        <w:outlineLvl w:val="2"/>
      </w:pPr>
      <w:r>
        <w:rPr>
          <w:rFonts w:ascii="仿宋_GB2312" w:hAnsi="仿宋_GB2312" w:cs="仿宋_GB2312" w:eastAsia="仿宋_GB2312"/>
          <w:sz w:val="28"/>
          <w:b/>
        </w:rPr>
        <w:t>西安铁路职业技术学院</w:t>
      </w:r>
    </w:p>
    <w:p>
      <w:pPr>
        <w:pStyle w:val="null3"/>
        <w:jc w:val="center"/>
        <w:outlineLvl w:val="2"/>
      </w:pPr>
      <w:r>
        <w:rPr>
          <w:rFonts w:ascii="仿宋_GB2312" w:hAnsi="仿宋_GB2312" w:cs="仿宋_GB2312" w:eastAsia="仿宋_GB2312"/>
          <w:sz w:val="28"/>
          <w:b/>
        </w:rPr>
        <w:t>西安建工建设工程招标有限公司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西安建工建设工程招标有限公司</w:t>
      </w:r>
      <w:r>
        <w:rPr>
          <w:rFonts w:ascii="仿宋_GB2312" w:hAnsi="仿宋_GB2312" w:cs="仿宋_GB2312" w:eastAsia="仿宋_GB2312"/>
        </w:rPr>
        <w:t>（以下简称“代理机构”）受</w:t>
      </w:r>
      <w:r>
        <w:rPr>
          <w:rFonts w:ascii="仿宋_GB2312" w:hAnsi="仿宋_GB2312" w:cs="仿宋_GB2312" w:eastAsia="仿宋_GB2312"/>
        </w:rPr>
        <w:t>西安铁路职业技术学院</w:t>
      </w:r>
      <w:r>
        <w:rPr>
          <w:rFonts w:ascii="仿宋_GB2312" w:hAnsi="仿宋_GB2312" w:cs="仿宋_GB2312" w:eastAsia="仿宋_GB2312"/>
        </w:rPr>
        <w:t>委托，拟对</w:t>
      </w:r>
      <w:r>
        <w:rPr>
          <w:rFonts w:ascii="仿宋_GB2312" w:hAnsi="仿宋_GB2312" w:cs="仿宋_GB2312" w:eastAsia="仿宋_GB2312"/>
        </w:rPr>
        <w:t>中文纸质报刊采购项目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XAJG（ZFCG）-20250722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中文纸质报刊采购项目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2025年度中文纸质报刊项目，主要是为学校的发展需要提供系统、完整、利用率高的报刊信息资源。</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1、营业执照等主体资格证明文件：在中华人民共和国境内注册，依法取得并有效存续的营业执照（含电子营业执照）\事业单位法人证书\民办非企业单位登记证书\非企业专业服务机构执业许可证等</w:t>
      </w:r>
    </w:p>
    <w:p>
      <w:pPr>
        <w:pStyle w:val="null3"/>
      </w:pPr>
      <w:r>
        <w:rPr>
          <w:rFonts w:ascii="仿宋_GB2312" w:hAnsi="仿宋_GB2312" w:cs="仿宋_GB2312" w:eastAsia="仿宋_GB2312"/>
        </w:rPr>
        <w:t>2、授权书：法定代表人（主要负责人）委托代理人参加谈判时，应提供法定代表人（主要负责人）委托授权书、代理人身份证及近三个月在本单位缴纳的社保证明；法定代表人（主要负责人）亲自参加谈判时，应提供法定代表人（主要负责人）身份证明书</w:t>
      </w:r>
    </w:p>
    <w:p>
      <w:pPr>
        <w:pStyle w:val="null3"/>
      </w:pPr>
      <w:r>
        <w:rPr>
          <w:rFonts w:ascii="仿宋_GB2312" w:hAnsi="仿宋_GB2312" w:cs="仿宋_GB2312" w:eastAsia="仿宋_GB2312"/>
        </w:rPr>
        <w:t>3、信用记录：供应商的信用记录须符合财库[2016]125号文《财政部关于在政府采购活动中查询及使用信用记录有关问题的通知》的规定。供应商被“信用中国”网站列入失信被执行人、重大税收违法案件当事人名单的，供应商被“中国政府采购网”网站列入政府采购严重违法失信名单的，不得参与本项目谈判（供应商无须提供，谈判现场查询）</w:t>
      </w:r>
    </w:p>
    <w:p>
      <w:pPr>
        <w:pStyle w:val="null3"/>
      </w:pPr>
      <w:r>
        <w:rPr>
          <w:rFonts w:ascii="仿宋_GB2312" w:hAnsi="仿宋_GB2312" w:cs="仿宋_GB2312" w:eastAsia="仿宋_GB2312"/>
        </w:rPr>
        <w:t>4、资质证书：供应商须具有国家行政主管部门核发有效的《出版物经营许可证》</w:t>
      </w:r>
    </w:p>
    <w:p>
      <w:pPr>
        <w:pStyle w:val="null3"/>
      </w:pPr>
      <w:r>
        <w:rPr>
          <w:rFonts w:ascii="仿宋_GB2312" w:hAnsi="仿宋_GB2312" w:cs="仿宋_GB2312" w:eastAsia="仿宋_GB2312"/>
        </w:rPr>
        <w:t>5、税收缴纳证明：提交响应文件截止时间前一年内至少一个月的纳税证明或完税证明（任意税种），纳税证明或完税证明上应有代收机构或税务机关的公章或业务专用章。（依法免税的供应商应提供相应文件证明）</w:t>
      </w:r>
    </w:p>
    <w:p>
      <w:pPr>
        <w:pStyle w:val="null3"/>
      </w:pPr>
      <w:r>
        <w:rPr>
          <w:rFonts w:ascii="仿宋_GB2312" w:hAnsi="仿宋_GB2312" w:cs="仿宋_GB2312" w:eastAsia="仿宋_GB2312"/>
        </w:rPr>
        <w:t>6、社会保障资金缴纳证明：提交响应文件截止时间前一年内至少一个月的社会保障资金缴存单据或社保机构开具的社会保险参保缴费情况证明，单据或证明上应有社保机构或代收机构的公章或业务专用章。（依法不需要缴纳社会保障资金的供应商应提供相应文件证明）</w:t>
      </w:r>
    </w:p>
    <w:p>
      <w:pPr>
        <w:pStyle w:val="null3"/>
      </w:pPr>
      <w:r>
        <w:rPr>
          <w:rFonts w:ascii="仿宋_GB2312" w:hAnsi="仿宋_GB2312" w:cs="仿宋_GB2312" w:eastAsia="仿宋_GB2312"/>
        </w:rPr>
        <w:t>7、财务状况报告：提供2024年度经审计的财务会计报告（至少包括审计报告、资产负债表、现金流量表和利润表，成立时间至提交响应文件截止时间不足一年的可提供成立后任意时段的资产负债表）或提交响应文件截止时间前六个月内其基本账户开户银行出具的资信证明(附基本存款账户信息）或信用担保机构出具的投标担保函，（以上三种形式的资料提供任何一种即可）</w:t>
      </w:r>
    </w:p>
    <w:p>
      <w:pPr>
        <w:pStyle w:val="null3"/>
      </w:pPr>
      <w:r>
        <w:rPr>
          <w:rFonts w:ascii="仿宋_GB2312" w:hAnsi="仿宋_GB2312" w:cs="仿宋_GB2312" w:eastAsia="仿宋_GB2312"/>
        </w:rPr>
        <w:t>8、专业技术能力说明：供应商提供具有履行本合同所必需的设备和专业技术能力的承诺函</w:t>
      </w:r>
    </w:p>
    <w:p>
      <w:pPr>
        <w:pStyle w:val="null3"/>
      </w:pPr>
      <w:r>
        <w:rPr>
          <w:rFonts w:ascii="仿宋_GB2312" w:hAnsi="仿宋_GB2312" w:cs="仿宋_GB2312" w:eastAsia="仿宋_GB2312"/>
        </w:rPr>
        <w:t>9、无重大违法说明：供应商参加采购活动前3年内在经营活动中没有重大违法记录：参加采购活动前3年内在经营活动中没有重大违法记录；并提供书面声明</w:t>
      </w:r>
    </w:p>
    <w:p>
      <w:pPr>
        <w:pStyle w:val="null3"/>
      </w:pPr>
      <w:r>
        <w:rPr>
          <w:rFonts w:ascii="仿宋_GB2312" w:hAnsi="仿宋_GB2312" w:cs="仿宋_GB2312" w:eastAsia="仿宋_GB2312"/>
        </w:rPr>
        <w:t>10、非联合体承诺书：本项目不接受联合体谈判</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西安铁路职业技术学院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西安市国际港务区港务大道396号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17802925922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西安建工建设工程招标有限公司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西安市碑林区小东门外炮房街48号盈栋大厦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710048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牛超、顾扬</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029-82400102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说明：1）成交方在签订合同前须向采购方交纳合同总金额5%的履约保证金。 2）成交方无正当理由不与采购方订立合同，在签订合同时向采购方提出附加条件，或者不按照招标文件要求提交履约保证金的，取消其成交资格。 3）项目验收合格后，采购方向成交方无息退还履约保证金。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以成交金额为基础，参照原国家计委颁布的《招标代理服务费收费管理暂行办法》（计价格[2002]1980号）中货物类的收费标准下浮20%收取。具体收费金额将在成交公告中公布。</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西安铁路职业技术学院</w:t>
      </w:r>
      <w:r>
        <w:rPr>
          <w:rFonts w:ascii="仿宋_GB2312" w:hAnsi="仿宋_GB2312" w:cs="仿宋_GB2312" w:eastAsia="仿宋_GB2312"/>
        </w:rPr>
        <w:t>和</w:t>
      </w:r>
      <w:r>
        <w:rPr>
          <w:rFonts w:ascii="仿宋_GB2312" w:hAnsi="仿宋_GB2312" w:cs="仿宋_GB2312" w:eastAsia="仿宋_GB2312"/>
        </w:rPr>
        <w:t>西安建工建设工程招标有限公司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西安铁路职业技术学院</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西安建工建设工程招标有限公司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西安铁路职业技术学院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西安建工建设工程招标有限公司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西安建工建设工程招标有限公司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西安建工建设工程招标有限公司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西安建工建设工程招标有限公司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联系人：牛超、顾扬</w:t>
      </w:r>
    </w:p>
    <w:p>
      <w:pPr>
        <w:pStyle w:val="null3"/>
      </w:pPr>
      <w:r>
        <w:rPr>
          <w:rFonts w:ascii="仿宋_GB2312" w:hAnsi="仿宋_GB2312" w:cs="仿宋_GB2312" w:eastAsia="仿宋_GB2312"/>
        </w:rPr>
        <w:t>联系电话：029-82400102</w:t>
      </w:r>
    </w:p>
    <w:p>
      <w:pPr>
        <w:pStyle w:val="null3"/>
      </w:pPr>
      <w:r>
        <w:rPr>
          <w:rFonts w:ascii="仿宋_GB2312" w:hAnsi="仿宋_GB2312" w:cs="仿宋_GB2312" w:eastAsia="仿宋_GB2312"/>
        </w:rPr>
        <w:t>地址：西安市碑林区小东门外炮房街48号盈栋大厦6楼</w:t>
      </w:r>
    </w:p>
    <w:p>
      <w:pPr>
        <w:pStyle w:val="null3"/>
      </w:pPr>
      <w:r>
        <w:rPr>
          <w:rFonts w:ascii="仿宋_GB2312" w:hAnsi="仿宋_GB2312" w:cs="仿宋_GB2312" w:eastAsia="仿宋_GB2312"/>
        </w:rPr>
        <w:t>邮编：710048</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2025年度中文纸质报刊项目，主要是为学校的发展需要提供系统、完整、利用率高的报刊信息资源。</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140,000.00</w:t>
      </w:r>
    </w:p>
    <w:p>
      <w:pPr>
        <w:pStyle w:val="null3"/>
      </w:pPr>
      <w:r>
        <w:rPr>
          <w:rFonts w:ascii="仿宋_GB2312" w:hAnsi="仿宋_GB2312" w:cs="仿宋_GB2312" w:eastAsia="仿宋_GB2312"/>
        </w:rPr>
        <w:t>采购包最高限价（元）: 140,000.00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中文纸质报刊</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标的名称：中文纸质报刊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w:t>
            </w:r>
            <w:r>
              <w:rPr>
                <w:rFonts w:ascii="仿宋_GB2312" w:hAnsi="仿宋_GB2312" w:cs="仿宋_GB2312" w:eastAsia="仿宋_GB2312"/>
              </w:rPr>
              <w:t>、采购内容</w:t>
            </w:r>
          </w:p>
          <w:p>
            <w:pPr>
              <w:pStyle w:val="null3"/>
              <w:jc w:val="both"/>
            </w:pPr>
            <w:r>
              <w:rPr>
                <w:rFonts w:ascii="仿宋_GB2312" w:hAnsi="仿宋_GB2312" w:cs="仿宋_GB2312" w:eastAsia="仿宋_GB2312"/>
              </w:rPr>
              <w:t>采购货物为</w:t>
            </w:r>
            <w:r>
              <w:rPr>
                <w:rFonts w:ascii="仿宋_GB2312" w:hAnsi="仿宋_GB2312" w:cs="仿宋_GB2312" w:eastAsia="仿宋_GB2312"/>
              </w:rPr>
              <w:t>2026年中文纸质报纸和期刊，所购报刊必须是国家新闻出版总署公开发行的正式出版物，有正式报刊号。</w:t>
            </w:r>
          </w:p>
          <w:p>
            <w:pPr>
              <w:pStyle w:val="null3"/>
              <w:jc w:val="both"/>
            </w:pPr>
            <w:r>
              <w:rPr>
                <w:rFonts w:ascii="仿宋_GB2312" w:hAnsi="仿宋_GB2312" w:cs="仿宋_GB2312" w:eastAsia="仿宋_GB2312"/>
              </w:rPr>
              <w:t>二、</w:t>
            </w:r>
            <w:r>
              <w:rPr>
                <w:rFonts w:ascii="仿宋_GB2312" w:hAnsi="仿宋_GB2312" w:cs="仿宋_GB2312" w:eastAsia="仿宋_GB2312"/>
              </w:rPr>
              <w:t>技术要求（包括对产品的认证、检验报告等）</w:t>
            </w:r>
          </w:p>
          <w:p>
            <w:pPr>
              <w:pStyle w:val="null3"/>
              <w:jc w:val="both"/>
            </w:pPr>
            <w:r>
              <w:rPr>
                <w:rFonts w:ascii="仿宋_GB2312" w:hAnsi="仿宋_GB2312" w:cs="仿宋_GB2312" w:eastAsia="仿宋_GB2312"/>
              </w:rPr>
              <w:t>1．所购报刊必须是国家新闻出版总署公开发行的正式出版物，有正式报刊号。以专业报刊为主，社会科学类报刊为辅，供应商应向采购单位免费提供电子版和印刷本中文报刊征订目录。</w:t>
            </w:r>
          </w:p>
          <w:p>
            <w:pPr>
              <w:pStyle w:val="null3"/>
              <w:jc w:val="both"/>
            </w:pPr>
            <w:r>
              <w:rPr>
                <w:rFonts w:ascii="仿宋_GB2312" w:hAnsi="仿宋_GB2312" w:cs="仿宋_GB2312" w:eastAsia="仿宋_GB2312"/>
              </w:rPr>
              <w:t>2．供应商应提供期刊的数据著录MARC数据，免费为期刊加装可冲销磁条；免费承担符合招标单位要求的新刊到馆加工工作，同时承担所需材料费用。供应商应按照采购方要求提供期刊目录签到登记表。</w:t>
            </w:r>
          </w:p>
          <w:p>
            <w:pPr>
              <w:pStyle w:val="null3"/>
              <w:jc w:val="both"/>
            </w:pPr>
            <w:r>
              <w:rPr>
                <w:rFonts w:ascii="仿宋_GB2312" w:hAnsi="仿宋_GB2312" w:cs="仿宋_GB2312" w:eastAsia="仿宋_GB2312"/>
              </w:rPr>
              <w:t>三、</w:t>
            </w:r>
            <w:r>
              <w:rPr>
                <w:rFonts w:ascii="仿宋_GB2312" w:hAnsi="仿宋_GB2312" w:cs="仿宋_GB2312" w:eastAsia="仿宋_GB2312"/>
              </w:rPr>
              <w:t>服务要求</w:t>
            </w:r>
          </w:p>
          <w:p>
            <w:pPr>
              <w:pStyle w:val="null3"/>
              <w:jc w:val="both"/>
            </w:pPr>
            <w:r>
              <w:rPr>
                <w:rFonts w:ascii="仿宋_GB2312" w:hAnsi="仿宋_GB2312" w:cs="仿宋_GB2312" w:eastAsia="仿宋_GB2312"/>
              </w:rPr>
              <w:t>1. 供应商能提供完善的本地售后服务，有具体的供货组织安排，财力调配、运输、派送措施等，保证报刊送到率，按时送货。除不可抗拒的灾害（如地震、火灾）所造成的损失外，所订购当年报刊最迟于次年6月1日前到齐（因报刊社原因推迟出版的除外），报刊年到率不低于98%。</w:t>
            </w:r>
          </w:p>
          <w:p>
            <w:pPr>
              <w:pStyle w:val="null3"/>
              <w:jc w:val="both"/>
            </w:pPr>
            <w:r>
              <w:rPr>
                <w:rFonts w:ascii="仿宋_GB2312" w:hAnsi="仿宋_GB2312" w:cs="仿宋_GB2312" w:eastAsia="仿宋_GB2312"/>
              </w:rPr>
              <w:t>2. 每周按规定时间内将期刊投递到图书馆（港务、自强、龙首），期刊投递按照发行时间30天之内投递到位，报纸投递按照报纸发行时间24小时之内投递到位。所送报刊品种、质量、数量与清单一致并按照采购单位要求投送到指定位置，对投送时间以外到达的报刊由供应商暂行保管；放假期间到达的报刊由供应商按照采购方要求进行投送。</w:t>
            </w:r>
          </w:p>
          <w:p>
            <w:pPr>
              <w:pStyle w:val="null3"/>
              <w:jc w:val="both"/>
            </w:pPr>
            <w:r>
              <w:rPr>
                <w:rFonts w:ascii="仿宋_GB2312" w:hAnsi="仿宋_GB2312" w:cs="仿宋_GB2312" w:eastAsia="仿宋_GB2312"/>
              </w:rPr>
              <w:t>3. 供应商在投送中文期刊时应提供投递清单2份，一份供采购方验收后返还供应商，一份采购方留底备查。</w:t>
            </w:r>
          </w:p>
          <w:p>
            <w:pPr>
              <w:pStyle w:val="null3"/>
              <w:jc w:val="both"/>
            </w:pPr>
            <w:r>
              <w:rPr>
                <w:rFonts w:ascii="仿宋_GB2312" w:hAnsi="仿宋_GB2312" w:cs="仿宋_GB2312" w:eastAsia="仿宋_GB2312"/>
              </w:rPr>
              <w:t>4. 由于供应商原因，采购人发现报刊有错页、缺页、破损等质量问题的，供应商应及时无条件调换或补发。由于供应商原因，服务期内报刊到货率低于95%，或者投递不及时，影响到采购方使用的，除退款外，还应向采购方支付两倍赔偿金额。</w:t>
            </w:r>
          </w:p>
          <w:p>
            <w:pPr>
              <w:pStyle w:val="null3"/>
              <w:jc w:val="both"/>
            </w:pPr>
            <w:r>
              <w:rPr>
                <w:rFonts w:ascii="仿宋_GB2312" w:hAnsi="仿宋_GB2312" w:cs="仿宋_GB2312" w:eastAsia="仿宋_GB2312"/>
                <w:sz w:val="21"/>
              </w:rPr>
              <w:t>5. 供应商应及时处理采购方的催缺，并及时反馈报刊出版变化的有关信息。对于休刊、停刊等原因的报刊，应及时通知采购方并退款。</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自签订合同之日起2年内。</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西安铁路职业技术学院指定地点。可根据采购单位要求在合同期内进行调整。</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货物全部运到采购人指定地方，配送完毕并经终验合格后30天内，成交人持《终验合格单》原件及全额发票在采购人处办理全部货款的支付手续</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1、由使用单位根据合同对报刊的名称、出版社、类别、出版日期、数量进行检查，所有报刊配送完毕，由采购人、使用单位进行终验（最终验收），合格后签发《终验合格单》。 2、验收不合格的成交供应商，必须在接到通知后7个日历日内确保项目通过验收。如接到通知后7个日历日内验收仍不合格，采购人可提出索赔或取消其服务合同。采购代理机构将把成交资格授予评审排序下一名的成交供应商。 3、验收依据 （1）合同文本及合同补充文件（条款）。 （2）谈判文件。 （3）谈判响应文件 （4）成交单位的谈判响应文件。 （5）服务质量。</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成交人在与采购人沟通之后，按照采购方要求负责货物的运输及发放。</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整体质保≥2年。 1、调换率不高于3%，成交人的承诺超过谈判文件要求的，按其承诺质保。 2、所有报刊质量必须符合国家有关规范和相关政策。所有报刊必须是由国家正式出版社公开出版的未使用过的新报刊，质量优良、渠道正当，提供所供报刊出版社授权书，配置合理。 3、服务期内出现的质量问题由成交单位负责解决并承担所有费用。 4、成交人须保证所供报刊质量，提供正版报刊，所供报刊若有残缺、破损、字迹模糊等质量问题及发错、重订等情况，应无条件退货。凡有盗版、非法出版物，将无条件退货，并且采购方有权终止合同。</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2）未按合同要求提供产品或设备质量不能满足技术要求，采购人有权终止合同，并对中标方违约行为进行追究，同时按《政府采购法》的有关规定进行处罚。</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因采购系统文件编制有所限制，结合项目实际，特在此处进行说明：本项目按下浮比率进行报价。（例如：95折则下浮比率为5％）报价表中报价下浮的范围为0%-100%，超出报价范围或未按报价要求报价的谈判被否决。 2、分项报价表（标的清单）中的总价按各包预算金额填写。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在中华人民共和国境内注册，依法取得并有效存续的营业执照（含电子营业执照）\事业单位法人证书\民办非企业单位登记证书\非企业专业服务机构执业许可证等</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主要负责人）委托代理人参加谈判时，应提供法定代表人（主要负责人）委托授权书、代理人身份证及近三个月在本单位缴纳的社保证明；法定代表人（主要负责人）亲自参加谈判时，应提供法定代表人（主要负责人）身份证明书</w:t>
            </w:r>
          </w:p>
        </w:tc>
        <w:tc>
          <w:tcPr>
            <w:tcW w:type="dxa" w:w="1661"/>
          </w:tcPr>
          <w:p>
            <w:pPr>
              <w:pStyle w:val="null3"/>
            </w:pPr>
            <w:r>
              <w:rPr>
                <w:rFonts w:ascii="仿宋_GB2312" w:hAnsi="仿宋_GB2312" w:cs="仿宋_GB2312" w:eastAsia="仿宋_GB2312"/>
              </w:rPr>
              <w:t>法定代表人身份证明法定代表人授权书.docx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的信用记录须符合财库[2016]125号文《财政部关于在政府采购活动中查询及使用信用记录有关问题的通知》的规定。供应商被“信用中国”网站列入失信被执行人、重大税收违法案件当事人名单的，供应商被“中国政府采购网”网站列入政府采购严重违法失信名单的，不得参与本项目谈判（供应商无须提供，谈判现场查询）</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供应商须具有国家行政主管部门核发有效的《出版物经营许可证》</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提交响应文件截止时间前一年内至少一个月的纳税证明或完税证明（任意税种），纳税证明或完税证明上应有代收机构或税务机关的公章或业务专用章。（依法免税的供应商应提供相应文件证明）</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交响应文件截止时间前一年内至少一个月的社会保障资金缴存单据或社保机构开具的社会保险参保缴费情况证明，单据或证明上应有社保机构或代收机构的公章或业务专用章。（依法不需要缴纳社会保障资金的供应商应提供相应文件证明）</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会计报告（至少包括审计报告、资产负债表、现金流量表和利润表，成立时间至提交响应文件截止时间不足一年的可提供成立后任意时段的资产负债表）或提交响应文件截止时间前六个月内其基本账户开户银行出具的资信证明(附基本存款账户信息）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专业技术能力说明</w:t>
            </w:r>
          </w:p>
        </w:tc>
        <w:tc>
          <w:tcPr>
            <w:tcW w:type="dxa" w:w="3322"/>
          </w:tcPr>
          <w:p>
            <w:pPr>
              <w:pStyle w:val="null3"/>
            </w:pPr>
            <w:r>
              <w:rPr>
                <w:rFonts w:ascii="仿宋_GB2312" w:hAnsi="仿宋_GB2312" w:cs="仿宋_GB2312" w:eastAsia="仿宋_GB2312"/>
              </w:rPr>
              <w:t>供应商提供具有履行本合同所必需的设备和专业技术能力的承诺函</w:t>
            </w:r>
          </w:p>
        </w:tc>
        <w:tc>
          <w:tcPr>
            <w:tcW w:type="dxa" w:w="1661"/>
          </w:tcPr>
          <w:p>
            <w:pPr>
              <w:pStyle w:val="null3"/>
            </w:pPr>
            <w:r>
              <w:rPr>
                <w:rFonts w:ascii="仿宋_GB2312" w:hAnsi="仿宋_GB2312" w:cs="仿宋_GB2312" w:eastAsia="仿宋_GB2312"/>
              </w:rPr>
              <w:t>具有履行本合同所必需的设备和专业技术能力的书面声明.docx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无重大违法说明</w:t>
            </w:r>
          </w:p>
        </w:tc>
        <w:tc>
          <w:tcPr>
            <w:tcW w:type="dxa" w:w="3322"/>
          </w:tcPr>
          <w:p>
            <w:pPr>
              <w:pStyle w:val="null3"/>
            </w:pPr>
            <w:r>
              <w:rPr>
                <w:rFonts w:ascii="仿宋_GB2312" w:hAnsi="仿宋_GB2312" w:cs="仿宋_GB2312" w:eastAsia="仿宋_GB2312"/>
              </w:rPr>
              <w:t>供应商参加采购活动前3年内在经营活动中没有重大违法记录：参加采购活动前3年内在经营活动中没有重大违法记录；并提供书面声明</w:t>
            </w:r>
          </w:p>
        </w:tc>
        <w:tc>
          <w:tcPr>
            <w:tcW w:type="dxa" w:w="1661"/>
          </w:tcPr>
          <w:p>
            <w:pPr>
              <w:pStyle w:val="null3"/>
            </w:pPr>
            <w:r>
              <w:rPr>
                <w:rFonts w:ascii="仿宋_GB2312" w:hAnsi="仿宋_GB2312" w:cs="仿宋_GB2312" w:eastAsia="仿宋_GB2312"/>
              </w:rPr>
              <w:t>供应商无重大违法记录书面声明.docx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非联合体承诺书</w:t>
            </w:r>
          </w:p>
        </w:tc>
        <w:tc>
          <w:tcPr>
            <w:tcW w:type="dxa" w:w="3322"/>
          </w:tcPr>
          <w:p>
            <w:pPr>
              <w:pStyle w:val="null3"/>
            </w:pPr>
            <w:r>
              <w:rPr>
                <w:rFonts w:ascii="仿宋_GB2312" w:hAnsi="仿宋_GB2312" w:cs="仿宋_GB2312" w:eastAsia="仿宋_GB2312"/>
              </w:rPr>
              <w:t>本项目不接受联合体谈判</w:t>
            </w:r>
          </w:p>
        </w:tc>
        <w:tc>
          <w:tcPr>
            <w:tcW w:type="dxa" w:w="1661"/>
          </w:tcPr>
          <w:p>
            <w:pPr>
              <w:pStyle w:val="null3"/>
            </w:pPr>
            <w:r>
              <w:rPr>
                <w:rFonts w:ascii="仿宋_GB2312" w:hAnsi="仿宋_GB2312" w:cs="仿宋_GB2312" w:eastAsia="仿宋_GB2312"/>
              </w:rPr>
              <w:t>本项目不接受联合体.docx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中小企业声明函 商务应答表 特定资格证明文件.docx 供应商应提交的相关资格证明材料 报价表 具有履行本合同所必需的设备和专业技术能力的书面声明.docx 供应商无重大违法记录书面声明.docx 响应文件封面 产品技术参数表 法定代表人身份证明法定代表人授权书.docx 残疾人福利性单位声明函 标的清单 响应函 本项目不接受联合体.docx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提交响应文件的截止之日起不少于90天。</w:t>
            </w:r>
          </w:p>
        </w:tc>
        <w:tc>
          <w:tcPr>
            <w:tcW w:type="dxa" w:w="1661"/>
          </w:tcPr>
          <w:p>
            <w:pPr>
              <w:pStyle w:val="null3"/>
            </w:pPr>
            <w:r>
              <w:rPr>
                <w:rFonts w:ascii="仿宋_GB2312" w:hAnsi="仿宋_GB2312" w:cs="仿宋_GB2312" w:eastAsia="仿宋_GB2312"/>
              </w:rPr>
              <w:t>响应文件封面 商务应答表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供货期限</w:t>
            </w:r>
          </w:p>
        </w:tc>
        <w:tc>
          <w:tcPr>
            <w:tcW w:type="dxa" w:w="3322"/>
          </w:tcPr>
          <w:p>
            <w:pPr>
              <w:pStyle w:val="null3"/>
            </w:pPr>
            <w:r>
              <w:rPr>
                <w:rFonts w:ascii="仿宋_GB2312" w:hAnsi="仿宋_GB2312" w:cs="仿宋_GB2312" w:eastAsia="仿宋_GB2312"/>
              </w:rPr>
              <w:t>自签订合同之日起2年内</w:t>
            </w:r>
          </w:p>
        </w:tc>
        <w:tc>
          <w:tcPr>
            <w:tcW w:type="dxa" w:w="1661"/>
          </w:tcPr>
          <w:p>
            <w:pPr>
              <w:pStyle w:val="null3"/>
            </w:pPr>
            <w:r>
              <w:rPr>
                <w:rFonts w:ascii="仿宋_GB2312" w:hAnsi="仿宋_GB2312" w:cs="仿宋_GB2312" w:eastAsia="仿宋_GB2312"/>
              </w:rPr>
              <w:t>响应文件封面 产品技术参数表 商务应答表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交货地点</w:t>
            </w:r>
          </w:p>
        </w:tc>
        <w:tc>
          <w:tcPr>
            <w:tcW w:type="dxa" w:w="3322"/>
          </w:tcPr>
          <w:p>
            <w:pPr>
              <w:pStyle w:val="null3"/>
            </w:pPr>
            <w:r>
              <w:rPr>
                <w:rFonts w:ascii="仿宋_GB2312" w:hAnsi="仿宋_GB2312" w:cs="仿宋_GB2312" w:eastAsia="仿宋_GB2312"/>
              </w:rPr>
              <w:t>西安铁路职业技术学院指定地点。可根据采购单位要求在合同期内进行调整</w:t>
            </w:r>
          </w:p>
        </w:tc>
        <w:tc>
          <w:tcPr>
            <w:tcW w:type="dxa" w:w="1661"/>
          </w:tcPr>
          <w:p>
            <w:pPr>
              <w:pStyle w:val="null3"/>
            </w:pPr>
            <w:r>
              <w:rPr>
                <w:rFonts w:ascii="仿宋_GB2312" w:hAnsi="仿宋_GB2312" w:cs="仿宋_GB2312" w:eastAsia="仿宋_GB2312"/>
              </w:rPr>
              <w:t>响应文件封面 产品技术参数表 商务应答表 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技术参数</w:t>
            </w:r>
          </w:p>
        </w:tc>
        <w:tc>
          <w:tcPr>
            <w:tcW w:type="dxa" w:w="3322"/>
          </w:tcPr>
          <w:p>
            <w:pPr>
              <w:pStyle w:val="null3"/>
            </w:pPr>
            <w:r>
              <w:rPr>
                <w:rFonts w:ascii="仿宋_GB2312" w:hAnsi="仿宋_GB2312" w:cs="仿宋_GB2312" w:eastAsia="仿宋_GB2312"/>
              </w:rPr>
              <w:t>符合采购需求中的实质性要求和条件</w:t>
            </w:r>
          </w:p>
        </w:tc>
        <w:tc>
          <w:tcPr>
            <w:tcW w:type="dxa" w:w="1661"/>
          </w:tcPr>
          <w:p>
            <w:pPr>
              <w:pStyle w:val="null3"/>
            </w:pPr>
            <w:r>
              <w:rPr>
                <w:rFonts w:ascii="仿宋_GB2312" w:hAnsi="仿宋_GB2312" w:cs="仿宋_GB2312" w:eastAsia="仿宋_GB2312"/>
              </w:rPr>
              <w:t>响应文件封面 产品技术参数表 商务应答表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投标报价是否超过预算或最高限价</w:t>
            </w:r>
          </w:p>
        </w:tc>
        <w:tc>
          <w:tcPr>
            <w:tcW w:type="dxa" w:w="1661"/>
          </w:tcPr>
          <w:p>
            <w:pPr>
              <w:pStyle w:val="null3"/>
            </w:pPr>
            <w:r>
              <w:rPr>
                <w:rFonts w:ascii="仿宋_GB2312" w:hAnsi="仿宋_GB2312" w:cs="仿宋_GB2312" w:eastAsia="仿宋_GB2312"/>
              </w:rPr>
              <w:t>响应文件封面 产品技术参数表 商务应答表 标的清单 报价表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商务条款</w:t>
            </w:r>
          </w:p>
        </w:tc>
        <w:tc>
          <w:tcPr>
            <w:tcW w:type="dxa" w:w="3322"/>
          </w:tcPr>
          <w:p>
            <w:pPr>
              <w:pStyle w:val="null3"/>
            </w:pPr>
            <w:r>
              <w:rPr>
                <w:rFonts w:ascii="仿宋_GB2312" w:hAnsi="仿宋_GB2312" w:cs="仿宋_GB2312" w:eastAsia="仿宋_GB2312"/>
              </w:rPr>
              <w:t>与竞争性谈判文件商务要求条款不一致或增加了采购 人难以接受的条款</w:t>
            </w:r>
          </w:p>
        </w:tc>
        <w:tc>
          <w:tcPr>
            <w:tcW w:type="dxa" w:w="1661"/>
          </w:tcPr>
          <w:p>
            <w:pPr>
              <w:pStyle w:val="null3"/>
            </w:pPr>
            <w:r>
              <w:rPr>
                <w:rFonts w:ascii="仿宋_GB2312" w:hAnsi="仿宋_GB2312" w:cs="仿宋_GB2312" w:eastAsia="仿宋_GB2312"/>
              </w:rPr>
              <w:t>响应文件封面 商务应答表 标的清单 报价表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是否符合法律法规和竞争性谈判文件规定的其 他实质 性要求</w:t>
            </w:r>
          </w:p>
        </w:tc>
        <w:tc>
          <w:tcPr>
            <w:tcW w:type="dxa" w:w="1661"/>
          </w:tcPr>
          <w:p>
            <w:pPr>
              <w:pStyle w:val="null3"/>
            </w:pPr>
            <w:r>
              <w:rPr>
                <w:rFonts w:ascii="仿宋_GB2312" w:hAnsi="仿宋_GB2312" w:cs="仿宋_GB2312" w:eastAsia="仿宋_GB2312"/>
              </w:rPr>
              <w:t>中小企业声明函 商务应答表 特定资格证明文件.docx 报价表 具有履行本合同所必需的设备和专业技术能力的书面声明.docx 供应商无重大违法记录书面声明.docx 响应文件封面 产品技术参数表 法定代表人身份证明法定代表人授权书.docx 标的清单 响应函 本项目不接受联合体.docx 陕西省政府采购供应商拒绝政府采购领域商业贿赂承诺书.docx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详见附件：本项目不接受联合体.docx</w:t>
      </w:r>
    </w:p>
    <w:p>
      <w:pPr>
        <w:pStyle w:val="null3"/>
        <w:ind w:firstLine="960"/>
      </w:pPr>
      <w:r>
        <w:rPr>
          <w:rFonts w:ascii="仿宋_GB2312" w:hAnsi="仿宋_GB2312" w:cs="仿宋_GB2312" w:eastAsia="仿宋_GB2312"/>
        </w:rPr>
        <w:t>详见附件：法定代表人身份证明法定代表人授权书.docx</w:t>
      </w:r>
    </w:p>
    <w:p>
      <w:pPr>
        <w:pStyle w:val="null3"/>
        <w:ind w:firstLine="960"/>
      </w:pPr>
      <w:r>
        <w:rPr>
          <w:rFonts w:ascii="仿宋_GB2312" w:hAnsi="仿宋_GB2312" w:cs="仿宋_GB2312" w:eastAsia="仿宋_GB2312"/>
        </w:rPr>
        <w:t>详见附件：供应商无重大违法记录书面声明.docx</w:t>
      </w:r>
    </w:p>
    <w:p>
      <w:pPr>
        <w:pStyle w:val="null3"/>
        <w:ind w:firstLine="960"/>
      </w:pPr>
      <w:r>
        <w:rPr>
          <w:rFonts w:ascii="仿宋_GB2312" w:hAnsi="仿宋_GB2312" w:cs="仿宋_GB2312" w:eastAsia="仿宋_GB2312"/>
        </w:rPr>
        <w:t>详见附件：特定资格证明文件.docx</w:t>
      </w:r>
    </w:p>
    <w:p>
      <w:pPr>
        <w:pStyle w:val="null3"/>
        <w:ind w:firstLine="960"/>
      </w:pPr>
      <w:r>
        <w:rPr>
          <w:rFonts w:ascii="仿宋_GB2312" w:hAnsi="仿宋_GB2312" w:cs="仿宋_GB2312" w:eastAsia="仿宋_GB2312"/>
        </w:rPr>
        <w:t>详见附件：具有履行本合同所必需的设备和专业技术能力的书面声明.docx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详见附件：第八章 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