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6C57FE">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 xml:space="preserve">                                    </w:t>
      </w:r>
    </w:p>
    <w:p w14:paraId="729ED979">
      <w:pPr>
        <w:ind w:firstLine="0" w:firstLineChars="0"/>
        <w:rPr>
          <w:rFonts w:hint="eastAsia" w:ascii="仿宋" w:hAnsi="仿宋" w:eastAsia="仿宋" w:cs="仿宋"/>
          <w:sz w:val="32"/>
          <w:szCs w:val="32"/>
        </w:rPr>
      </w:pPr>
      <w:r>
        <w:rPr>
          <w:rFonts w:hint="eastAsia" w:ascii="仿宋" w:hAnsi="仿宋" w:eastAsia="仿宋" w:cs="仿宋"/>
          <w:sz w:val="32"/>
          <w:szCs w:val="32"/>
        </w:rPr>
        <w:t>项目名称：</w:t>
      </w:r>
      <w:r>
        <w:rPr>
          <w:rFonts w:hint="eastAsia" w:ascii="仿宋" w:hAnsi="仿宋" w:eastAsia="仿宋" w:cs="仿宋"/>
          <w:sz w:val="32"/>
          <w:szCs w:val="32"/>
          <w:lang w:val="en-US" w:eastAsia="zh-CN"/>
        </w:rPr>
        <w:t>被服材料、被服成品-2025</w:t>
      </w:r>
    </w:p>
    <w:p w14:paraId="2EDA454B">
      <w:pPr>
        <w:ind w:firstLine="0" w:firstLineChars="0"/>
        <w:rPr>
          <w:rFonts w:hint="eastAsia" w:ascii="仿宋" w:hAnsi="仿宋" w:eastAsia="仿宋" w:cs="仿宋"/>
          <w:sz w:val="32"/>
          <w:szCs w:val="32"/>
        </w:rPr>
      </w:pPr>
      <w:r>
        <w:rPr>
          <w:rFonts w:hint="eastAsia" w:ascii="仿宋" w:hAnsi="仿宋" w:eastAsia="仿宋" w:cs="仿宋"/>
          <w:sz w:val="32"/>
          <w:szCs w:val="32"/>
        </w:rPr>
        <w:t>项目编号：</w:t>
      </w:r>
      <w:bookmarkStart w:id="0" w:name="_GoBack"/>
      <w:bookmarkEnd w:id="0"/>
    </w:p>
    <w:p w14:paraId="3EC53504">
      <w:pPr>
        <w:jc w:val="center"/>
        <w:rPr>
          <w:rFonts w:hint="eastAsia" w:ascii="仿宋" w:hAnsi="仿宋" w:eastAsia="仿宋" w:cs="仿宋"/>
          <w:b/>
          <w:bCs/>
          <w:spacing w:val="-20"/>
          <w:sz w:val="28"/>
          <w:szCs w:val="28"/>
        </w:rPr>
      </w:pPr>
      <w:r>
        <w:rPr>
          <w:rFonts w:hint="eastAsia" w:ascii="仿宋" w:hAnsi="仿宋" w:eastAsia="仿宋" w:cs="仿宋"/>
          <w:b/>
          <w:bCs/>
          <w:spacing w:val="-20"/>
          <w:sz w:val="28"/>
          <w:szCs w:val="28"/>
        </w:rPr>
        <w:t xml:space="preserve"> </w:t>
      </w:r>
    </w:p>
    <w:p w14:paraId="0996AD04">
      <w:pPr>
        <w:jc w:val="center"/>
        <w:rPr>
          <w:rFonts w:hint="eastAsia" w:ascii="仿宋" w:hAnsi="仿宋" w:eastAsia="仿宋" w:cs="仿宋"/>
          <w:b/>
          <w:bCs/>
          <w:spacing w:val="-20"/>
          <w:sz w:val="28"/>
          <w:szCs w:val="28"/>
        </w:rPr>
      </w:pPr>
    </w:p>
    <w:p w14:paraId="30F9BF89">
      <w:pPr>
        <w:jc w:val="center"/>
        <w:rPr>
          <w:rFonts w:hint="eastAsia" w:ascii="仿宋" w:hAnsi="仿宋" w:eastAsia="仿宋" w:cs="仿宋"/>
          <w:b/>
          <w:bCs/>
          <w:spacing w:val="-20"/>
          <w:sz w:val="28"/>
          <w:szCs w:val="28"/>
        </w:rPr>
      </w:pPr>
    </w:p>
    <w:p w14:paraId="0C874DB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Cs/>
          <w:sz w:val="52"/>
          <w:szCs w:val="52"/>
        </w:rPr>
      </w:pPr>
      <w:r>
        <w:rPr>
          <w:rFonts w:hint="eastAsia" w:ascii="仿宋" w:hAnsi="仿宋" w:eastAsia="仿宋" w:cs="仿宋"/>
          <w:bCs/>
          <w:sz w:val="52"/>
          <w:szCs w:val="52"/>
        </w:rPr>
        <w:t>西安市人民医院（西安市第四医院）</w:t>
      </w:r>
    </w:p>
    <w:p w14:paraId="7B8B8AC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Cs/>
          <w:sz w:val="52"/>
          <w:szCs w:val="52"/>
        </w:rPr>
      </w:pPr>
      <w:r>
        <w:rPr>
          <w:rFonts w:hint="eastAsia" w:ascii="仿宋" w:hAnsi="仿宋" w:eastAsia="仿宋" w:cs="仿宋"/>
          <w:bCs/>
          <w:sz w:val="52"/>
          <w:szCs w:val="52"/>
        </w:rPr>
        <w:t>采 购 合 同</w:t>
      </w:r>
    </w:p>
    <w:p w14:paraId="383760B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8"/>
          <w:szCs w:val="28"/>
        </w:rPr>
      </w:pPr>
    </w:p>
    <w:p w14:paraId="1604989A">
      <w:pPr>
        <w:jc w:val="center"/>
        <w:rPr>
          <w:rFonts w:hint="eastAsia" w:ascii="仿宋" w:hAnsi="仿宋" w:eastAsia="仿宋" w:cs="仿宋"/>
          <w:sz w:val="28"/>
          <w:szCs w:val="28"/>
        </w:rPr>
      </w:pPr>
    </w:p>
    <w:p w14:paraId="2BB45985">
      <w:pPr>
        <w:jc w:val="center"/>
        <w:rPr>
          <w:rFonts w:hint="eastAsia" w:ascii="仿宋" w:hAnsi="仿宋" w:eastAsia="仿宋" w:cs="仿宋"/>
          <w:sz w:val="28"/>
          <w:szCs w:val="28"/>
        </w:rPr>
      </w:pPr>
    </w:p>
    <w:p w14:paraId="5739DDD7">
      <w:pPr>
        <w:jc w:val="center"/>
        <w:rPr>
          <w:rFonts w:hint="eastAsia" w:ascii="仿宋" w:hAnsi="仿宋" w:eastAsia="仿宋" w:cs="仿宋"/>
          <w:sz w:val="28"/>
          <w:szCs w:val="28"/>
        </w:rPr>
      </w:pPr>
    </w:p>
    <w:p w14:paraId="5CD07EEF">
      <w:pPr>
        <w:jc w:val="center"/>
        <w:rPr>
          <w:rFonts w:hint="eastAsia" w:ascii="仿宋" w:hAnsi="仿宋" w:eastAsia="仿宋" w:cs="仿宋"/>
          <w:sz w:val="28"/>
          <w:szCs w:val="28"/>
        </w:rPr>
      </w:pPr>
    </w:p>
    <w:p w14:paraId="69AC0778">
      <w:pPr>
        <w:jc w:val="center"/>
        <w:rPr>
          <w:rFonts w:hint="eastAsia" w:ascii="仿宋" w:hAnsi="仿宋" w:eastAsia="仿宋" w:cs="仿宋"/>
          <w:sz w:val="28"/>
          <w:szCs w:val="28"/>
        </w:rPr>
      </w:pPr>
    </w:p>
    <w:p w14:paraId="596B1F70">
      <w:pPr>
        <w:jc w:val="center"/>
        <w:rPr>
          <w:rFonts w:hint="eastAsia" w:ascii="仿宋" w:hAnsi="仿宋" w:eastAsia="仿宋" w:cs="仿宋"/>
          <w:sz w:val="28"/>
          <w:szCs w:val="28"/>
        </w:rPr>
      </w:pPr>
    </w:p>
    <w:p w14:paraId="02B3AE88">
      <w:pPr>
        <w:jc w:val="center"/>
        <w:rPr>
          <w:rFonts w:hint="eastAsia" w:ascii="仿宋" w:hAnsi="仿宋" w:eastAsia="仿宋" w:cs="仿宋"/>
          <w:sz w:val="28"/>
          <w:szCs w:val="28"/>
        </w:rPr>
      </w:pPr>
    </w:p>
    <w:p w14:paraId="59EF0A87">
      <w:pPr>
        <w:jc w:val="center"/>
        <w:rPr>
          <w:rFonts w:hint="eastAsia" w:ascii="仿宋" w:hAnsi="仿宋" w:eastAsia="仿宋" w:cs="仿宋"/>
          <w:sz w:val="28"/>
          <w:szCs w:val="28"/>
        </w:rPr>
      </w:pPr>
    </w:p>
    <w:p w14:paraId="5B658E5B">
      <w:pPr>
        <w:ind w:firstLine="320" w:firstLineChars="100"/>
        <w:rPr>
          <w:rFonts w:hint="eastAsia" w:ascii="仿宋" w:hAnsi="仿宋" w:eastAsia="仿宋" w:cs="仿宋"/>
          <w:sz w:val="32"/>
          <w:szCs w:val="32"/>
        </w:rPr>
      </w:pPr>
      <w:r>
        <w:rPr>
          <w:rFonts w:hint="eastAsia" w:ascii="仿宋" w:hAnsi="仿宋" w:eastAsia="仿宋" w:cs="仿宋"/>
          <w:sz w:val="32"/>
          <w:szCs w:val="32"/>
        </w:rPr>
        <w:t xml:space="preserve">甲  方：西安市人民医院（西安市第四医院）         </w:t>
      </w:r>
    </w:p>
    <w:p w14:paraId="41D1B8B6">
      <w:pPr>
        <w:ind w:firstLine="320" w:firstLineChars="100"/>
        <w:rPr>
          <w:rFonts w:hint="eastAsia" w:ascii="仿宋" w:hAnsi="仿宋" w:eastAsia="仿宋" w:cs="仿宋"/>
          <w:sz w:val="32"/>
          <w:szCs w:val="32"/>
        </w:rPr>
      </w:pPr>
      <w:r>
        <w:rPr>
          <w:rFonts w:hint="eastAsia" w:ascii="仿宋" w:hAnsi="仿宋" w:eastAsia="仿宋" w:cs="仿宋"/>
          <w:sz w:val="32"/>
          <w:szCs w:val="32"/>
        </w:rPr>
        <w:t>乙  方：</w:t>
      </w:r>
    </w:p>
    <w:p w14:paraId="0E780D74">
      <w:pPr>
        <w:ind w:firstLine="0" w:firstLineChars="0"/>
        <w:rPr>
          <w:rFonts w:hint="eastAsia" w:ascii="仿宋" w:hAnsi="仿宋" w:eastAsia="仿宋" w:cs="仿宋"/>
          <w:sz w:val="32"/>
          <w:szCs w:val="32"/>
        </w:rPr>
      </w:pPr>
    </w:p>
    <w:p w14:paraId="1A78E9CE">
      <w:pPr>
        <w:ind w:firstLine="0" w:firstLineChars="0"/>
        <w:rPr>
          <w:rFonts w:hint="eastAsia" w:ascii="仿宋" w:hAnsi="仿宋" w:eastAsia="仿宋" w:cs="仿宋"/>
          <w:sz w:val="32"/>
          <w:szCs w:val="32"/>
        </w:rPr>
      </w:pPr>
    </w:p>
    <w:p w14:paraId="5E2DC8AD">
      <w:pPr>
        <w:ind w:firstLine="0" w:firstLineChars="0"/>
        <w:jc w:val="center"/>
        <w:rPr>
          <w:rFonts w:hint="eastAsia" w:ascii="仿宋" w:hAnsi="仿宋" w:eastAsia="仿宋" w:cs="仿宋"/>
          <w:sz w:val="32"/>
          <w:szCs w:val="32"/>
        </w:rPr>
      </w:pPr>
      <w:r>
        <w:rPr>
          <w:rFonts w:hint="eastAsia" w:ascii="仿宋" w:hAnsi="仿宋" w:eastAsia="仿宋" w:cs="仿宋"/>
          <w:sz w:val="32"/>
          <w:szCs w:val="32"/>
        </w:rPr>
        <w:t>中国  西安</w:t>
      </w:r>
    </w:p>
    <w:p w14:paraId="7AF6C845">
      <w:pPr>
        <w:rPr>
          <w:rFonts w:hint="eastAsia" w:ascii="仿宋" w:hAnsi="仿宋" w:eastAsia="仿宋" w:cs="仿宋"/>
          <w:sz w:val="28"/>
          <w:szCs w:val="28"/>
        </w:rPr>
      </w:pPr>
    </w:p>
    <w:p w14:paraId="2806F283">
      <w:pPr>
        <w:rPr>
          <w:rFonts w:ascii="仿宋" w:hAnsi="仿宋" w:eastAsia="仿宋"/>
          <w:sz w:val="28"/>
          <w:szCs w:val="28"/>
        </w:rPr>
      </w:pPr>
    </w:p>
    <w:p w14:paraId="2AFA47A5">
      <w:pPr>
        <w:rPr>
          <w:rFonts w:hint="eastAsia" w:ascii="仿宋" w:hAnsi="仿宋" w:eastAsia="仿宋" w:cs="仿宋"/>
          <w:b/>
          <w:bCs/>
          <w:sz w:val="44"/>
          <w:szCs w:val="44"/>
        </w:rPr>
      </w:pPr>
      <w:r>
        <w:rPr>
          <w:rFonts w:hint="eastAsia" w:ascii="仿宋" w:hAnsi="仿宋" w:eastAsia="仿宋" w:cs="仿宋"/>
          <w:b/>
          <w:bCs/>
          <w:sz w:val="44"/>
          <w:szCs w:val="44"/>
        </w:rPr>
        <w:br w:type="page"/>
      </w:r>
    </w:p>
    <w:p w14:paraId="635AA599">
      <w:pPr>
        <w:spacing w:line="240" w:lineRule="auto"/>
        <w:jc w:val="center"/>
        <w:rPr>
          <w:rFonts w:hint="eastAsia" w:ascii="仿宋" w:hAnsi="仿宋" w:eastAsia="仿宋" w:cs="仿宋"/>
          <w:b/>
          <w:bCs/>
          <w:sz w:val="44"/>
          <w:szCs w:val="44"/>
        </w:rPr>
      </w:pPr>
      <w:r>
        <w:rPr>
          <w:rFonts w:hint="eastAsia" w:ascii="仿宋" w:hAnsi="仿宋" w:eastAsia="仿宋" w:cs="仿宋"/>
          <w:b/>
          <w:bCs/>
          <w:sz w:val="44"/>
          <w:szCs w:val="44"/>
        </w:rPr>
        <w:t>采 购 合 同</w:t>
      </w:r>
    </w:p>
    <w:p w14:paraId="37A0441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甲方：西安市人民医院（西安市第四医院）</w:t>
      </w:r>
    </w:p>
    <w:p w14:paraId="4604BE8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乙方：</w:t>
      </w:r>
    </w:p>
    <w:p w14:paraId="001E611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甲方所需服务，按照采购程序，确定乙方为成交供应商。依据《中华人民共和国政府采购法》及实施条例、《中华人民共和国民法典》、成交供应商响应文件正本、成交通知书，经甲、乙双方协商，达成如下条款。</w:t>
      </w:r>
    </w:p>
    <w:p w14:paraId="2CB9B1ED">
      <w:pPr>
        <w:keepNext w:val="0"/>
        <w:keepLines w:val="0"/>
        <w:pageBreakBefore w:val="0"/>
        <w:widowControl w:val="0"/>
        <w:tabs>
          <w:tab w:val="left" w:pos="480"/>
        </w:tabs>
        <w:kinsoku/>
        <w:wordWrap/>
        <w:overflowPunct/>
        <w:topLinePunct w:val="0"/>
        <w:autoSpaceDE/>
        <w:autoSpaceDN/>
        <w:bidi w:val="0"/>
        <w:adjustRightInd/>
        <w:snapToGrid w:val="0"/>
        <w:spacing w:line="360"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一、合同标的物内容及数量</w:t>
      </w:r>
    </w:p>
    <w:tbl>
      <w:tblPr>
        <w:tblStyle w:val="9"/>
        <w:tblW w:w="87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9"/>
        <w:gridCol w:w="2310"/>
        <w:gridCol w:w="949"/>
        <w:gridCol w:w="2075"/>
        <w:gridCol w:w="960"/>
        <w:gridCol w:w="1421"/>
      </w:tblGrid>
      <w:tr w14:paraId="5B890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59" w:type="dxa"/>
            <w:noWrap w:val="0"/>
            <w:vAlign w:val="center"/>
          </w:tcPr>
          <w:p w14:paraId="35BDE441">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序号</w:t>
            </w:r>
          </w:p>
        </w:tc>
        <w:tc>
          <w:tcPr>
            <w:tcW w:w="2310" w:type="dxa"/>
            <w:noWrap w:val="0"/>
            <w:vAlign w:val="center"/>
          </w:tcPr>
          <w:p w14:paraId="486BE5A9">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名称</w:t>
            </w:r>
          </w:p>
        </w:tc>
        <w:tc>
          <w:tcPr>
            <w:tcW w:w="949" w:type="dxa"/>
            <w:noWrap w:val="0"/>
            <w:vAlign w:val="center"/>
          </w:tcPr>
          <w:p w14:paraId="2B44D88B">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品牌</w:t>
            </w:r>
          </w:p>
        </w:tc>
        <w:tc>
          <w:tcPr>
            <w:tcW w:w="2075" w:type="dxa"/>
            <w:noWrap w:val="0"/>
            <w:vAlign w:val="center"/>
          </w:tcPr>
          <w:p w14:paraId="4715F47E">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规格参数</w:t>
            </w:r>
          </w:p>
        </w:tc>
        <w:tc>
          <w:tcPr>
            <w:tcW w:w="960" w:type="dxa"/>
            <w:noWrap w:val="0"/>
            <w:vAlign w:val="center"/>
          </w:tcPr>
          <w:p w14:paraId="7A3115AD">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数量</w:t>
            </w:r>
          </w:p>
        </w:tc>
        <w:tc>
          <w:tcPr>
            <w:tcW w:w="1421" w:type="dxa"/>
            <w:noWrap w:val="0"/>
            <w:vAlign w:val="center"/>
          </w:tcPr>
          <w:p w14:paraId="23CA759C">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金额合计（小写）</w:t>
            </w:r>
          </w:p>
        </w:tc>
      </w:tr>
      <w:tr w14:paraId="0EA4C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059" w:type="dxa"/>
            <w:noWrap w:val="0"/>
            <w:vAlign w:val="center"/>
          </w:tcPr>
          <w:p w14:paraId="22211B0E">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w:t>
            </w:r>
          </w:p>
        </w:tc>
        <w:tc>
          <w:tcPr>
            <w:tcW w:w="2310" w:type="dxa"/>
            <w:noWrap w:val="0"/>
            <w:vAlign w:val="center"/>
          </w:tcPr>
          <w:p w14:paraId="406FD4E1">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val="0"/>
                <w:sz w:val="28"/>
                <w:szCs w:val="28"/>
              </w:rPr>
            </w:pPr>
          </w:p>
        </w:tc>
        <w:tc>
          <w:tcPr>
            <w:tcW w:w="949" w:type="dxa"/>
            <w:noWrap w:val="0"/>
            <w:vAlign w:val="center"/>
          </w:tcPr>
          <w:p w14:paraId="57778D56">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val="0"/>
                <w:sz w:val="28"/>
                <w:szCs w:val="28"/>
              </w:rPr>
            </w:pPr>
          </w:p>
        </w:tc>
        <w:tc>
          <w:tcPr>
            <w:tcW w:w="2075" w:type="dxa"/>
            <w:noWrap w:val="0"/>
            <w:vAlign w:val="center"/>
          </w:tcPr>
          <w:p w14:paraId="0DADAE3B">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val="0"/>
                <w:sz w:val="28"/>
                <w:szCs w:val="28"/>
              </w:rPr>
            </w:pPr>
          </w:p>
        </w:tc>
        <w:tc>
          <w:tcPr>
            <w:tcW w:w="960" w:type="dxa"/>
            <w:noWrap w:val="0"/>
            <w:vAlign w:val="center"/>
          </w:tcPr>
          <w:p w14:paraId="6C0E88B7">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val="0"/>
                <w:sz w:val="28"/>
                <w:szCs w:val="28"/>
              </w:rPr>
            </w:pPr>
          </w:p>
        </w:tc>
        <w:tc>
          <w:tcPr>
            <w:tcW w:w="1421" w:type="dxa"/>
            <w:noWrap w:val="0"/>
            <w:vAlign w:val="center"/>
          </w:tcPr>
          <w:p w14:paraId="4FF2CE0D">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val="0"/>
                <w:sz w:val="28"/>
                <w:szCs w:val="28"/>
              </w:rPr>
            </w:pPr>
          </w:p>
        </w:tc>
      </w:tr>
      <w:tr w14:paraId="71E39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8774" w:type="dxa"/>
            <w:gridSpan w:val="6"/>
            <w:noWrap w:val="0"/>
            <w:vAlign w:val="center"/>
          </w:tcPr>
          <w:p w14:paraId="454222C6">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合同最高执行总价合计人民币：（小写）元（大写）元整</w:t>
            </w:r>
          </w:p>
        </w:tc>
      </w:tr>
    </w:tbl>
    <w:p w14:paraId="3CBD7C37">
      <w:pPr>
        <w:keepNext w:val="0"/>
        <w:keepLines w:val="0"/>
        <w:pageBreakBefore w:val="0"/>
        <w:widowControl w:val="0"/>
        <w:tabs>
          <w:tab w:val="left" w:pos="480"/>
        </w:tabs>
        <w:kinsoku/>
        <w:wordWrap/>
        <w:overflowPunct/>
        <w:topLinePunct w:val="0"/>
        <w:autoSpaceDE/>
        <w:autoSpaceDN/>
        <w:bidi w:val="0"/>
        <w:adjustRightInd/>
        <w:snapToGrid w:val="0"/>
        <w:spacing w:line="360" w:lineRule="auto"/>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（一）合同最高执行总价</w:t>
      </w:r>
    </w:p>
    <w:p w14:paraId="770C456E">
      <w:pPr>
        <w:keepNext w:val="0"/>
        <w:keepLines w:val="0"/>
        <w:pageBreakBefore w:val="0"/>
        <w:widowControl w:val="0"/>
        <w:tabs>
          <w:tab w:val="left" w:pos="1155"/>
        </w:tabs>
        <w:kinsoku/>
        <w:wordWrap/>
        <w:overflowPunct/>
        <w:topLinePunct w:val="0"/>
        <w:autoSpaceDE/>
        <w:autoSpaceDN/>
        <w:bidi w:val="0"/>
        <w:adjustRightInd/>
        <w:snapToGrid w:val="0"/>
        <w:spacing w:line="360" w:lineRule="auto"/>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（二）分项价格</w:t>
      </w:r>
    </w:p>
    <w:tbl>
      <w:tblPr>
        <w:tblStyle w:val="9"/>
        <w:tblW w:w="8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9"/>
        <w:gridCol w:w="1369"/>
        <w:gridCol w:w="1995"/>
        <w:gridCol w:w="852"/>
        <w:gridCol w:w="1210"/>
        <w:gridCol w:w="1704"/>
      </w:tblGrid>
      <w:tr w14:paraId="2DD9A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9" w:type="dxa"/>
            <w:noWrap w:val="0"/>
            <w:vAlign w:val="center"/>
          </w:tcPr>
          <w:p w14:paraId="6D6A9BF1">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val="0"/>
                <w:bCs w:val="0"/>
                <w:spacing w:val="-20"/>
                <w:sz w:val="28"/>
                <w:szCs w:val="28"/>
              </w:rPr>
            </w:pPr>
            <w:r>
              <w:rPr>
                <w:rFonts w:hint="eastAsia" w:ascii="仿宋" w:hAnsi="仿宋" w:eastAsia="仿宋" w:cs="仿宋"/>
                <w:b w:val="0"/>
                <w:bCs w:val="0"/>
                <w:spacing w:val="-20"/>
                <w:sz w:val="28"/>
                <w:szCs w:val="28"/>
              </w:rPr>
              <w:t>序号</w:t>
            </w:r>
          </w:p>
        </w:tc>
        <w:tc>
          <w:tcPr>
            <w:tcW w:w="1369" w:type="dxa"/>
            <w:noWrap w:val="0"/>
            <w:vAlign w:val="center"/>
          </w:tcPr>
          <w:p w14:paraId="6E36A3B4">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val="0"/>
                <w:bCs w:val="0"/>
                <w:spacing w:val="-20"/>
                <w:sz w:val="28"/>
                <w:szCs w:val="28"/>
              </w:rPr>
            </w:pPr>
            <w:r>
              <w:rPr>
                <w:rFonts w:hint="eastAsia" w:ascii="仿宋" w:hAnsi="仿宋" w:eastAsia="仿宋" w:cs="仿宋"/>
                <w:b w:val="0"/>
                <w:bCs w:val="0"/>
                <w:spacing w:val="-20"/>
                <w:sz w:val="28"/>
                <w:szCs w:val="28"/>
              </w:rPr>
              <w:t>名称</w:t>
            </w:r>
          </w:p>
        </w:tc>
        <w:tc>
          <w:tcPr>
            <w:tcW w:w="1995" w:type="dxa"/>
            <w:noWrap w:val="0"/>
            <w:vAlign w:val="center"/>
          </w:tcPr>
          <w:p w14:paraId="21505B2D">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val="0"/>
                <w:bCs w:val="0"/>
                <w:spacing w:val="-20"/>
                <w:sz w:val="28"/>
                <w:szCs w:val="28"/>
              </w:rPr>
            </w:pPr>
            <w:r>
              <w:rPr>
                <w:rFonts w:hint="eastAsia" w:ascii="仿宋" w:hAnsi="仿宋" w:eastAsia="仿宋" w:cs="仿宋"/>
                <w:b w:val="0"/>
                <w:bCs w:val="0"/>
                <w:spacing w:val="-20"/>
                <w:sz w:val="28"/>
                <w:szCs w:val="28"/>
              </w:rPr>
              <w:t>规格参数</w:t>
            </w:r>
          </w:p>
        </w:tc>
        <w:tc>
          <w:tcPr>
            <w:tcW w:w="852" w:type="dxa"/>
            <w:noWrap w:val="0"/>
            <w:vAlign w:val="center"/>
          </w:tcPr>
          <w:p w14:paraId="6A862217">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val="0"/>
                <w:bCs w:val="0"/>
                <w:spacing w:val="-20"/>
                <w:sz w:val="28"/>
                <w:szCs w:val="28"/>
              </w:rPr>
            </w:pPr>
            <w:r>
              <w:rPr>
                <w:rFonts w:hint="eastAsia" w:ascii="仿宋" w:hAnsi="仿宋" w:eastAsia="仿宋" w:cs="仿宋"/>
                <w:b w:val="0"/>
                <w:bCs w:val="0"/>
                <w:spacing w:val="-20"/>
                <w:sz w:val="28"/>
                <w:szCs w:val="28"/>
              </w:rPr>
              <w:t>数量</w:t>
            </w:r>
          </w:p>
        </w:tc>
        <w:tc>
          <w:tcPr>
            <w:tcW w:w="1210" w:type="dxa"/>
            <w:noWrap w:val="0"/>
            <w:vAlign w:val="center"/>
          </w:tcPr>
          <w:p w14:paraId="7D36DD62">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val="0"/>
                <w:bCs w:val="0"/>
                <w:spacing w:val="-20"/>
                <w:sz w:val="28"/>
                <w:szCs w:val="28"/>
                <w:lang w:eastAsia="zh-CN"/>
              </w:rPr>
            </w:pPr>
            <w:r>
              <w:rPr>
                <w:rFonts w:hint="eastAsia" w:ascii="仿宋" w:hAnsi="仿宋" w:eastAsia="仿宋" w:cs="仿宋"/>
                <w:b w:val="0"/>
                <w:bCs w:val="0"/>
                <w:spacing w:val="-20"/>
                <w:sz w:val="28"/>
                <w:szCs w:val="28"/>
                <w:lang w:val="en-US" w:eastAsia="zh-CN"/>
              </w:rPr>
              <w:t>单位</w:t>
            </w:r>
          </w:p>
        </w:tc>
        <w:tc>
          <w:tcPr>
            <w:tcW w:w="1704" w:type="dxa"/>
            <w:noWrap w:val="0"/>
            <w:vAlign w:val="center"/>
          </w:tcPr>
          <w:p w14:paraId="1A47BBC1">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val="0"/>
                <w:bCs w:val="0"/>
                <w:spacing w:val="-20"/>
                <w:sz w:val="28"/>
                <w:szCs w:val="28"/>
              </w:rPr>
            </w:pPr>
            <w:r>
              <w:rPr>
                <w:rFonts w:hint="eastAsia" w:ascii="仿宋" w:hAnsi="仿宋" w:eastAsia="仿宋" w:cs="仿宋"/>
                <w:b w:val="0"/>
                <w:bCs w:val="0"/>
                <w:spacing w:val="-20"/>
                <w:sz w:val="28"/>
                <w:szCs w:val="28"/>
              </w:rPr>
              <w:t>单价（元）</w:t>
            </w:r>
          </w:p>
        </w:tc>
      </w:tr>
      <w:tr w14:paraId="33D99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9" w:type="dxa"/>
            <w:noWrap w:val="0"/>
            <w:vAlign w:val="center"/>
          </w:tcPr>
          <w:p w14:paraId="2BA6A9AA">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val="0"/>
                <w:bCs w:val="0"/>
                <w:spacing w:val="-20"/>
                <w:sz w:val="28"/>
                <w:szCs w:val="28"/>
              </w:rPr>
            </w:pPr>
          </w:p>
        </w:tc>
        <w:tc>
          <w:tcPr>
            <w:tcW w:w="1369" w:type="dxa"/>
            <w:noWrap w:val="0"/>
            <w:vAlign w:val="center"/>
          </w:tcPr>
          <w:p w14:paraId="6994FD24">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val="0"/>
                <w:bCs w:val="0"/>
                <w:spacing w:val="-20"/>
                <w:sz w:val="28"/>
                <w:szCs w:val="28"/>
              </w:rPr>
            </w:pPr>
          </w:p>
        </w:tc>
        <w:tc>
          <w:tcPr>
            <w:tcW w:w="1995" w:type="dxa"/>
            <w:noWrap w:val="0"/>
            <w:vAlign w:val="center"/>
          </w:tcPr>
          <w:p w14:paraId="046229D6">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val="0"/>
                <w:bCs w:val="0"/>
                <w:spacing w:val="-20"/>
                <w:sz w:val="28"/>
                <w:szCs w:val="28"/>
              </w:rPr>
            </w:pPr>
          </w:p>
        </w:tc>
        <w:tc>
          <w:tcPr>
            <w:tcW w:w="852" w:type="dxa"/>
            <w:noWrap w:val="0"/>
            <w:vAlign w:val="center"/>
          </w:tcPr>
          <w:p w14:paraId="3D8DCCCB">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val="0"/>
                <w:bCs w:val="0"/>
                <w:spacing w:val="-20"/>
                <w:sz w:val="28"/>
                <w:szCs w:val="28"/>
              </w:rPr>
            </w:pPr>
          </w:p>
        </w:tc>
        <w:tc>
          <w:tcPr>
            <w:tcW w:w="1210" w:type="dxa"/>
            <w:noWrap w:val="0"/>
            <w:vAlign w:val="center"/>
          </w:tcPr>
          <w:p w14:paraId="31C222B0">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val="0"/>
                <w:bCs w:val="0"/>
                <w:spacing w:val="-20"/>
                <w:sz w:val="28"/>
                <w:szCs w:val="28"/>
              </w:rPr>
            </w:pPr>
          </w:p>
        </w:tc>
        <w:tc>
          <w:tcPr>
            <w:tcW w:w="1704" w:type="dxa"/>
            <w:noWrap w:val="0"/>
            <w:vAlign w:val="center"/>
          </w:tcPr>
          <w:p w14:paraId="0835F451">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val="0"/>
                <w:bCs w:val="0"/>
                <w:spacing w:val="-20"/>
                <w:sz w:val="28"/>
                <w:szCs w:val="28"/>
              </w:rPr>
            </w:pPr>
          </w:p>
        </w:tc>
      </w:tr>
      <w:tr w14:paraId="6DBA4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9" w:type="dxa"/>
            <w:noWrap w:val="0"/>
            <w:vAlign w:val="center"/>
          </w:tcPr>
          <w:p w14:paraId="7FEA596F">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val="0"/>
                <w:bCs w:val="0"/>
                <w:spacing w:val="-20"/>
                <w:sz w:val="28"/>
                <w:szCs w:val="28"/>
              </w:rPr>
            </w:pPr>
          </w:p>
        </w:tc>
        <w:tc>
          <w:tcPr>
            <w:tcW w:w="1369" w:type="dxa"/>
            <w:noWrap w:val="0"/>
            <w:vAlign w:val="center"/>
          </w:tcPr>
          <w:p w14:paraId="6474F059">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val="0"/>
                <w:bCs w:val="0"/>
                <w:spacing w:val="-20"/>
                <w:sz w:val="28"/>
                <w:szCs w:val="28"/>
              </w:rPr>
            </w:pPr>
          </w:p>
        </w:tc>
        <w:tc>
          <w:tcPr>
            <w:tcW w:w="1995" w:type="dxa"/>
            <w:noWrap w:val="0"/>
            <w:vAlign w:val="center"/>
          </w:tcPr>
          <w:p w14:paraId="40D35ADC">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val="0"/>
                <w:bCs w:val="0"/>
                <w:spacing w:val="-20"/>
                <w:sz w:val="28"/>
                <w:szCs w:val="28"/>
              </w:rPr>
            </w:pPr>
          </w:p>
        </w:tc>
        <w:tc>
          <w:tcPr>
            <w:tcW w:w="852" w:type="dxa"/>
            <w:noWrap w:val="0"/>
            <w:vAlign w:val="center"/>
          </w:tcPr>
          <w:p w14:paraId="02963E27">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val="0"/>
                <w:bCs w:val="0"/>
                <w:spacing w:val="-20"/>
                <w:sz w:val="28"/>
                <w:szCs w:val="28"/>
              </w:rPr>
            </w:pPr>
          </w:p>
        </w:tc>
        <w:tc>
          <w:tcPr>
            <w:tcW w:w="1210" w:type="dxa"/>
            <w:noWrap w:val="0"/>
            <w:vAlign w:val="center"/>
          </w:tcPr>
          <w:p w14:paraId="61196D25">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val="0"/>
                <w:bCs w:val="0"/>
                <w:spacing w:val="-20"/>
                <w:sz w:val="28"/>
                <w:szCs w:val="28"/>
              </w:rPr>
            </w:pPr>
          </w:p>
        </w:tc>
        <w:tc>
          <w:tcPr>
            <w:tcW w:w="1704" w:type="dxa"/>
            <w:noWrap w:val="0"/>
            <w:vAlign w:val="center"/>
          </w:tcPr>
          <w:p w14:paraId="6C39302C">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val="0"/>
                <w:bCs w:val="0"/>
                <w:spacing w:val="-20"/>
                <w:sz w:val="28"/>
                <w:szCs w:val="28"/>
              </w:rPr>
            </w:pPr>
          </w:p>
        </w:tc>
      </w:tr>
      <w:tr w14:paraId="626C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9" w:type="dxa"/>
            <w:noWrap w:val="0"/>
            <w:vAlign w:val="center"/>
          </w:tcPr>
          <w:p w14:paraId="5F3DAE62">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val="0"/>
                <w:bCs w:val="0"/>
                <w:spacing w:val="-20"/>
                <w:sz w:val="28"/>
                <w:szCs w:val="28"/>
              </w:rPr>
            </w:pPr>
          </w:p>
        </w:tc>
        <w:tc>
          <w:tcPr>
            <w:tcW w:w="1369" w:type="dxa"/>
            <w:noWrap w:val="0"/>
            <w:vAlign w:val="center"/>
          </w:tcPr>
          <w:p w14:paraId="241D5656">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val="0"/>
                <w:bCs w:val="0"/>
                <w:spacing w:val="-20"/>
                <w:sz w:val="28"/>
                <w:szCs w:val="28"/>
              </w:rPr>
            </w:pPr>
          </w:p>
        </w:tc>
        <w:tc>
          <w:tcPr>
            <w:tcW w:w="1995" w:type="dxa"/>
            <w:noWrap w:val="0"/>
            <w:vAlign w:val="center"/>
          </w:tcPr>
          <w:p w14:paraId="5F3EB1B5">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val="0"/>
                <w:bCs w:val="0"/>
                <w:spacing w:val="-20"/>
                <w:sz w:val="28"/>
                <w:szCs w:val="28"/>
              </w:rPr>
            </w:pPr>
          </w:p>
        </w:tc>
        <w:tc>
          <w:tcPr>
            <w:tcW w:w="852" w:type="dxa"/>
            <w:noWrap w:val="0"/>
            <w:vAlign w:val="center"/>
          </w:tcPr>
          <w:p w14:paraId="22922449">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val="0"/>
                <w:bCs w:val="0"/>
                <w:spacing w:val="-20"/>
                <w:sz w:val="28"/>
                <w:szCs w:val="28"/>
              </w:rPr>
            </w:pPr>
          </w:p>
        </w:tc>
        <w:tc>
          <w:tcPr>
            <w:tcW w:w="1210" w:type="dxa"/>
            <w:noWrap w:val="0"/>
            <w:vAlign w:val="center"/>
          </w:tcPr>
          <w:p w14:paraId="7FA08D5A">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val="0"/>
                <w:bCs w:val="0"/>
                <w:spacing w:val="-20"/>
                <w:sz w:val="28"/>
                <w:szCs w:val="28"/>
              </w:rPr>
            </w:pPr>
          </w:p>
        </w:tc>
        <w:tc>
          <w:tcPr>
            <w:tcW w:w="1704" w:type="dxa"/>
            <w:noWrap w:val="0"/>
            <w:vAlign w:val="center"/>
          </w:tcPr>
          <w:p w14:paraId="7C9538CF">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val="0"/>
                <w:bCs w:val="0"/>
                <w:spacing w:val="-20"/>
                <w:sz w:val="28"/>
                <w:szCs w:val="28"/>
              </w:rPr>
            </w:pPr>
          </w:p>
        </w:tc>
      </w:tr>
    </w:tbl>
    <w:p w14:paraId="74F5584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val="0"/>
          <w:bCs w:val="0"/>
          <w:spacing w:val="-20"/>
          <w:kern w:val="32"/>
          <w:position w:val="2"/>
          <w:sz w:val="28"/>
          <w:szCs w:val="28"/>
        </w:rPr>
      </w:pPr>
      <w:r>
        <w:rPr>
          <w:rFonts w:hint="eastAsia" w:ascii="仿宋" w:hAnsi="仿宋" w:eastAsia="仿宋" w:cs="仿宋"/>
          <w:b w:val="0"/>
          <w:bCs w:val="0"/>
          <w:spacing w:val="-20"/>
          <w:kern w:val="32"/>
          <w:position w:val="2"/>
          <w:sz w:val="28"/>
          <w:szCs w:val="28"/>
          <w:lang w:val="en-US" w:eastAsia="zh-CN"/>
        </w:rPr>
        <w:t>（三）技术</w:t>
      </w:r>
      <w:r>
        <w:rPr>
          <w:rFonts w:hint="eastAsia" w:ascii="仿宋" w:hAnsi="仿宋" w:eastAsia="仿宋" w:cs="仿宋"/>
          <w:b w:val="0"/>
          <w:bCs w:val="0"/>
          <w:spacing w:val="-20"/>
          <w:kern w:val="32"/>
          <w:position w:val="2"/>
          <w:sz w:val="28"/>
          <w:szCs w:val="28"/>
        </w:rPr>
        <w:t>要求</w:t>
      </w:r>
    </w:p>
    <w:p w14:paraId="78DF014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pacing w:val="-20"/>
          <w:kern w:val="32"/>
          <w:position w:val="2"/>
          <w:sz w:val="28"/>
          <w:szCs w:val="28"/>
          <w:lang w:val="en-US" w:eastAsia="zh-CN"/>
        </w:rPr>
      </w:pPr>
      <w:r>
        <w:rPr>
          <w:rFonts w:hint="eastAsia" w:ascii="仿宋" w:hAnsi="仿宋" w:eastAsia="仿宋" w:cs="仿宋"/>
          <w:b w:val="0"/>
          <w:bCs w:val="0"/>
          <w:spacing w:val="-20"/>
          <w:kern w:val="32"/>
          <w:position w:val="2"/>
          <w:sz w:val="28"/>
          <w:szCs w:val="28"/>
        </w:rPr>
        <w:t>1、</w:t>
      </w:r>
      <w:r>
        <w:rPr>
          <w:rFonts w:hint="eastAsia" w:ascii="仿宋" w:hAnsi="仿宋" w:eastAsia="仿宋" w:cs="仿宋"/>
          <w:b w:val="0"/>
          <w:bCs w:val="0"/>
          <w:spacing w:val="-20"/>
          <w:kern w:val="32"/>
          <w:position w:val="2"/>
          <w:sz w:val="28"/>
          <w:szCs w:val="28"/>
          <w:lang w:val="en-US" w:eastAsia="zh-CN"/>
        </w:rPr>
        <w:t>以上未标注尺寸及颜色花型的，尺寸需满足各类人群使用，颜色花型供应商根据采购人需要确定颜色。包含采购人LOGO的印刷或刺绣。</w:t>
      </w:r>
    </w:p>
    <w:p w14:paraId="566155B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pacing w:val="-20"/>
          <w:kern w:val="32"/>
          <w:position w:val="2"/>
          <w:sz w:val="28"/>
          <w:szCs w:val="28"/>
        </w:rPr>
      </w:pPr>
      <w:r>
        <w:rPr>
          <w:rFonts w:hint="eastAsia" w:ascii="仿宋" w:hAnsi="仿宋" w:eastAsia="仿宋" w:cs="仿宋"/>
          <w:b w:val="0"/>
          <w:bCs w:val="0"/>
          <w:spacing w:val="-20"/>
          <w:kern w:val="32"/>
          <w:position w:val="2"/>
          <w:sz w:val="28"/>
          <w:szCs w:val="28"/>
        </w:rPr>
        <w:t>2、</w:t>
      </w:r>
      <w:r>
        <w:rPr>
          <w:rFonts w:hint="eastAsia" w:ascii="仿宋" w:hAnsi="仿宋" w:eastAsia="仿宋" w:cs="仿宋"/>
          <w:b w:val="0"/>
          <w:bCs w:val="0"/>
          <w:spacing w:val="-20"/>
          <w:kern w:val="32"/>
          <w:position w:val="2"/>
          <w:sz w:val="28"/>
          <w:szCs w:val="28"/>
          <w:lang w:val="en-US" w:eastAsia="zh-CN"/>
        </w:rPr>
        <w:t>质量要求：耐高温、高压、氯漂，抗起球，不掉色，不变形。凡有色产品，耐水洗、皂洗、氯漂色牢度≥3-4级。</w:t>
      </w:r>
    </w:p>
    <w:p w14:paraId="7123106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pacing w:val="-20"/>
          <w:kern w:val="32"/>
          <w:position w:val="2"/>
          <w:sz w:val="28"/>
          <w:szCs w:val="28"/>
        </w:rPr>
      </w:pPr>
      <w:r>
        <w:rPr>
          <w:rFonts w:hint="eastAsia" w:ascii="仿宋" w:hAnsi="仿宋" w:eastAsia="仿宋" w:cs="仿宋"/>
          <w:b w:val="0"/>
          <w:bCs w:val="0"/>
          <w:spacing w:val="-20"/>
          <w:kern w:val="32"/>
          <w:position w:val="2"/>
          <w:sz w:val="28"/>
          <w:szCs w:val="28"/>
        </w:rPr>
        <w:t>3、</w:t>
      </w:r>
      <w:r>
        <w:rPr>
          <w:rFonts w:hint="eastAsia" w:ascii="仿宋" w:hAnsi="仿宋" w:eastAsia="仿宋" w:cs="仿宋"/>
          <w:b w:val="0"/>
          <w:bCs w:val="0"/>
          <w:spacing w:val="-20"/>
          <w:kern w:val="32"/>
          <w:position w:val="2"/>
          <w:sz w:val="28"/>
          <w:szCs w:val="28"/>
          <w:lang w:val="en-US" w:eastAsia="zh-CN"/>
        </w:rPr>
        <w:t>工艺要求：四周双针车外针0.1cm，内针0.5cm，针距≥4针/cm。</w:t>
      </w:r>
    </w:p>
    <w:p w14:paraId="15D0884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pacing w:val="-20"/>
          <w:kern w:val="32"/>
          <w:position w:val="2"/>
          <w:sz w:val="28"/>
          <w:szCs w:val="28"/>
        </w:rPr>
      </w:pPr>
      <w:r>
        <w:rPr>
          <w:rFonts w:hint="eastAsia" w:ascii="仿宋" w:hAnsi="仿宋" w:eastAsia="仿宋" w:cs="仿宋"/>
          <w:b w:val="0"/>
          <w:bCs w:val="0"/>
          <w:spacing w:val="-20"/>
          <w:kern w:val="32"/>
          <w:position w:val="2"/>
          <w:sz w:val="28"/>
          <w:szCs w:val="28"/>
        </w:rPr>
        <w:t>4、</w:t>
      </w:r>
      <w:r>
        <w:rPr>
          <w:rFonts w:hint="eastAsia" w:ascii="仿宋" w:hAnsi="仿宋" w:eastAsia="仿宋" w:cs="仿宋"/>
          <w:b w:val="0"/>
          <w:bCs w:val="0"/>
          <w:spacing w:val="-20"/>
          <w:kern w:val="32"/>
          <w:position w:val="2"/>
          <w:sz w:val="28"/>
          <w:szCs w:val="28"/>
          <w:lang w:val="en-US" w:eastAsia="zh-CN"/>
        </w:rPr>
        <w:t>被套、枕套：双针，间距0.4cm，被尾5cm回边，加绑带2对，左右封口30cm，左右对称，针距≥4针/cm。</w:t>
      </w:r>
    </w:p>
    <w:p w14:paraId="17BF0A8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pacing w:val="-20"/>
          <w:kern w:val="32"/>
          <w:position w:val="2"/>
          <w:sz w:val="28"/>
          <w:szCs w:val="28"/>
          <w:lang w:val="en-US" w:eastAsia="zh-CN"/>
        </w:rPr>
      </w:pPr>
      <w:r>
        <w:rPr>
          <w:rFonts w:hint="eastAsia" w:ascii="仿宋" w:hAnsi="仿宋" w:eastAsia="仿宋" w:cs="仿宋"/>
          <w:b w:val="0"/>
          <w:bCs w:val="0"/>
          <w:spacing w:val="-20"/>
          <w:kern w:val="32"/>
          <w:position w:val="2"/>
          <w:sz w:val="28"/>
          <w:szCs w:val="28"/>
        </w:rPr>
        <w:t> 5、</w:t>
      </w:r>
      <w:r>
        <w:rPr>
          <w:rFonts w:hint="eastAsia" w:ascii="仿宋" w:hAnsi="仿宋" w:eastAsia="仿宋" w:cs="仿宋"/>
          <w:b w:val="0"/>
          <w:bCs w:val="0"/>
          <w:spacing w:val="-20"/>
          <w:kern w:val="32"/>
          <w:position w:val="2"/>
          <w:sz w:val="28"/>
          <w:szCs w:val="28"/>
          <w:lang w:val="en-US" w:eastAsia="zh-CN"/>
        </w:rPr>
        <w:t>床单：四边卷边1cm，针距≥4针/cm。</w:t>
      </w:r>
    </w:p>
    <w:p w14:paraId="43BC6AC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pacing w:val="-20"/>
          <w:kern w:val="32"/>
          <w:position w:val="2"/>
          <w:sz w:val="28"/>
          <w:szCs w:val="28"/>
          <w:lang w:val="en-US" w:eastAsia="zh-CN"/>
        </w:rPr>
      </w:pPr>
      <w:r>
        <w:rPr>
          <w:rFonts w:hint="eastAsia" w:ascii="仿宋" w:hAnsi="仿宋" w:eastAsia="仿宋" w:cs="仿宋"/>
          <w:b w:val="0"/>
          <w:bCs w:val="0"/>
          <w:spacing w:val="-20"/>
          <w:kern w:val="32"/>
          <w:position w:val="2"/>
          <w:sz w:val="28"/>
          <w:szCs w:val="28"/>
          <w:lang w:val="en-US" w:eastAsia="zh-CN"/>
        </w:rPr>
        <w:t>6、枕套：信封式，背部开口重叠15cm。双针，针距≥4针/cm。</w:t>
      </w:r>
    </w:p>
    <w:p w14:paraId="55B880B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pacing w:val="-20"/>
          <w:kern w:val="32"/>
          <w:position w:val="2"/>
          <w:sz w:val="28"/>
          <w:szCs w:val="28"/>
          <w:lang w:val="en-US" w:eastAsia="zh-CN"/>
        </w:rPr>
      </w:pPr>
      <w:r>
        <w:rPr>
          <w:rFonts w:hint="eastAsia" w:ascii="仿宋" w:hAnsi="仿宋" w:eastAsia="仿宋" w:cs="仿宋"/>
          <w:b w:val="0"/>
          <w:bCs w:val="0"/>
          <w:spacing w:val="-20"/>
          <w:kern w:val="32"/>
          <w:position w:val="2"/>
          <w:sz w:val="28"/>
          <w:szCs w:val="28"/>
          <w:lang w:val="en-US" w:eastAsia="zh-CN"/>
        </w:rPr>
        <w:t>7、本项目使用的各类材料各项指标均达到国家现行有关标准要求。</w:t>
      </w:r>
    </w:p>
    <w:p w14:paraId="31EE3D74">
      <w:pPr>
        <w:keepNext w:val="0"/>
        <w:keepLines w:val="0"/>
        <w:pageBreakBefore w:val="0"/>
        <w:widowControl w:val="0"/>
        <w:tabs>
          <w:tab w:val="left" w:pos="480"/>
        </w:tabs>
        <w:kinsoku/>
        <w:wordWrap/>
        <w:overflowPunct/>
        <w:topLinePunct w:val="0"/>
        <w:autoSpaceDE/>
        <w:autoSpaceDN/>
        <w:bidi w:val="0"/>
        <w:adjustRightInd/>
        <w:snapToGrid w:val="0"/>
        <w:spacing w:line="360"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二、质保期</w:t>
      </w:r>
    </w:p>
    <w:p w14:paraId="4BF14182">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val="0"/>
          <w:bCs w:val="0"/>
          <w:spacing w:val="-20"/>
          <w:kern w:val="32"/>
          <w:position w:val="2"/>
          <w:sz w:val="28"/>
          <w:szCs w:val="28"/>
        </w:rPr>
      </w:pPr>
      <w:r>
        <w:rPr>
          <w:rFonts w:hint="eastAsia" w:ascii="仿宋" w:hAnsi="仿宋" w:eastAsia="仿宋" w:cs="仿宋"/>
          <w:b w:val="0"/>
          <w:bCs w:val="0"/>
          <w:spacing w:val="-20"/>
          <w:kern w:val="32"/>
          <w:position w:val="2"/>
          <w:sz w:val="28"/>
          <w:szCs w:val="28"/>
        </w:rPr>
        <w:t xml:space="preserve">     </w:t>
      </w:r>
      <w:r>
        <w:rPr>
          <w:rFonts w:hint="eastAsia" w:ascii="仿宋" w:hAnsi="仿宋" w:eastAsia="仿宋" w:cs="仿宋"/>
          <w:sz w:val="28"/>
          <w:szCs w:val="28"/>
          <w:highlight w:val="none"/>
          <w:lang w:val="en-US" w:eastAsia="zh-CN"/>
        </w:rPr>
        <w:t>每批次货物从验收之日算起，</w:t>
      </w:r>
      <w:r>
        <w:rPr>
          <w:rFonts w:hint="eastAsia" w:ascii="仿宋" w:hAnsi="仿宋" w:eastAsia="仿宋" w:cs="仿宋"/>
          <w:b w:val="0"/>
          <w:bCs w:val="0"/>
          <w:spacing w:val="-20"/>
          <w:kern w:val="32"/>
          <w:position w:val="2"/>
          <w:sz w:val="28"/>
          <w:szCs w:val="28"/>
        </w:rPr>
        <w:t>产品</w:t>
      </w:r>
      <w:r>
        <w:rPr>
          <w:rFonts w:hint="eastAsia" w:ascii="仿宋" w:hAnsi="仿宋" w:eastAsia="仿宋" w:cs="仿宋"/>
          <w:b w:val="0"/>
          <w:bCs w:val="0"/>
          <w:spacing w:val="-20"/>
          <w:kern w:val="32"/>
          <w:position w:val="2"/>
          <w:sz w:val="28"/>
          <w:szCs w:val="28"/>
          <w:lang w:val="en-US" w:eastAsia="zh-CN"/>
        </w:rPr>
        <w:t>免费</w:t>
      </w:r>
      <w:r>
        <w:rPr>
          <w:rFonts w:hint="eastAsia" w:ascii="仿宋" w:hAnsi="仿宋" w:eastAsia="仿宋" w:cs="仿宋"/>
          <w:b w:val="0"/>
          <w:bCs w:val="0"/>
          <w:spacing w:val="-20"/>
          <w:kern w:val="32"/>
          <w:position w:val="2"/>
          <w:sz w:val="28"/>
          <w:szCs w:val="28"/>
        </w:rPr>
        <w:t xml:space="preserve">提供 </w:t>
      </w:r>
      <w:r>
        <w:rPr>
          <w:rFonts w:hint="eastAsia" w:ascii="仿宋" w:hAnsi="仿宋" w:eastAsia="仿宋" w:cs="仿宋"/>
          <w:b w:val="0"/>
          <w:bCs w:val="0"/>
          <w:spacing w:val="-20"/>
          <w:kern w:val="32"/>
          <w:position w:val="2"/>
          <w:sz w:val="28"/>
          <w:szCs w:val="28"/>
          <w:u w:val="single"/>
        </w:rPr>
        <w:t xml:space="preserve">     </w:t>
      </w:r>
      <w:r>
        <w:rPr>
          <w:rFonts w:hint="eastAsia" w:ascii="仿宋" w:hAnsi="仿宋" w:eastAsia="仿宋" w:cs="仿宋"/>
          <w:b w:val="0"/>
          <w:bCs w:val="0"/>
          <w:spacing w:val="-20"/>
          <w:kern w:val="32"/>
          <w:position w:val="2"/>
          <w:sz w:val="28"/>
          <w:szCs w:val="28"/>
          <w:lang w:val="en-US" w:eastAsia="zh-CN"/>
        </w:rPr>
        <w:t>月质保</w:t>
      </w:r>
      <w:r>
        <w:rPr>
          <w:rFonts w:hint="eastAsia" w:ascii="仿宋" w:hAnsi="仿宋" w:eastAsia="仿宋" w:cs="仿宋"/>
          <w:b w:val="0"/>
          <w:bCs w:val="0"/>
          <w:spacing w:val="-20"/>
          <w:kern w:val="32"/>
          <w:position w:val="2"/>
          <w:sz w:val="28"/>
          <w:szCs w:val="28"/>
        </w:rPr>
        <w:t>及上门服务。</w:t>
      </w:r>
    </w:p>
    <w:p w14:paraId="757A8619">
      <w:pPr>
        <w:keepNext w:val="0"/>
        <w:keepLines w:val="0"/>
        <w:pageBreakBefore w:val="0"/>
        <w:widowControl w:val="0"/>
        <w:tabs>
          <w:tab w:val="left" w:pos="1155"/>
        </w:tabs>
        <w:kinsoku/>
        <w:wordWrap/>
        <w:overflowPunct/>
        <w:topLinePunct w:val="0"/>
        <w:autoSpaceDE/>
        <w:autoSpaceDN/>
        <w:bidi w:val="0"/>
        <w:adjustRightInd/>
        <w:snapToGrid w:val="0"/>
        <w:spacing w:line="360"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三、交付条件</w:t>
      </w:r>
    </w:p>
    <w:p w14:paraId="41201FC3">
      <w:pPr>
        <w:keepNext w:val="0"/>
        <w:keepLines w:val="0"/>
        <w:pageBreakBefore w:val="0"/>
        <w:widowControl w:val="0"/>
        <w:tabs>
          <w:tab w:val="left" w:pos="1155"/>
        </w:tabs>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（一）交付地点：甲方指定地点</w:t>
      </w:r>
    </w:p>
    <w:p w14:paraId="7E101B32">
      <w:pPr>
        <w:keepNext w:val="0"/>
        <w:keepLines w:val="0"/>
        <w:pageBreakBefore w:val="0"/>
        <w:widowControl w:val="0"/>
        <w:tabs>
          <w:tab w:val="left" w:pos="1155"/>
        </w:tabs>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（二）交付期：</w:t>
      </w:r>
      <w:r>
        <w:rPr>
          <w:rFonts w:hint="eastAsia" w:ascii="仿宋" w:hAnsi="仿宋" w:eastAsia="仿宋" w:cs="仿宋"/>
          <w:b w:val="0"/>
          <w:bCs w:val="0"/>
          <w:sz w:val="28"/>
          <w:szCs w:val="28"/>
          <w:lang w:val="en-US" w:eastAsia="zh-CN"/>
        </w:rPr>
        <w:t>每批次货物自接到采购人订单之日起</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lang w:val="en-US" w:eastAsia="zh-CN"/>
        </w:rPr>
        <w:t>个日历日内配送到指定地点</w:t>
      </w:r>
      <w:r>
        <w:rPr>
          <w:rFonts w:hint="eastAsia" w:ascii="仿宋" w:hAnsi="仿宋" w:eastAsia="仿宋" w:cs="仿宋"/>
          <w:b w:val="0"/>
          <w:bCs w:val="0"/>
          <w:sz w:val="28"/>
          <w:szCs w:val="28"/>
        </w:rPr>
        <w:t>。</w:t>
      </w:r>
    </w:p>
    <w:p w14:paraId="2BA03E2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三</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供货期：自2026.4.23-2027.4.22一年或项目预算执行完，以上两个条件任何一个先到合同自动结束。</w:t>
      </w:r>
    </w:p>
    <w:p w14:paraId="1DEC8249">
      <w:pPr>
        <w:keepNext w:val="0"/>
        <w:keepLines w:val="0"/>
        <w:pageBreakBefore w:val="0"/>
        <w:widowControl w:val="0"/>
        <w:tabs>
          <w:tab w:val="left" w:pos="480"/>
        </w:tabs>
        <w:kinsoku/>
        <w:wordWrap/>
        <w:overflowPunct/>
        <w:topLinePunct w:val="0"/>
        <w:autoSpaceDE/>
        <w:autoSpaceDN/>
        <w:bidi w:val="0"/>
        <w:adjustRightInd/>
        <w:snapToGrid w:val="0"/>
        <w:spacing w:line="360"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四、合同总价</w:t>
      </w:r>
    </w:p>
    <w:p w14:paraId="071E34FE">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（一）合同</w:t>
      </w:r>
      <w:r>
        <w:rPr>
          <w:rFonts w:hint="eastAsia" w:ascii="仿宋" w:hAnsi="仿宋" w:eastAsia="仿宋" w:cs="仿宋"/>
          <w:b w:val="0"/>
          <w:bCs w:val="0"/>
          <w:sz w:val="28"/>
          <w:szCs w:val="28"/>
          <w:lang w:val="en-US" w:eastAsia="zh-CN"/>
        </w:rPr>
        <w:t>最高执行</w:t>
      </w:r>
      <w:r>
        <w:rPr>
          <w:rFonts w:hint="eastAsia" w:ascii="仿宋" w:hAnsi="仿宋" w:eastAsia="仿宋" w:cs="仿宋"/>
          <w:b w:val="0"/>
          <w:bCs w:val="0"/>
          <w:sz w:val="28"/>
          <w:szCs w:val="28"/>
        </w:rPr>
        <w:t>总价人民币：（小写）</w:t>
      </w:r>
      <w:r>
        <w:rPr>
          <w:rFonts w:hint="eastAsia" w:ascii="仿宋" w:hAnsi="仿宋" w:eastAsia="仿宋" w:cs="仿宋"/>
          <w:b w:val="0"/>
          <w:bCs w:val="0"/>
          <w:sz w:val="28"/>
          <w:szCs w:val="28"/>
          <w:u w:val="single"/>
        </w:rPr>
        <w:t xml:space="preserve"> </w:t>
      </w:r>
      <w:r>
        <w:rPr>
          <w:rFonts w:hint="eastAsia" w:ascii="仿宋" w:hAnsi="仿宋" w:cs="仿宋"/>
          <w:b w:val="0"/>
          <w:bCs w:val="0"/>
          <w:sz w:val="28"/>
          <w:szCs w:val="28"/>
          <w:u w:val="single"/>
          <w:lang w:val="en-US" w:eastAsia="zh-CN"/>
        </w:rPr>
        <w:t xml:space="preserve">   </w:t>
      </w:r>
      <w:r>
        <w:rPr>
          <w:rFonts w:hint="eastAsia" w:ascii="仿宋" w:hAnsi="仿宋" w:eastAsia="仿宋" w:cs="仿宋"/>
          <w:b w:val="0"/>
          <w:bCs w:val="0"/>
          <w:sz w:val="28"/>
          <w:szCs w:val="28"/>
        </w:rPr>
        <w:t>元（大写）</w:t>
      </w:r>
      <w:r>
        <w:rPr>
          <w:rFonts w:hint="eastAsia" w:ascii="仿宋" w:hAnsi="仿宋" w:eastAsia="仿宋" w:cs="仿宋"/>
          <w:b w:val="0"/>
          <w:bCs w:val="0"/>
          <w:sz w:val="28"/>
          <w:szCs w:val="28"/>
          <w:u w:val="single"/>
        </w:rPr>
        <w:t xml:space="preserve"> </w:t>
      </w:r>
      <w:r>
        <w:rPr>
          <w:rFonts w:hint="eastAsia" w:ascii="仿宋" w:hAnsi="仿宋" w:cs="仿宋"/>
          <w:b w:val="0"/>
          <w:bCs w:val="0"/>
          <w:sz w:val="28"/>
          <w:szCs w:val="28"/>
          <w:u w:val="single"/>
          <w:lang w:val="en-US" w:eastAsia="zh-CN"/>
        </w:rPr>
        <w:t xml:space="preserve">   </w:t>
      </w:r>
      <w:r>
        <w:rPr>
          <w:rFonts w:hint="eastAsia" w:ascii="仿宋" w:hAnsi="仿宋" w:eastAsia="仿宋" w:cs="仿宋"/>
          <w:b w:val="0"/>
          <w:bCs w:val="0"/>
          <w:sz w:val="28"/>
          <w:szCs w:val="28"/>
        </w:rPr>
        <w:t>元整。</w:t>
      </w:r>
    </w:p>
    <w:p w14:paraId="77E24B69">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（二）合同</w:t>
      </w:r>
      <w:r>
        <w:rPr>
          <w:rFonts w:hint="eastAsia" w:ascii="仿宋" w:hAnsi="仿宋" w:eastAsia="仿宋" w:cs="仿宋"/>
          <w:b w:val="0"/>
          <w:bCs w:val="0"/>
          <w:sz w:val="28"/>
          <w:szCs w:val="28"/>
          <w:lang w:val="en-US" w:eastAsia="zh-CN"/>
        </w:rPr>
        <w:t>单</w:t>
      </w:r>
      <w:r>
        <w:rPr>
          <w:rFonts w:hint="eastAsia" w:ascii="仿宋" w:hAnsi="仿宋" w:eastAsia="仿宋" w:cs="仿宋"/>
          <w:b w:val="0"/>
          <w:bCs w:val="0"/>
          <w:sz w:val="28"/>
          <w:szCs w:val="28"/>
        </w:rPr>
        <w:t>价包括：</w:t>
      </w:r>
      <w:r>
        <w:rPr>
          <w:rFonts w:hint="eastAsia" w:ascii="仿宋" w:hAnsi="仿宋" w:eastAsia="仿宋" w:cs="仿宋"/>
          <w:b w:val="0"/>
          <w:bCs w:val="0"/>
          <w:sz w:val="28"/>
          <w:szCs w:val="28"/>
          <w:lang w:val="en-US" w:eastAsia="zh-CN"/>
        </w:rPr>
        <w:t>货物</w:t>
      </w:r>
      <w:r>
        <w:rPr>
          <w:rFonts w:hint="eastAsia" w:ascii="仿宋" w:hAnsi="仿宋" w:eastAsia="仿宋" w:cs="仿宋"/>
          <w:b w:val="0"/>
          <w:bCs w:val="0"/>
          <w:sz w:val="28"/>
          <w:szCs w:val="28"/>
        </w:rPr>
        <w:t>供应费、运杂费、安装费、人工费、检测费、调试费、验收、税费等其它乙方履行合同义务所需的全部费用。</w:t>
      </w:r>
    </w:p>
    <w:p w14:paraId="5281C48F">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（三）合同金额一次性包死，不受市场价格变化等因素的影响。</w:t>
      </w:r>
    </w:p>
    <w:p w14:paraId="671CED3C">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五、款项结算</w:t>
      </w:r>
    </w:p>
    <w:p w14:paraId="0CAF8E54">
      <w:pPr>
        <w:keepNext w:val="0"/>
        <w:keepLines w:val="0"/>
        <w:pageBreakBefore w:val="0"/>
        <w:widowControl w:val="0"/>
        <w:kinsoku/>
        <w:wordWrap/>
        <w:overflowPunct/>
        <w:topLinePunct w:val="0"/>
        <w:autoSpaceDE/>
        <w:autoSpaceDN/>
        <w:bidi w:val="0"/>
        <w:adjustRightInd/>
        <w:snapToGrid w:val="0"/>
        <w:spacing w:line="360" w:lineRule="auto"/>
        <w:ind w:firstLine="548" w:firstLineChars="196"/>
        <w:textAlignment w:val="auto"/>
        <w:rPr>
          <w:rFonts w:hint="eastAsia" w:ascii="仿宋" w:hAnsi="仿宋" w:eastAsia="仿宋" w:cs="仿宋"/>
          <w:sz w:val="30"/>
          <w:szCs w:val="30"/>
          <w:lang w:val="en-US" w:eastAsia="zh-CN"/>
        </w:rPr>
      </w:pPr>
      <w:r>
        <w:rPr>
          <w:rFonts w:hint="eastAsia" w:ascii="仿宋" w:hAnsi="仿宋" w:eastAsia="仿宋" w:cs="仿宋"/>
          <w:b w:val="0"/>
          <w:bCs w:val="0"/>
          <w:kern w:val="36"/>
          <w:sz w:val="28"/>
          <w:szCs w:val="28"/>
        </w:rPr>
        <w:t>（一）付款方式：</w:t>
      </w:r>
      <w:r>
        <w:rPr>
          <w:rFonts w:hint="eastAsia" w:ascii="仿宋" w:hAnsi="仿宋" w:eastAsia="仿宋" w:cs="仿宋"/>
          <w:sz w:val="30"/>
          <w:szCs w:val="30"/>
          <w:lang w:val="en-US" w:eastAsia="zh-CN"/>
        </w:rPr>
        <w:t>合同签订后，每批次货物甲方自接到等额增值税发票之日起10个工作日内，向乙方预付每批次货物合同价款的40%（未收到预付款不影响乙方按照本合同约定的时限供货）；每批次货物到达甲方指定地点，完成每批次货物清点验收合格后，自接到等额增值税发票之日起，10个工作日内甲方向乙方一次性支付剩余货物价款（即每批次货物合同价款的60%）。</w:t>
      </w:r>
    </w:p>
    <w:p w14:paraId="04457A42">
      <w:pPr>
        <w:keepNext w:val="0"/>
        <w:keepLines w:val="0"/>
        <w:pageBreakBefore w:val="0"/>
        <w:widowControl w:val="0"/>
        <w:kinsoku/>
        <w:wordWrap/>
        <w:overflowPunct/>
        <w:topLinePunct w:val="0"/>
        <w:autoSpaceDE/>
        <w:autoSpaceDN/>
        <w:bidi w:val="0"/>
        <w:adjustRightInd/>
        <w:snapToGrid w:val="0"/>
        <w:spacing w:line="360" w:lineRule="auto"/>
        <w:ind w:firstLine="548" w:firstLineChars="196"/>
        <w:textAlignment w:val="auto"/>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（二）支付方式：银行转账。</w:t>
      </w:r>
    </w:p>
    <w:p w14:paraId="01A36BAA">
      <w:pPr>
        <w:keepNext w:val="0"/>
        <w:keepLines w:val="0"/>
        <w:pageBreakBefore w:val="0"/>
        <w:widowControl w:val="0"/>
        <w:kinsoku/>
        <w:wordWrap/>
        <w:overflowPunct/>
        <w:topLinePunct w:val="0"/>
        <w:autoSpaceDE/>
        <w:autoSpaceDN/>
        <w:bidi w:val="0"/>
        <w:adjustRightInd/>
        <w:snapToGrid w:val="0"/>
        <w:spacing w:line="360" w:lineRule="auto"/>
        <w:ind w:firstLine="548" w:firstLineChars="196"/>
        <w:textAlignment w:val="auto"/>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乙方确认以下信息为收款信息：</w:t>
      </w:r>
    </w:p>
    <w:p w14:paraId="53B7572B">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开户名：</w:t>
      </w:r>
    </w:p>
    <w:p w14:paraId="60106F1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开户行：</w:t>
      </w:r>
    </w:p>
    <w:p w14:paraId="37E29A04">
      <w:pPr>
        <w:keepNext w:val="0"/>
        <w:keepLines w:val="0"/>
        <w:pageBreakBefore w:val="0"/>
        <w:widowControl w:val="0"/>
        <w:kinsoku/>
        <w:wordWrap/>
        <w:overflowPunct/>
        <w:topLinePunct w:val="0"/>
        <w:autoSpaceDE/>
        <w:autoSpaceDN/>
        <w:bidi w:val="0"/>
        <w:adjustRightInd/>
        <w:snapToGrid w:val="0"/>
        <w:spacing w:line="360" w:lineRule="auto"/>
        <w:ind w:firstLine="548" w:firstLineChars="196"/>
        <w:textAlignment w:val="auto"/>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账号：</w:t>
      </w:r>
    </w:p>
    <w:p w14:paraId="5BCDE372">
      <w:pPr>
        <w:pStyle w:val="8"/>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乙方延期提供发票或提供的发票不符合甲方要求的，甲方有权顺延付款期限且不承担任何法律责任。因乙方原因导致甲方不能及时付款的，甲方无需承担任何责任。</w:t>
      </w:r>
    </w:p>
    <w:p w14:paraId="773B7A40">
      <w:pPr>
        <w:keepNext w:val="0"/>
        <w:keepLines w:val="0"/>
        <w:pageBreakBefore w:val="0"/>
        <w:widowControl w:val="0"/>
        <w:tabs>
          <w:tab w:val="left" w:pos="1155"/>
        </w:tabs>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kern w:val="36"/>
          <w:sz w:val="28"/>
          <w:szCs w:val="28"/>
        </w:rPr>
        <w:t>（三）结算要求：验收合格后填写项目验收单（一式六份），发票按验收总价直开甲方，</w:t>
      </w:r>
      <w:r>
        <w:rPr>
          <w:rFonts w:hint="eastAsia" w:ascii="仿宋" w:hAnsi="仿宋" w:eastAsia="仿宋" w:cs="仿宋"/>
          <w:b w:val="0"/>
          <w:bCs w:val="0"/>
          <w:sz w:val="28"/>
          <w:szCs w:val="28"/>
        </w:rPr>
        <w:t>乙</w:t>
      </w:r>
      <w:r>
        <w:rPr>
          <w:rFonts w:hint="eastAsia" w:ascii="仿宋" w:hAnsi="仿宋" w:eastAsia="仿宋" w:cs="仿宋"/>
          <w:b w:val="0"/>
          <w:bCs w:val="0"/>
          <w:kern w:val="36"/>
          <w:sz w:val="28"/>
          <w:szCs w:val="28"/>
        </w:rPr>
        <w:t>方持采购合同、等额合规发票、项目验收合格单，与甲方结算。</w:t>
      </w:r>
    </w:p>
    <w:p w14:paraId="0F591F6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六、双方的权利和义务</w:t>
      </w:r>
    </w:p>
    <w:p w14:paraId="0D20C7E0">
      <w:pPr>
        <w:keepNext w:val="0"/>
        <w:keepLines w:val="0"/>
        <w:pageBreakBefore w:val="0"/>
        <w:widowControl w:val="0"/>
        <w:kinsoku/>
        <w:wordWrap/>
        <w:overflowPunct/>
        <w:topLinePunct w:val="0"/>
        <w:autoSpaceDE/>
        <w:autoSpaceDN/>
        <w:bidi w:val="0"/>
        <w:adjustRightInd/>
        <w:snapToGrid w:val="0"/>
        <w:spacing w:line="360" w:lineRule="auto"/>
        <w:ind w:firstLine="548" w:firstLineChars="196"/>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（一）甲方的权利和义务</w:t>
      </w:r>
    </w:p>
    <w:p w14:paraId="3AE11B52">
      <w:pPr>
        <w:keepNext w:val="0"/>
        <w:keepLines w:val="0"/>
        <w:pageBreakBefore w:val="0"/>
        <w:widowControl w:val="0"/>
        <w:kinsoku/>
        <w:wordWrap/>
        <w:overflowPunct/>
        <w:topLinePunct w:val="0"/>
        <w:autoSpaceDE/>
        <w:autoSpaceDN/>
        <w:bidi w:val="0"/>
        <w:adjustRightInd/>
        <w:snapToGrid w:val="0"/>
        <w:spacing w:line="360" w:lineRule="auto"/>
        <w:ind w:firstLine="548" w:firstLineChars="196"/>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1、甲方保证提供给乙方的资料、信息内容合法，不侵犯第三方的合法权益。</w:t>
      </w:r>
    </w:p>
    <w:p w14:paraId="1148C50A">
      <w:pPr>
        <w:keepNext w:val="0"/>
        <w:keepLines w:val="0"/>
        <w:pageBreakBefore w:val="0"/>
        <w:widowControl w:val="0"/>
        <w:kinsoku/>
        <w:wordWrap/>
        <w:overflowPunct/>
        <w:topLinePunct w:val="0"/>
        <w:autoSpaceDE/>
        <w:autoSpaceDN/>
        <w:bidi w:val="0"/>
        <w:adjustRightInd/>
        <w:snapToGrid w:val="0"/>
        <w:spacing w:line="360" w:lineRule="auto"/>
        <w:ind w:firstLine="548" w:firstLineChars="196"/>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w:t>
      </w:r>
      <w:r>
        <w:rPr>
          <w:rFonts w:hint="eastAsia" w:ascii="仿宋" w:hAnsi="仿宋" w:eastAsia="仿宋" w:cs="仿宋"/>
          <w:b w:val="0"/>
          <w:bCs w:val="0"/>
          <w:kern w:val="36"/>
          <w:sz w:val="28"/>
          <w:szCs w:val="28"/>
        </w:rPr>
        <w:t>由于乙方原因不能按合同约定履约，甲方有权扣留剩余款项，作为对甲方损失的赔偿，剩余款项已付或</w:t>
      </w:r>
      <w:r>
        <w:rPr>
          <w:rFonts w:hint="eastAsia" w:ascii="仿宋" w:hAnsi="仿宋" w:eastAsia="仿宋" w:cs="仿宋"/>
          <w:b w:val="0"/>
          <w:bCs w:val="0"/>
          <w:sz w:val="28"/>
          <w:szCs w:val="28"/>
        </w:rPr>
        <w:t>不足以赔偿甲方损失的，由乙方另行支付。</w:t>
      </w:r>
    </w:p>
    <w:p w14:paraId="053A426A">
      <w:pPr>
        <w:keepNext w:val="0"/>
        <w:keepLines w:val="0"/>
        <w:pageBreakBefore w:val="0"/>
        <w:widowControl w:val="0"/>
        <w:kinsoku/>
        <w:wordWrap/>
        <w:overflowPunct/>
        <w:topLinePunct w:val="0"/>
        <w:autoSpaceDE/>
        <w:autoSpaceDN/>
        <w:bidi w:val="0"/>
        <w:adjustRightInd/>
        <w:snapToGrid w:val="0"/>
        <w:spacing w:line="360" w:lineRule="auto"/>
        <w:ind w:firstLine="548" w:firstLineChars="196"/>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（二）乙方的权利和义务</w:t>
      </w:r>
    </w:p>
    <w:p w14:paraId="025F2CCE">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乙方确保本项目通过合法招投标程序，在公平公正的基础上中标本次项目，本项目在若经监管部门定性为串通投标等违法情形的，乙方应承担由此产生的一切责任（包括但不限于刑事责任、行政责任、民事赔偿责任等），由此给甲方造成损失的，乙方应当赔偿甲方全部损失</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lang w:val="en-US" w:eastAsia="zh-CN"/>
        </w:rPr>
        <w:t>包括但不限于甲方因维权产生的诉讼费、公证费、保全费以及律师费等</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sz w:val="28"/>
          <w:szCs w:val="28"/>
        </w:rPr>
        <w:t>。</w:t>
      </w:r>
    </w:p>
    <w:p w14:paraId="03AC7CED">
      <w:pPr>
        <w:keepNext w:val="0"/>
        <w:keepLines w:val="0"/>
        <w:pageBreakBefore w:val="0"/>
        <w:widowControl w:val="0"/>
        <w:kinsoku/>
        <w:wordWrap/>
        <w:overflowPunct/>
        <w:topLinePunct w:val="0"/>
        <w:autoSpaceDE/>
        <w:autoSpaceDN/>
        <w:bidi w:val="0"/>
        <w:adjustRightInd/>
        <w:snapToGrid w:val="0"/>
        <w:spacing w:line="360" w:lineRule="auto"/>
        <w:ind w:firstLine="548" w:firstLineChars="196"/>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乙方保证在履行本合同过程中，不侵犯第三方的合法权益。如因乙方原因致使甲方遭受第三方追诉的，乙方应承担由此给甲方造成的全部损失（包括但不限于甲方因维权产生的诉讼费、公证费、保全费以及律师费等），并承担</w:t>
      </w:r>
      <w:r>
        <w:rPr>
          <w:rFonts w:hint="eastAsia" w:ascii="仿宋" w:hAnsi="仿宋" w:eastAsia="仿宋" w:cs="仿宋"/>
          <w:b w:val="0"/>
          <w:bCs w:val="0"/>
          <w:color w:val="auto"/>
          <w:sz w:val="28"/>
          <w:szCs w:val="28"/>
          <w:highlight w:val="none"/>
          <w:lang w:val="en-US" w:eastAsia="zh-CN"/>
        </w:rPr>
        <w:t>合同最高执行总价款30%的违约金</w:t>
      </w:r>
      <w:r>
        <w:rPr>
          <w:rFonts w:hint="eastAsia" w:ascii="仿宋" w:hAnsi="仿宋" w:eastAsia="仿宋" w:cs="仿宋"/>
          <w:b w:val="0"/>
          <w:bCs w:val="0"/>
          <w:sz w:val="28"/>
          <w:szCs w:val="28"/>
        </w:rPr>
        <w:t>违约责任。</w:t>
      </w:r>
    </w:p>
    <w:p w14:paraId="2D3F331C">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3、乙方按照本合同约定，在履行的过程中，不允许利用甲方提供的工作条件和相关资料进行与本项目无关的工作。如因乙方原因致使甲方遭受经济及法律追诉的，由乙方完全承担</w:t>
      </w:r>
      <w:r>
        <w:rPr>
          <w:rFonts w:hint="eastAsia" w:ascii="仿宋" w:hAnsi="仿宋" w:eastAsia="仿宋" w:cs="仿宋"/>
          <w:b w:val="0"/>
          <w:bCs w:val="0"/>
          <w:color w:val="auto"/>
          <w:sz w:val="28"/>
          <w:szCs w:val="28"/>
          <w:highlight w:val="none"/>
        </w:rPr>
        <w:t>（包括但不限于甲方因维权产生的诉讼费、公证费、保全费以及律师费等）</w:t>
      </w:r>
      <w:r>
        <w:rPr>
          <w:rFonts w:hint="eastAsia" w:ascii="仿宋" w:hAnsi="仿宋" w:eastAsia="仿宋" w:cs="仿宋"/>
          <w:b w:val="0"/>
          <w:bCs w:val="0"/>
          <w:sz w:val="28"/>
          <w:szCs w:val="28"/>
        </w:rPr>
        <w:t>。</w:t>
      </w:r>
    </w:p>
    <w:p w14:paraId="5ADF86CD">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4、乙方必须设置安装、调试现场安全管理人员及专职安全员，杜绝违规安装。</w:t>
      </w:r>
    </w:p>
    <w:p w14:paraId="62413AA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5、乙方必须对安装、调试地域环境卫生、人员安全、生产安全、防火安全负全责。安装、调试现场的各种活动须服从甲方相关部门的管理、监督，同时做好与其它人员的交叉作业及配合工作。</w:t>
      </w:r>
    </w:p>
    <w:p w14:paraId="069A83A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6、乙方必须加强对安装、调试现场的安全监督、管理，对进入现场的易燃材料生产工具应指定专人管理，必要时派人驻守。对当日产生的易燃废料需当日清理出安装、调试现场，堆放到甲方指定区域，当日应及时清理出院，消除安全隐患。</w:t>
      </w:r>
    </w:p>
    <w:p w14:paraId="050A3B7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7、乙方供货、安装、调试人员要安全文明服务，不准赤脚或穿高跟鞋、拖鞋和裙子进入供货场地；供货场地禁止吸烟；高空作业时必须系安全带，佩戴安全帽，不得穿硬底鞋及带钉易打滑的鞋；不准违章指挥，违章作业及冒险作业；不准从高处往下抛投物料；不准酒后上岗。</w:t>
      </w:r>
    </w:p>
    <w:p w14:paraId="17FA424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8、乙方供货、安装、调试人员要严防火灾，不准在禁止烟火的地方动用明火；要文明供货，不得在安装、调试现场戏耍和打架斗殴；要注意用电安全，电器开关要设箱加锁，不准乱拉乱接电线。</w:t>
      </w:r>
    </w:p>
    <w:p w14:paraId="1921E739">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9、由于乙方在供货、安装、调试过程中组织管理不当违反安全规程、消防安全条例发生安全或火灾事故所造成的安全责任事故、经济损失及人身伤亡，乙方承担全部责任，甲方概不负责。在供货、安装、调试中如发生事故造成甲方经济损失、人身损害，乙方承担全部责任</w:t>
      </w:r>
      <w:r>
        <w:rPr>
          <w:rFonts w:hint="eastAsia" w:ascii="仿宋" w:hAnsi="仿宋" w:eastAsia="仿宋" w:cs="仿宋"/>
          <w:b w:val="0"/>
          <w:bCs w:val="0"/>
          <w:color w:val="auto"/>
          <w:kern w:val="36"/>
          <w:sz w:val="28"/>
          <w:szCs w:val="28"/>
          <w:highlight w:val="none"/>
        </w:rPr>
        <w:t>，若因此还造成甲方损失的，乙方应承担全部损失（包括但不限于甲方因维权产生的诉讼费、公证费、保全费以及律师费等）</w:t>
      </w:r>
      <w:r>
        <w:rPr>
          <w:rFonts w:hint="eastAsia" w:ascii="仿宋" w:hAnsi="仿宋" w:eastAsia="仿宋" w:cs="仿宋"/>
          <w:b w:val="0"/>
          <w:bCs w:val="0"/>
          <w:kern w:val="36"/>
          <w:sz w:val="28"/>
          <w:szCs w:val="28"/>
        </w:rPr>
        <w:t>。</w:t>
      </w:r>
    </w:p>
    <w:p w14:paraId="6B46A1D0">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10、乙方货物需在甲方指定地点有序堆放，垃圾或货物外包装应24小时内清理外运，严禁随意乱堆乱放，影响院内大环境及道路畅通。</w:t>
      </w:r>
    </w:p>
    <w:p w14:paraId="033374D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11、乙方违反上述任意约定，均视为违约。甲方现场管理人员有权制止其行为并劝其离场，乙方应停工整顿且交付期不顺延（停工期间造成的损失由乙方自行承担）。每违反一次扣除合同</w:t>
      </w:r>
      <w:r>
        <w:rPr>
          <w:rFonts w:hint="eastAsia" w:ascii="仿宋" w:hAnsi="仿宋" w:eastAsia="仿宋" w:cs="仿宋"/>
          <w:b w:val="0"/>
          <w:bCs w:val="0"/>
          <w:color w:val="auto"/>
          <w:sz w:val="28"/>
          <w:szCs w:val="28"/>
          <w:highlight w:val="none"/>
          <w:lang w:val="en-US" w:eastAsia="zh-CN"/>
        </w:rPr>
        <w:t>最高执行</w:t>
      </w:r>
      <w:r>
        <w:rPr>
          <w:rFonts w:hint="eastAsia" w:ascii="仿宋" w:hAnsi="仿宋" w:eastAsia="仿宋" w:cs="仿宋"/>
          <w:b w:val="0"/>
          <w:bCs w:val="0"/>
          <w:kern w:val="36"/>
          <w:sz w:val="28"/>
          <w:szCs w:val="28"/>
        </w:rPr>
        <w:t>总价的</w:t>
      </w:r>
      <w:r>
        <w:rPr>
          <w:rFonts w:hint="eastAsia" w:ascii="仿宋" w:hAnsi="仿宋" w:eastAsia="仿宋" w:cs="仿宋"/>
          <w:b w:val="0"/>
          <w:bCs w:val="0"/>
          <w:kern w:val="36"/>
          <w:sz w:val="28"/>
          <w:szCs w:val="28"/>
          <w:lang w:val="en-US" w:eastAsia="zh-CN"/>
        </w:rPr>
        <w:t>1</w:t>
      </w:r>
      <w:r>
        <w:rPr>
          <w:rFonts w:hint="eastAsia" w:ascii="仿宋" w:hAnsi="仿宋" w:eastAsia="仿宋" w:cs="仿宋"/>
          <w:b w:val="0"/>
          <w:bCs w:val="0"/>
          <w:kern w:val="36"/>
          <w:sz w:val="28"/>
          <w:szCs w:val="28"/>
        </w:rPr>
        <w:t>%作为违约金，并承担由此造成的全部损失，累计超过3次的，视为乙方根本违约，甲方有权解除合同，合同自</w:t>
      </w:r>
      <w:r>
        <w:rPr>
          <w:rFonts w:hint="eastAsia" w:ascii="仿宋" w:hAnsi="仿宋" w:eastAsia="仿宋" w:cs="仿宋"/>
          <w:b w:val="0"/>
          <w:bCs w:val="0"/>
          <w:kern w:val="36"/>
          <w:sz w:val="28"/>
          <w:szCs w:val="28"/>
          <w:lang w:val="en-US" w:eastAsia="zh-CN"/>
        </w:rPr>
        <w:t>甲方</w:t>
      </w:r>
      <w:r>
        <w:rPr>
          <w:rFonts w:hint="eastAsia" w:ascii="仿宋" w:hAnsi="仿宋" w:eastAsia="仿宋" w:cs="仿宋"/>
          <w:b w:val="0"/>
          <w:bCs w:val="0"/>
          <w:kern w:val="36"/>
          <w:sz w:val="28"/>
          <w:szCs w:val="28"/>
        </w:rPr>
        <w:t>书面解除通知送达乙方之日解除，乙方应按照合同</w:t>
      </w:r>
      <w:r>
        <w:rPr>
          <w:rFonts w:hint="eastAsia" w:ascii="仿宋" w:hAnsi="仿宋" w:eastAsia="仿宋" w:cs="仿宋"/>
          <w:b w:val="0"/>
          <w:bCs w:val="0"/>
          <w:color w:val="auto"/>
          <w:sz w:val="28"/>
          <w:szCs w:val="28"/>
          <w:highlight w:val="none"/>
          <w:lang w:val="en-US" w:eastAsia="zh-CN"/>
        </w:rPr>
        <w:t>最高执行</w:t>
      </w:r>
      <w:r>
        <w:rPr>
          <w:rFonts w:hint="eastAsia" w:ascii="仿宋" w:hAnsi="仿宋" w:eastAsia="仿宋" w:cs="仿宋"/>
          <w:b w:val="0"/>
          <w:bCs w:val="0"/>
          <w:kern w:val="36"/>
          <w:sz w:val="28"/>
          <w:szCs w:val="28"/>
        </w:rPr>
        <w:t>总价的30%承担违约金，若违约金不足以弥补甲方损失的，由乙方另行支付。</w:t>
      </w:r>
      <w:r>
        <w:rPr>
          <w:rFonts w:hint="eastAsia" w:ascii="仿宋" w:hAnsi="仿宋" w:eastAsia="仿宋" w:cs="仿宋"/>
          <w:b w:val="0"/>
          <w:bCs w:val="0"/>
          <w:kern w:val="36"/>
          <w:sz w:val="28"/>
          <w:szCs w:val="28"/>
          <w:lang w:val="en-US" w:eastAsia="zh-CN"/>
        </w:rPr>
        <w:t>甲方损失包括但不限于甲方因维权产生的诉讼费、公证费、保全费以及律师费等费用。</w:t>
      </w:r>
    </w:p>
    <w:p w14:paraId="096D73C5">
      <w:pPr>
        <w:keepNext w:val="0"/>
        <w:keepLines w:val="0"/>
        <w:pageBreakBefore w:val="0"/>
        <w:widowControl w:val="0"/>
        <w:tabs>
          <w:tab w:val="left" w:pos="480"/>
        </w:tabs>
        <w:kinsoku/>
        <w:wordWrap/>
        <w:overflowPunct/>
        <w:topLinePunct w:val="0"/>
        <w:autoSpaceDE/>
        <w:autoSpaceDN/>
        <w:bidi w:val="0"/>
        <w:adjustRightInd/>
        <w:snapToGrid w:val="0"/>
        <w:spacing w:line="360"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七、运输</w:t>
      </w:r>
    </w:p>
    <w:p w14:paraId="4A6F3378">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（一）运输由乙方负责，运杂费已包含在合同</w:t>
      </w:r>
      <w:r>
        <w:rPr>
          <w:rFonts w:hint="eastAsia" w:ascii="仿宋" w:hAnsi="仿宋" w:eastAsia="仿宋" w:cs="仿宋"/>
          <w:b w:val="0"/>
          <w:bCs w:val="0"/>
          <w:sz w:val="28"/>
          <w:szCs w:val="28"/>
          <w:lang w:val="en-US" w:eastAsia="zh-CN"/>
        </w:rPr>
        <w:t>单</w:t>
      </w:r>
      <w:r>
        <w:rPr>
          <w:rFonts w:hint="eastAsia" w:ascii="仿宋" w:hAnsi="仿宋" w:eastAsia="仿宋" w:cs="仿宋"/>
          <w:b w:val="0"/>
          <w:bCs w:val="0"/>
          <w:sz w:val="28"/>
          <w:szCs w:val="28"/>
        </w:rPr>
        <w:t>价内，包括从货物供应地点所含的运输费、装卸费、仓储费、保险费等</w:t>
      </w:r>
      <w:r>
        <w:rPr>
          <w:rFonts w:hint="eastAsia" w:ascii="仿宋" w:hAnsi="仿宋" w:eastAsia="仿宋" w:cs="仿宋"/>
          <w:b w:val="0"/>
          <w:bCs w:val="0"/>
          <w:sz w:val="28"/>
          <w:szCs w:val="28"/>
          <w:lang w:val="en-US" w:eastAsia="zh-CN"/>
        </w:rPr>
        <w:t>全部费用</w:t>
      </w:r>
      <w:r>
        <w:rPr>
          <w:rFonts w:hint="eastAsia" w:ascii="仿宋" w:hAnsi="仿宋" w:eastAsia="仿宋" w:cs="仿宋"/>
          <w:b w:val="0"/>
          <w:bCs w:val="0"/>
          <w:sz w:val="28"/>
          <w:szCs w:val="28"/>
        </w:rPr>
        <w:t>。</w:t>
      </w:r>
    </w:p>
    <w:p w14:paraId="72FC7358">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（二）运输方式由乙方自行选择，但必须保证按期交付。</w:t>
      </w:r>
    </w:p>
    <w:p w14:paraId="528D079F">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（三）货物验收合格前产生的一切毁损、灭失的风险及质量问题均由乙方承担。</w:t>
      </w:r>
    </w:p>
    <w:p w14:paraId="72E0178E">
      <w:pPr>
        <w:keepNext w:val="0"/>
        <w:keepLines w:val="0"/>
        <w:pageBreakBefore w:val="0"/>
        <w:widowControl w:val="0"/>
        <w:tabs>
          <w:tab w:val="left" w:pos="1155"/>
        </w:tabs>
        <w:kinsoku/>
        <w:wordWrap/>
        <w:overflowPunct/>
        <w:topLinePunct w:val="0"/>
        <w:autoSpaceDE/>
        <w:autoSpaceDN/>
        <w:bidi w:val="0"/>
        <w:adjustRightInd/>
        <w:snapToGrid w:val="0"/>
        <w:spacing w:line="360"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八、质量保证</w:t>
      </w:r>
    </w:p>
    <w:p w14:paraId="5744670E">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乙方所供货物必须执行下列条款：</w:t>
      </w:r>
    </w:p>
    <w:p w14:paraId="5A61745C">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（一）保证技术指标先进、质量性能可靠、进货渠道正常、功能齐全、配置合理，全面满足技术要求。</w:t>
      </w:r>
    </w:p>
    <w:p w14:paraId="1613A276">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（二）符合国家有关规范要求，确保达到最佳运行状态。对于由于产品设计、工艺或材料的缺陷而产生的质量问题负责。</w:t>
      </w:r>
    </w:p>
    <w:p w14:paraId="70818961">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（三）具有良好的外观，适合安装场所的使用。</w:t>
      </w:r>
    </w:p>
    <w:p w14:paraId="0A557E7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九、特殊要求：</w:t>
      </w:r>
    </w:p>
    <w:p w14:paraId="6888947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（一）因甲方为一所三级甲等医院，就诊患者较多人员较为复杂，病员均为特殊群体，甲方要求在供货过程当中，始终以患者为第一，任何供货决不能影响患者正常就诊。</w:t>
      </w:r>
    </w:p>
    <w:p w14:paraId="652473F1">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（二）无论供货大小难易以及节假日与夜间供货，要求乙方积极组织供货力量正常供货，服从甲方工作安排。 </w:t>
      </w:r>
    </w:p>
    <w:p w14:paraId="492FF5C3">
      <w:pPr>
        <w:keepNext w:val="0"/>
        <w:keepLines w:val="0"/>
        <w:pageBreakBefore w:val="0"/>
        <w:widowControl w:val="0"/>
        <w:tabs>
          <w:tab w:val="left" w:pos="1155"/>
        </w:tabs>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（三）乙方对甲方突发公共卫生事件及各项应急预案应积极响应并派员配合及协助工作，不得拒绝推诿。</w:t>
      </w:r>
    </w:p>
    <w:p w14:paraId="235A7EDB">
      <w:pPr>
        <w:keepNext w:val="0"/>
        <w:keepLines w:val="0"/>
        <w:pageBreakBefore w:val="0"/>
        <w:widowControl w:val="0"/>
        <w:tabs>
          <w:tab w:val="left" w:pos="1155"/>
        </w:tabs>
        <w:kinsoku/>
        <w:wordWrap/>
        <w:overflowPunct/>
        <w:topLinePunct w:val="0"/>
        <w:autoSpaceDE/>
        <w:autoSpaceDN/>
        <w:bidi w:val="0"/>
        <w:adjustRightInd/>
        <w:snapToGrid w:val="0"/>
        <w:spacing w:line="360"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十、售后服务</w:t>
      </w:r>
    </w:p>
    <w:p w14:paraId="51300A9C">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（一）质保期内</w:t>
      </w:r>
    </w:p>
    <w:p w14:paraId="6F5A9D9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自</w:t>
      </w:r>
      <w:r>
        <w:rPr>
          <w:rFonts w:hint="eastAsia" w:ascii="仿宋" w:hAnsi="仿宋" w:eastAsia="仿宋" w:cs="仿宋"/>
          <w:b w:val="0"/>
          <w:bCs w:val="0"/>
          <w:sz w:val="28"/>
          <w:szCs w:val="28"/>
          <w:lang w:val="en-US" w:eastAsia="zh-CN"/>
        </w:rPr>
        <w:t>每批次货物</w:t>
      </w:r>
      <w:r>
        <w:rPr>
          <w:rFonts w:hint="eastAsia" w:ascii="仿宋" w:hAnsi="仿宋" w:eastAsia="仿宋" w:cs="仿宋"/>
          <w:b w:val="0"/>
          <w:bCs w:val="0"/>
          <w:sz w:val="28"/>
          <w:szCs w:val="28"/>
        </w:rPr>
        <w:t>验收合格之日起：</w:t>
      </w:r>
    </w:p>
    <w:p w14:paraId="300EEBE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1、提供质保</w:t>
      </w:r>
      <w:r>
        <w:rPr>
          <w:rFonts w:hint="eastAsia" w:ascii="仿宋" w:hAnsi="仿宋" w:eastAsia="仿宋" w:cs="仿宋"/>
          <w:b w:val="0"/>
          <w:bCs w:val="0"/>
          <w:sz w:val="28"/>
          <w:szCs w:val="28"/>
          <w:u w:val="single"/>
        </w:rPr>
        <w:t xml:space="preserve">    </w:t>
      </w:r>
      <w:r>
        <w:rPr>
          <w:rFonts w:hint="eastAsia" w:ascii="仿宋" w:hAnsi="仿宋" w:eastAsia="仿宋" w:cs="仿宋"/>
          <w:b w:val="0"/>
          <w:bCs w:val="0"/>
          <w:sz w:val="28"/>
          <w:szCs w:val="28"/>
        </w:rPr>
        <w:t>年。</w:t>
      </w:r>
    </w:p>
    <w:p w14:paraId="2AE22E25">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2、同一</w:t>
      </w:r>
      <w:r>
        <w:rPr>
          <w:rFonts w:hint="eastAsia" w:ascii="仿宋" w:hAnsi="仿宋" w:eastAsia="仿宋" w:cs="仿宋"/>
          <w:b w:val="0"/>
          <w:bCs w:val="0"/>
          <w:sz w:val="28"/>
          <w:szCs w:val="28"/>
          <w:lang w:val="en-US" w:eastAsia="zh-CN"/>
        </w:rPr>
        <w:t>货物</w:t>
      </w:r>
      <w:r>
        <w:rPr>
          <w:rFonts w:hint="eastAsia" w:ascii="仿宋" w:hAnsi="仿宋" w:eastAsia="仿宋" w:cs="仿宋"/>
          <w:b w:val="0"/>
          <w:bCs w:val="0"/>
          <w:sz w:val="28"/>
          <w:szCs w:val="28"/>
        </w:rPr>
        <w:t>出现质量问题，乙方必须更换同品牌、同型号、同规格的新产品。</w:t>
      </w:r>
    </w:p>
    <w:p w14:paraId="3EB800A0">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3、乙方电话响应时间小于2小时，到达现场时间不超过24小时，解决问题不超过48小时。若需</w:t>
      </w:r>
      <w:r>
        <w:rPr>
          <w:rFonts w:hint="eastAsia" w:ascii="仿宋" w:hAnsi="仿宋" w:eastAsia="仿宋" w:cs="仿宋"/>
          <w:b w:val="0"/>
          <w:bCs w:val="0"/>
          <w:sz w:val="28"/>
          <w:szCs w:val="28"/>
          <w:lang w:val="en-US" w:eastAsia="zh-CN"/>
        </w:rPr>
        <w:t>退换货物</w:t>
      </w:r>
      <w:r>
        <w:rPr>
          <w:rFonts w:hint="eastAsia" w:ascii="仿宋" w:hAnsi="仿宋" w:eastAsia="仿宋" w:cs="仿宋"/>
          <w:b w:val="0"/>
          <w:bCs w:val="0"/>
          <w:sz w:val="28"/>
          <w:szCs w:val="28"/>
        </w:rPr>
        <w:t>，乙方承担往返费用。</w:t>
      </w:r>
    </w:p>
    <w:p w14:paraId="03E65EB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4、乙方不能解决的</w:t>
      </w:r>
      <w:r>
        <w:rPr>
          <w:rFonts w:hint="eastAsia" w:ascii="仿宋" w:hAnsi="仿宋" w:eastAsia="仿宋" w:cs="仿宋"/>
          <w:b w:val="0"/>
          <w:bCs w:val="0"/>
          <w:sz w:val="28"/>
          <w:szCs w:val="28"/>
          <w:lang w:val="en-US" w:eastAsia="zh-CN"/>
        </w:rPr>
        <w:t>售后问题</w:t>
      </w:r>
      <w:r>
        <w:rPr>
          <w:rFonts w:hint="eastAsia" w:ascii="仿宋" w:hAnsi="仿宋" w:eastAsia="仿宋" w:cs="仿宋"/>
          <w:b w:val="0"/>
          <w:bCs w:val="0"/>
          <w:sz w:val="28"/>
          <w:szCs w:val="28"/>
        </w:rPr>
        <w:t>，甲方有权指定第三方</w:t>
      </w:r>
      <w:r>
        <w:rPr>
          <w:rFonts w:hint="eastAsia" w:ascii="仿宋" w:hAnsi="仿宋" w:eastAsia="仿宋" w:cs="仿宋"/>
          <w:b w:val="0"/>
          <w:bCs w:val="0"/>
          <w:sz w:val="28"/>
          <w:szCs w:val="28"/>
          <w:lang w:val="en-US" w:eastAsia="zh-CN"/>
        </w:rPr>
        <w:t>解决</w:t>
      </w:r>
      <w:r>
        <w:rPr>
          <w:rFonts w:hint="eastAsia" w:ascii="仿宋" w:hAnsi="仿宋" w:eastAsia="仿宋" w:cs="仿宋"/>
          <w:b w:val="0"/>
          <w:bCs w:val="0"/>
          <w:sz w:val="28"/>
          <w:szCs w:val="28"/>
        </w:rPr>
        <w:t>，费用由乙方承担。甲方有权从尾款中扣除，尾款已付或不足以支付全部费用的，由乙方另行支付。</w:t>
      </w:r>
    </w:p>
    <w:p w14:paraId="51B6C49F">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5、30天内，如出现质量问题，可以选择换货或退货。</w:t>
      </w:r>
    </w:p>
    <w:p w14:paraId="29ADF3B7">
      <w:pPr>
        <w:keepNext w:val="0"/>
        <w:keepLines w:val="0"/>
        <w:pageBreakBefore w:val="0"/>
        <w:widowControl w:val="0"/>
        <w:tabs>
          <w:tab w:val="left" w:pos="0"/>
        </w:tabs>
        <w:kinsoku/>
        <w:wordWrap/>
        <w:overflowPunct/>
        <w:topLinePunct w:val="0"/>
        <w:autoSpaceDE/>
        <w:autoSpaceDN/>
        <w:bidi w:val="0"/>
        <w:adjustRightInd/>
        <w:snapToGrid w:val="0"/>
        <w:spacing w:line="360"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十一、验收</w:t>
      </w:r>
    </w:p>
    <w:p w14:paraId="0BF608F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一）货物到达甲方指定地点后，甲方根据合同要求，进行外观验收，确认产地、规格、型号和数量。对于外观有破损、污渍等的货物，甲方有权直接拒收，由此导致供货逾期的，乙方仍应承担逾期交付的违约责任。</w:t>
      </w:r>
    </w:p>
    <w:p w14:paraId="30B5884E">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（二）按照甲方标书和乙方投标文件及承诺中的要求，确认每批次货物供货完成，乙方进行自检，自检合格后，准备验收文件，并书面通知甲方</w:t>
      </w:r>
    </w:p>
    <w:p w14:paraId="69F235E1">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（三）甲方确认乙方的自检内容后，组织乙方（必要时请有关专家）进行项目验收。验收合格后，填写验收单（一式六份）作为对项目的最终认可。</w:t>
      </w:r>
    </w:p>
    <w:p w14:paraId="7048A0B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（四）如验收不合格，乙方应</w:t>
      </w:r>
      <w:r>
        <w:rPr>
          <w:rFonts w:hint="eastAsia" w:ascii="仿宋" w:hAnsi="仿宋" w:eastAsia="仿宋" w:cs="仿宋"/>
          <w:b w:val="0"/>
          <w:bCs w:val="0"/>
          <w:sz w:val="28"/>
          <w:szCs w:val="28"/>
          <w:lang w:val="en-US" w:eastAsia="zh-CN"/>
        </w:rPr>
        <w:t>负责免费更换</w:t>
      </w:r>
      <w:r>
        <w:rPr>
          <w:rFonts w:hint="eastAsia" w:ascii="仿宋" w:hAnsi="仿宋" w:eastAsia="仿宋" w:cs="仿宋"/>
          <w:b w:val="0"/>
          <w:bCs w:val="0"/>
          <w:sz w:val="28"/>
          <w:szCs w:val="28"/>
        </w:rPr>
        <w:t>，直至甲方验收合格为</w:t>
      </w:r>
      <w:r>
        <w:rPr>
          <w:rFonts w:hint="eastAsia" w:ascii="仿宋" w:hAnsi="仿宋" w:eastAsia="仿宋" w:cs="仿宋"/>
          <w:b w:val="0"/>
          <w:bCs w:val="0"/>
          <w:sz w:val="28"/>
          <w:szCs w:val="28"/>
          <w:lang w:val="en-US" w:eastAsia="zh-CN"/>
        </w:rPr>
        <w:t>止</w:t>
      </w:r>
      <w:r>
        <w:rPr>
          <w:rFonts w:hint="eastAsia" w:ascii="仿宋" w:hAnsi="仿宋" w:eastAsia="仿宋" w:cs="仿宋"/>
          <w:b w:val="0"/>
          <w:bCs w:val="0"/>
          <w:sz w:val="28"/>
          <w:szCs w:val="28"/>
        </w:rPr>
        <w:t>，且</w:t>
      </w:r>
      <w:r>
        <w:rPr>
          <w:rFonts w:hint="eastAsia" w:ascii="仿宋" w:hAnsi="仿宋" w:eastAsia="仿宋" w:cs="仿宋"/>
          <w:b w:val="0"/>
          <w:bCs w:val="0"/>
          <w:sz w:val="28"/>
          <w:szCs w:val="28"/>
          <w:lang w:val="en-US" w:eastAsia="zh-CN"/>
        </w:rPr>
        <w:t>交付期</w:t>
      </w:r>
      <w:r>
        <w:rPr>
          <w:rFonts w:hint="eastAsia" w:ascii="仿宋" w:hAnsi="仿宋" w:eastAsia="仿宋" w:cs="仿宋"/>
          <w:b w:val="0"/>
          <w:bCs w:val="0"/>
          <w:sz w:val="28"/>
          <w:szCs w:val="28"/>
        </w:rPr>
        <w:t>不顺延，由此产生的费用及造成的损失，乙方自行承担。若乙方交付项目验收不合格累计超过3次的，甲方有权选择解除合同，若合同解除，乙方应按照本协议违约责任第（二）款承担违约责任。若因乙方项目货物验收不合格导致乙方货物交付延期的，乙方仍应按本合同违约责任第（二）款承担违约责任。</w:t>
      </w:r>
    </w:p>
    <w:p w14:paraId="705C0228">
      <w:pPr>
        <w:keepNext w:val="0"/>
        <w:keepLines w:val="0"/>
        <w:pageBreakBefore w:val="0"/>
        <w:widowControl w:val="0"/>
        <w:tabs>
          <w:tab w:val="left" w:pos="0"/>
        </w:tabs>
        <w:kinsoku/>
        <w:wordWrap/>
        <w:overflowPunct/>
        <w:topLinePunct w:val="0"/>
        <w:autoSpaceDE/>
        <w:autoSpaceDN/>
        <w:bidi w:val="0"/>
        <w:adjustRightInd/>
        <w:snapToGrid w:val="0"/>
        <w:spacing w:line="360" w:lineRule="auto"/>
        <w:ind w:firstLine="548" w:firstLineChars="196"/>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（五）乙方向甲方提交项目实施过程中的所有资料，以便甲方日后管理和维护。</w:t>
      </w:r>
    </w:p>
    <w:p w14:paraId="6FF9120D">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（六）以第一次验收合格日期算起，到达约定付款期时，甲方组织乙方（必要时请有关专家）进行项目结束验收，验收合格后，填写最终验收单（一式六份）作为对项目的最终认可。</w:t>
      </w:r>
    </w:p>
    <w:p w14:paraId="4A829C72">
      <w:pPr>
        <w:keepNext w:val="0"/>
        <w:keepLines w:val="0"/>
        <w:pageBreakBefore w:val="0"/>
        <w:widowControl w:val="0"/>
        <w:tabs>
          <w:tab w:val="left" w:pos="0"/>
        </w:tabs>
        <w:kinsoku/>
        <w:wordWrap/>
        <w:overflowPunct/>
        <w:topLinePunct w:val="0"/>
        <w:autoSpaceDE/>
        <w:autoSpaceDN/>
        <w:bidi w:val="0"/>
        <w:adjustRightInd/>
        <w:snapToGrid w:val="0"/>
        <w:spacing w:line="360" w:lineRule="auto"/>
        <w:ind w:firstLine="548" w:firstLineChars="196"/>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（七）验收依据</w:t>
      </w:r>
    </w:p>
    <w:p w14:paraId="70F050A2">
      <w:pPr>
        <w:keepNext w:val="0"/>
        <w:keepLines w:val="0"/>
        <w:pageBreakBefore w:val="0"/>
        <w:widowControl w:val="0"/>
        <w:tabs>
          <w:tab w:val="left" w:pos="0"/>
        </w:tabs>
        <w:kinsoku/>
        <w:wordWrap/>
        <w:overflowPunct/>
        <w:topLinePunct w:val="0"/>
        <w:autoSpaceDE/>
        <w:autoSpaceDN/>
        <w:bidi w:val="0"/>
        <w:adjustRightInd/>
        <w:snapToGrid w:val="0"/>
        <w:spacing w:line="360" w:lineRule="auto"/>
        <w:ind w:firstLine="548" w:firstLineChars="196"/>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1、招标文件、投标文件、澄清表（函）；</w:t>
      </w:r>
    </w:p>
    <w:p w14:paraId="563409AA">
      <w:pPr>
        <w:keepNext w:val="0"/>
        <w:keepLines w:val="0"/>
        <w:pageBreakBefore w:val="0"/>
        <w:widowControl w:val="0"/>
        <w:tabs>
          <w:tab w:val="left" w:pos="0"/>
        </w:tabs>
        <w:kinsoku/>
        <w:wordWrap/>
        <w:overflowPunct/>
        <w:topLinePunct w:val="0"/>
        <w:autoSpaceDE/>
        <w:autoSpaceDN/>
        <w:bidi w:val="0"/>
        <w:adjustRightInd/>
        <w:snapToGrid w:val="0"/>
        <w:spacing w:line="360" w:lineRule="auto"/>
        <w:ind w:firstLine="548" w:firstLineChars="196"/>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2、本合同及附件文本；</w:t>
      </w:r>
    </w:p>
    <w:p w14:paraId="64151733">
      <w:pPr>
        <w:keepNext w:val="0"/>
        <w:keepLines w:val="0"/>
        <w:pageBreakBefore w:val="0"/>
        <w:widowControl w:val="0"/>
        <w:tabs>
          <w:tab w:val="left" w:pos="0"/>
        </w:tabs>
        <w:kinsoku/>
        <w:wordWrap/>
        <w:overflowPunct/>
        <w:topLinePunct w:val="0"/>
        <w:autoSpaceDE/>
        <w:autoSpaceDN/>
        <w:bidi w:val="0"/>
        <w:adjustRightInd/>
        <w:snapToGrid w:val="0"/>
        <w:spacing w:line="360" w:lineRule="auto"/>
        <w:ind w:firstLine="548" w:firstLineChars="196"/>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3、国家相应的标准、规范；</w:t>
      </w:r>
    </w:p>
    <w:p w14:paraId="1EFE7808">
      <w:pPr>
        <w:keepNext w:val="0"/>
        <w:keepLines w:val="0"/>
        <w:pageBreakBefore w:val="0"/>
        <w:widowControl w:val="0"/>
        <w:tabs>
          <w:tab w:val="left" w:pos="0"/>
        </w:tabs>
        <w:kinsoku/>
        <w:wordWrap/>
        <w:overflowPunct/>
        <w:topLinePunct w:val="0"/>
        <w:autoSpaceDE/>
        <w:autoSpaceDN/>
        <w:bidi w:val="0"/>
        <w:adjustRightInd/>
        <w:snapToGrid w:val="0"/>
        <w:spacing w:line="360" w:lineRule="auto"/>
        <w:ind w:firstLine="548" w:firstLineChars="196"/>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4、使用说明书；（中文）；</w:t>
      </w:r>
    </w:p>
    <w:p w14:paraId="65618784">
      <w:pPr>
        <w:keepNext w:val="0"/>
        <w:keepLines w:val="0"/>
        <w:pageBreakBefore w:val="0"/>
        <w:widowControl w:val="0"/>
        <w:tabs>
          <w:tab w:val="left" w:pos="0"/>
          <w:tab w:val="center" w:pos="4153"/>
        </w:tabs>
        <w:kinsoku/>
        <w:wordWrap/>
        <w:overflowPunct/>
        <w:topLinePunct w:val="0"/>
        <w:autoSpaceDE/>
        <w:autoSpaceDN/>
        <w:bidi w:val="0"/>
        <w:adjustRightInd/>
        <w:snapToGrid w:val="0"/>
        <w:spacing w:line="360" w:lineRule="auto"/>
        <w:ind w:firstLine="498" w:firstLineChars="178"/>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5、其它资料。</w:t>
      </w:r>
    </w:p>
    <w:p w14:paraId="2639DC4A">
      <w:pPr>
        <w:keepNext w:val="0"/>
        <w:keepLines w:val="0"/>
        <w:pageBreakBefore w:val="0"/>
        <w:widowControl w:val="0"/>
        <w:tabs>
          <w:tab w:val="left" w:pos="0"/>
          <w:tab w:val="center" w:pos="4153"/>
        </w:tabs>
        <w:kinsoku/>
        <w:wordWrap/>
        <w:overflowPunct/>
        <w:topLinePunct w:val="0"/>
        <w:autoSpaceDE/>
        <w:autoSpaceDN/>
        <w:bidi w:val="0"/>
        <w:adjustRightInd/>
        <w:snapToGrid w:val="0"/>
        <w:spacing w:line="360"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十二、违约责任</w:t>
      </w:r>
    </w:p>
    <w:p w14:paraId="50EC9AAF">
      <w:pPr>
        <w:keepNext w:val="0"/>
        <w:keepLines w:val="0"/>
        <w:pageBreakBefore w:val="0"/>
        <w:widowControl w:val="0"/>
        <w:tabs>
          <w:tab w:val="left" w:pos="0"/>
        </w:tabs>
        <w:kinsoku/>
        <w:wordWrap/>
        <w:overflowPunct/>
        <w:topLinePunct w:val="0"/>
        <w:autoSpaceDE/>
        <w:autoSpaceDN/>
        <w:bidi w:val="0"/>
        <w:adjustRightInd/>
        <w:snapToGrid w:val="0"/>
        <w:spacing w:line="360" w:lineRule="auto"/>
        <w:ind w:firstLine="548" w:firstLineChars="196"/>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（一）按《中华人民共和国民法典》中的相关条款执行。</w:t>
      </w:r>
    </w:p>
    <w:p w14:paraId="6C9DF2A8">
      <w:pPr>
        <w:keepNext w:val="0"/>
        <w:keepLines w:val="0"/>
        <w:pageBreakBefore w:val="0"/>
        <w:widowControl w:val="0"/>
        <w:tabs>
          <w:tab w:val="left" w:pos="0"/>
        </w:tabs>
        <w:kinsoku/>
        <w:wordWrap/>
        <w:overflowPunct/>
        <w:topLinePunct w:val="0"/>
        <w:autoSpaceDE/>
        <w:autoSpaceDN/>
        <w:bidi w:val="0"/>
        <w:adjustRightInd/>
        <w:snapToGrid w:val="0"/>
        <w:spacing w:line="360" w:lineRule="auto"/>
        <w:ind w:firstLine="548" w:firstLineChars="196"/>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（二）未按合同要求提供</w:t>
      </w:r>
      <w:r>
        <w:rPr>
          <w:rFonts w:hint="eastAsia" w:ascii="仿宋" w:hAnsi="仿宋" w:eastAsia="仿宋" w:cs="仿宋"/>
          <w:b w:val="0"/>
          <w:bCs w:val="0"/>
          <w:sz w:val="28"/>
          <w:szCs w:val="28"/>
          <w:lang w:val="en-US" w:eastAsia="zh-CN"/>
        </w:rPr>
        <w:t>提供货物</w:t>
      </w:r>
      <w:r>
        <w:rPr>
          <w:rFonts w:hint="eastAsia" w:ascii="仿宋" w:hAnsi="仿宋" w:eastAsia="仿宋" w:cs="仿宋"/>
          <w:b w:val="0"/>
          <w:bCs w:val="0"/>
          <w:sz w:val="28"/>
          <w:szCs w:val="28"/>
        </w:rPr>
        <w:t>，</w:t>
      </w:r>
      <w:r>
        <w:rPr>
          <w:rFonts w:hint="eastAsia" w:ascii="仿宋" w:hAnsi="仿宋" w:eastAsia="仿宋" w:cs="仿宋"/>
          <w:b w:val="0"/>
          <w:bCs w:val="0"/>
          <w:sz w:val="28"/>
          <w:szCs w:val="28"/>
          <w:lang w:val="en-US" w:eastAsia="zh-CN"/>
        </w:rPr>
        <w:t>或所提供货物的</w:t>
      </w:r>
      <w:r>
        <w:rPr>
          <w:rFonts w:hint="eastAsia" w:ascii="仿宋" w:hAnsi="仿宋" w:eastAsia="仿宋" w:cs="仿宋"/>
          <w:b w:val="0"/>
          <w:bCs w:val="0"/>
          <w:sz w:val="28"/>
          <w:szCs w:val="28"/>
        </w:rPr>
        <w:t>质量不能满足本合同、招标文件、投标文件</w:t>
      </w:r>
      <w:r>
        <w:rPr>
          <w:rFonts w:hint="eastAsia" w:ascii="仿宋" w:hAnsi="仿宋" w:eastAsia="仿宋" w:cs="仿宋"/>
          <w:b w:val="0"/>
          <w:bCs w:val="0"/>
          <w:sz w:val="28"/>
          <w:szCs w:val="28"/>
          <w:lang w:val="en-US" w:eastAsia="zh-CN"/>
        </w:rPr>
        <w:t>等相关</w:t>
      </w:r>
      <w:r>
        <w:rPr>
          <w:rFonts w:hint="eastAsia" w:ascii="仿宋" w:hAnsi="仿宋" w:eastAsia="仿宋" w:cs="仿宋"/>
          <w:b w:val="0"/>
          <w:bCs w:val="0"/>
          <w:sz w:val="28"/>
          <w:szCs w:val="28"/>
        </w:rPr>
        <w:t>要求的，甲方有权解除合同（合同自书面解除通知到达乙方之日起解除），乙方应按照合同</w:t>
      </w:r>
      <w:r>
        <w:rPr>
          <w:rFonts w:hint="eastAsia" w:ascii="仿宋" w:hAnsi="仿宋" w:eastAsia="仿宋" w:cs="仿宋"/>
          <w:b w:val="0"/>
          <w:bCs w:val="0"/>
          <w:sz w:val="28"/>
          <w:szCs w:val="28"/>
          <w:lang w:val="en-US" w:eastAsia="zh-CN"/>
        </w:rPr>
        <w:t>最高执行</w:t>
      </w:r>
      <w:r>
        <w:rPr>
          <w:rFonts w:hint="eastAsia" w:ascii="仿宋" w:hAnsi="仿宋" w:eastAsia="仿宋" w:cs="仿宋"/>
          <w:b w:val="0"/>
          <w:bCs w:val="0"/>
          <w:sz w:val="28"/>
          <w:szCs w:val="28"/>
        </w:rPr>
        <w:t>总价的30%向甲方支付违约金；若违约金不足以弥补甲方所受损失，则甲方可以要求乙方赔偿解除合同的全部损失（包括但不限于律师费、重新采购产生的费用、合同未履行导致</w:t>
      </w:r>
      <w:r>
        <w:rPr>
          <w:rFonts w:hint="eastAsia" w:ascii="仿宋" w:hAnsi="仿宋" w:eastAsia="仿宋" w:cs="仿宋"/>
          <w:b w:val="0"/>
          <w:bCs w:val="0"/>
          <w:sz w:val="28"/>
          <w:szCs w:val="28"/>
          <w:lang w:val="en-US" w:eastAsia="zh-CN"/>
        </w:rPr>
        <w:t>货物</w:t>
      </w:r>
      <w:r>
        <w:rPr>
          <w:rFonts w:hint="eastAsia" w:ascii="仿宋" w:hAnsi="仿宋" w:eastAsia="仿宋" w:cs="仿宋"/>
          <w:b w:val="0"/>
          <w:bCs w:val="0"/>
          <w:sz w:val="28"/>
          <w:szCs w:val="28"/>
        </w:rPr>
        <w:t>不能按规划交付使用可能产生的租赁费用及其它由此造成的甲方对第三方的违约损失）。同时甲方有权对乙方的违约行为报监管机构进行相应的处罚。</w:t>
      </w:r>
    </w:p>
    <w:p w14:paraId="303E7887">
      <w:pPr>
        <w:keepNext w:val="0"/>
        <w:keepLines w:val="0"/>
        <w:pageBreakBefore w:val="0"/>
        <w:widowControl w:val="0"/>
        <w:tabs>
          <w:tab w:val="left" w:pos="0"/>
        </w:tabs>
        <w:kinsoku/>
        <w:wordWrap/>
        <w:overflowPunct/>
        <w:topLinePunct w:val="0"/>
        <w:autoSpaceDE/>
        <w:autoSpaceDN/>
        <w:bidi w:val="0"/>
        <w:adjustRightInd/>
        <w:snapToGrid w:val="0"/>
        <w:spacing w:line="360" w:lineRule="auto"/>
        <w:ind w:firstLine="548" w:firstLineChars="196"/>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（三）乙方逾期交付货物的，除应及时交足货物外，同时还应按合同</w:t>
      </w:r>
      <w:r>
        <w:rPr>
          <w:rFonts w:hint="eastAsia" w:ascii="仿宋" w:hAnsi="仿宋" w:eastAsia="仿宋" w:cs="仿宋"/>
          <w:b w:val="0"/>
          <w:bCs w:val="0"/>
          <w:sz w:val="28"/>
          <w:szCs w:val="28"/>
          <w:lang w:val="en-US" w:eastAsia="zh-CN"/>
        </w:rPr>
        <w:t>最高执行</w:t>
      </w:r>
      <w:r>
        <w:rPr>
          <w:rFonts w:hint="eastAsia" w:ascii="仿宋" w:hAnsi="仿宋" w:eastAsia="仿宋" w:cs="仿宋"/>
          <w:b w:val="0"/>
          <w:bCs w:val="0"/>
          <w:sz w:val="28"/>
          <w:szCs w:val="28"/>
        </w:rPr>
        <w:t>总价的</w:t>
      </w:r>
      <w:r>
        <w:rPr>
          <w:rFonts w:hint="eastAsia" w:ascii="仿宋" w:hAnsi="仿宋" w:eastAsia="仿宋" w:cs="仿宋"/>
          <w:b w:val="0"/>
          <w:bCs w:val="0"/>
          <w:sz w:val="28"/>
          <w:szCs w:val="28"/>
          <w:lang w:val="en-US" w:eastAsia="zh-CN"/>
        </w:rPr>
        <w:t>1%</w:t>
      </w:r>
      <w:r>
        <w:rPr>
          <w:rFonts w:hint="eastAsia" w:ascii="仿宋" w:hAnsi="仿宋" w:eastAsia="仿宋" w:cs="仿宋"/>
          <w:b w:val="0"/>
          <w:bCs w:val="0"/>
          <w:sz w:val="28"/>
          <w:szCs w:val="28"/>
        </w:rPr>
        <w:t>/天向甲方支付违约金；逾期交货超过10天或合同期内逾期交货情形累计达到</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次的，甲方有权解除合同，合同自书面解除通知到达乙方之日起解除，乙方则应按合同</w:t>
      </w:r>
      <w:r>
        <w:rPr>
          <w:rFonts w:hint="eastAsia" w:ascii="仿宋" w:hAnsi="仿宋" w:eastAsia="仿宋" w:cs="仿宋"/>
          <w:b w:val="0"/>
          <w:bCs w:val="0"/>
          <w:sz w:val="28"/>
          <w:szCs w:val="28"/>
          <w:lang w:val="en-US" w:eastAsia="zh-CN"/>
        </w:rPr>
        <w:t>最高执行</w:t>
      </w:r>
      <w:r>
        <w:rPr>
          <w:rFonts w:hint="eastAsia" w:ascii="仿宋" w:hAnsi="仿宋" w:eastAsia="仿宋" w:cs="仿宋"/>
          <w:b w:val="0"/>
          <w:bCs w:val="0"/>
          <w:sz w:val="28"/>
          <w:szCs w:val="28"/>
        </w:rPr>
        <w:t>总价的30%向甲方支付违约金，若违约金不足以弥补甲方解除合同的全部损失（包括但不限于律师费、重新采购产生的费用、合同未履行导致</w:t>
      </w:r>
      <w:r>
        <w:rPr>
          <w:rFonts w:hint="eastAsia" w:ascii="仿宋" w:hAnsi="仿宋" w:eastAsia="仿宋" w:cs="仿宋"/>
          <w:b w:val="0"/>
          <w:bCs w:val="0"/>
          <w:sz w:val="28"/>
          <w:szCs w:val="28"/>
          <w:lang w:val="en-US" w:eastAsia="zh-CN"/>
        </w:rPr>
        <w:t>货物</w:t>
      </w:r>
      <w:r>
        <w:rPr>
          <w:rFonts w:hint="eastAsia" w:ascii="仿宋" w:hAnsi="仿宋" w:eastAsia="仿宋" w:cs="仿宋"/>
          <w:b w:val="0"/>
          <w:bCs w:val="0"/>
          <w:sz w:val="28"/>
          <w:szCs w:val="28"/>
        </w:rPr>
        <w:t>不能按规划交付使用可能产生的租赁费用及其他由此造成的甲方对第三方的违约损失）的，由乙方另行支付，同时甲方有权将乙方违约事宜上报至财政监督管理部门备案。</w:t>
      </w:r>
    </w:p>
    <w:p w14:paraId="72946A5A">
      <w:pPr>
        <w:keepNext w:val="0"/>
        <w:keepLines w:val="0"/>
        <w:pageBreakBefore w:val="0"/>
        <w:widowControl w:val="0"/>
        <w:tabs>
          <w:tab w:val="left" w:pos="0"/>
        </w:tabs>
        <w:kinsoku/>
        <w:wordWrap/>
        <w:overflowPunct/>
        <w:topLinePunct w:val="0"/>
        <w:autoSpaceDE/>
        <w:autoSpaceDN/>
        <w:bidi w:val="0"/>
        <w:adjustRightInd/>
        <w:snapToGrid w:val="0"/>
        <w:spacing w:line="360" w:lineRule="auto"/>
        <w:ind w:firstLine="548" w:firstLineChars="196"/>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四）因乙方产品内在质量问题，引发甲方生产或质量事故，造成甲方及第三人人身损失、财产损失的，乙方应赔偿甲方为此支付的所有费用（包括但不限于赔偿的费用、必要的律师费、罚款等），此责任不因甲方已进行质量监测而免除。</w:t>
      </w:r>
    </w:p>
    <w:p w14:paraId="436FE1AB">
      <w:pPr>
        <w:keepNext w:val="0"/>
        <w:keepLines w:val="0"/>
        <w:pageBreakBefore w:val="0"/>
        <w:widowControl w:val="0"/>
        <w:tabs>
          <w:tab w:val="left" w:pos="0"/>
          <w:tab w:val="center" w:pos="4153"/>
        </w:tabs>
        <w:kinsoku/>
        <w:wordWrap/>
        <w:overflowPunct/>
        <w:topLinePunct w:val="0"/>
        <w:autoSpaceDE/>
        <w:autoSpaceDN/>
        <w:bidi w:val="0"/>
        <w:adjustRightInd/>
        <w:snapToGrid w:val="0"/>
        <w:spacing w:line="360"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十三、合同争议的解决</w:t>
      </w:r>
    </w:p>
    <w:p w14:paraId="7BDD075C">
      <w:pPr>
        <w:keepNext w:val="0"/>
        <w:keepLines w:val="0"/>
        <w:pageBreakBefore w:val="0"/>
        <w:widowControl w:val="0"/>
        <w:tabs>
          <w:tab w:val="left" w:pos="0"/>
          <w:tab w:val="center" w:pos="4153"/>
        </w:tabs>
        <w:kinsoku/>
        <w:wordWrap/>
        <w:overflowPunct/>
        <w:topLinePunct w:val="0"/>
        <w:autoSpaceDE/>
        <w:autoSpaceDN/>
        <w:bidi w:val="0"/>
        <w:adjustRightInd/>
        <w:snapToGrid w:val="0"/>
        <w:spacing w:line="360" w:lineRule="auto"/>
        <w:ind w:firstLine="57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合同执行中发生争议的，当事人双方应协商解决，无法协商或协商达不成一致时，双方均有权向甲方住所地人民法院提请诉讼。</w:t>
      </w:r>
    </w:p>
    <w:p w14:paraId="78F65136">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0"/>
        <w:rPr>
          <w:rFonts w:hint="eastAsia" w:ascii="仿宋" w:hAnsi="仿宋" w:eastAsia="仿宋" w:cs="仿宋"/>
          <w:b/>
          <w:bCs/>
          <w:sz w:val="28"/>
          <w:szCs w:val="28"/>
        </w:rPr>
      </w:pPr>
      <w:r>
        <w:rPr>
          <w:rFonts w:hint="eastAsia" w:ascii="仿宋" w:hAnsi="仿宋" w:eastAsia="仿宋" w:cs="仿宋"/>
          <w:b/>
          <w:bCs/>
          <w:sz w:val="28"/>
          <w:szCs w:val="28"/>
        </w:rPr>
        <w:t>十四、合同生效</w:t>
      </w:r>
    </w:p>
    <w:p w14:paraId="45672D0E">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outlineLvl w:val="0"/>
        <w:rPr>
          <w:rFonts w:hint="eastAsia" w:ascii="仿宋" w:hAnsi="仿宋" w:eastAsia="仿宋" w:cs="仿宋"/>
          <w:b w:val="0"/>
          <w:bCs w:val="0"/>
          <w:sz w:val="28"/>
          <w:szCs w:val="28"/>
        </w:rPr>
      </w:pPr>
      <w:r>
        <w:rPr>
          <w:rFonts w:hint="eastAsia" w:ascii="仿宋" w:hAnsi="仿宋" w:eastAsia="仿宋" w:cs="仿宋"/>
          <w:b w:val="0"/>
          <w:bCs w:val="0"/>
          <w:sz w:val="28"/>
          <w:szCs w:val="28"/>
        </w:rPr>
        <w:t>合同一式</w:t>
      </w:r>
      <w:r>
        <w:rPr>
          <w:rFonts w:hint="eastAsia" w:ascii="仿宋" w:hAnsi="仿宋" w:eastAsia="仿宋" w:cs="仿宋"/>
          <w:b w:val="0"/>
          <w:bCs w:val="0"/>
          <w:sz w:val="28"/>
          <w:szCs w:val="28"/>
          <w:lang w:val="en-US" w:eastAsia="zh-CN"/>
        </w:rPr>
        <w:t>八</w:t>
      </w:r>
      <w:r>
        <w:rPr>
          <w:rFonts w:hint="eastAsia" w:ascii="仿宋" w:hAnsi="仿宋" w:eastAsia="仿宋" w:cs="仿宋"/>
          <w:b w:val="0"/>
          <w:bCs w:val="0"/>
          <w:sz w:val="28"/>
          <w:szCs w:val="28"/>
        </w:rPr>
        <w:t>份，甲方</w:t>
      </w:r>
      <w:r>
        <w:rPr>
          <w:rFonts w:hint="eastAsia" w:ascii="仿宋" w:hAnsi="仿宋" w:eastAsia="仿宋" w:cs="仿宋"/>
          <w:b w:val="0"/>
          <w:bCs w:val="0"/>
          <w:sz w:val="28"/>
          <w:szCs w:val="28"/>
          <w:lang w:val="en-US" w:eastAsia="zh-CN"/>
        </w:rPr>
        <w:t>六</w:t>
      </w:r>
      <w:r>
        <w:rPr>
          <w:rFonts w:hint="eastAsia" w:ascii="仿宋" w:hAnsi="仿宋" w:eastAsia="仿宋" w:cs="仿宋"/>
          <w:b w:val="0"/>
          <w:bCs w:val="0"/>
          <w:sz w:val="28"/>
          <w:szCs w:val="28"/>
        </w:rPr>
        <w:t>份、乙方</w:t>
      </w:r>
      <w:r>
        <w:rPr>
          <w:rFonts w:hint="eastAsia" w:ascii="仿宋" w:hAnsi="仿宋" w:eastAsia="仿宋" w:cs="仿宋"/>
          <w:b w:val="0"/>
          <w:bCs w:val="0"/>
          <w:sz w:val="28"/>
          <w:szCs w:val="28"/>
          <w:lang w:val="en-US" w:eastAsia="zh-CN"/>
        </w:rPr>
        <w:t>二</w:t>
      </w:r>
      <w:r>
        <w:rPr>
          <w:rFonts w:hint="eastAsia" w:ascii="仿宋" w:hAnsi="仿宋" w:eastAsia="仿宋" w:cs="仿宋"/>
          <w:b w:val="0"/>
          <w:bCs w:val="0"/>
          <w:sz w:val="28"/>
          <w:szCs w:val="28"/>
        </w:rPr>
        <w:t>份，均具有同等法律效力。合同经甲方、乙方签字盖章后生效，合同执行完毕后，自动终止（合同的服务承诺则长期有效）。</w:t>
      </w:r>
    </w:p>
    <w:p w14:paraId="5AA1DBA1">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0"/>
        <w:rPr>
          <w:rFonts w:hint="eastAsia" w:ascii="仿宋" w:hAnsi="仿宋" w:eastAsia="仿宋" w:cs="仿宋"/>
          <w:b/>
          <w:bCs/>
          <w:sz w:val="28"/>
          <w:szCs w:val="28"/>
        </w:rPr>
      </w:pPr>
      <w:r>
        <w:rPr>
          <w:rFonts w:hint="eastAsia" w:ascii="仿宋" w:hAnsi="仿宋" w:eastAsia="仿宋" w:cs="仿宋"/>
          <w:b/>
          <w:bCs/>
          <w:sz w:val="28"/>
          <w:szCs w:val="28"/>
        </w:rPr>
        <w:t>十五、其他事项</w:t>
      </w:r>
    </w:p>
    <w:p w14:paraId="4344BE26">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（一）招标文件、投标文件、澄清表（函）、中标通知书、合同附件均成为合同不可分割的部分，与本合同具有同等法律效力。</w:t>
      </w:r>
    </w:p>
    <w:p w14:paraId="52E95DE9">
      <w:pPr>
        <w:pStyle w:val="8"/>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（二）合同未尽事宜，由甲、乙双方协商签订补充协议，作为合同的补充，与原合同具有同等法律效力，补充协议与原协议不一致的，以补充协议为准。</w:t>
      </w:r>
    </w:p>
    <w:p w14:paraId="553E7476">
      <w:pPr>
        <w:pStyle w:val="8"/>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（三）本合同按照中华人民共和国的现行法律进行解释。</w:t>
      </w:r>
    </w:p>
    <w:p w14:paraId="067916E4">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（四）本合同附件作为本合同的组成部份，与本合同具有同等法律效力。</w:t>
      </w:r>
    </w:p>
    <w:p w14:paraId="69D44E01">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（以下无正文）</w:t>
      </w:r>
    </w:p>
    <w:p w14:paraId="0538A57B">
      <w:pPr>
        <w:tabs>
          <w:tab w:val="left" w:pos="480"/>
        </w:tabs>
        <w:spacing w:line="360" w:lineRule="exact"/>
        <w:rPr>
          <w:rFonts w:hint="default" w:ascii="仿宋" w:hAnsi="仿宋" w:eastAsia="仿宋" w:cs="仿宋"/>
          <w:sz w:val="28"/>
          <w:szCs w:val="28"/>
          <w:lang w:val="en-US" w:eastAsia="zh-CN"/>
        </w:rPr>
      </w:pPr>
      <w:r>
        <w:rPr>
          <w:rFonts w:hint="eastAsia" w:ascii="仿宋" w:hAnsi="仿宋" w:cs="仿宋"/>
          <w:sz w:val="28"/>
          <w:szCs w:val="28"/>
          <w:lang w:val="en-US" w:eastAsia="zh-CN"/>
        </w:rPr>
        <w:t xml:space="preserve">  </w:t>
      </w:r>
    </w:p>
    <w:p w14:paraId="546B0463">
      <w:pPr>
        <w:keepNext w:val="0"/>
        <w:keepLines w:val="0"/>
        <w:pageBreakBefore w:val="0"/>
        <w:tabs>
          <w:tab w:val="left" w:pos="480"/>
        </w:tabs>
        <w:kinsoku/>
        <w:wordWrap/>
        <w:overflowPunct/>
        <w:topLinePunct w:val="0"/>
        <w:bidi w:val="0"/>
        <w:adjustRightInd/>
        <w:snapToGrid w:val="0"/>
        <w:spacing w:line="360" w:lineRule="auto"/>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 xml:space="preserve">甲  方（单位公章）         </w:t>
      </w:r>
      <w:r>
        <w:rPr>
          <w:rFonts w:hint="eastAsia" w:ascii="仿宋" w:hAnsi="仿宋" w:eastAsia="仿宋" w:cs="仿宋"/>
          <w:sz w:val="28"/>
          <w:szCs w:val="28"/>
          <w:lang w:val="en-US" w:eastAsia="zh-CN"/>
        </w:rPr>
        <w:t xml:space="preserve">   </w:t>
      </w:r>
      <w:r>
        <w:rPr>
          <w:rFonts w:hint="eastAsia" w:ascii="仿宋" w:hAnsi="仿宋" w:cs="仿宋"/>
          <w:sz w:val="28"/>
          <w:szCs w:val="28"/>
          <w:lang w:val="en-US" w:eastAsia="zh-CN"/>
        </w:rPr>
        <w:t xml:space="preserve">  </w:t>
      </w:r>
      <w:r>
        <w:rPr>
          <w:rFonts w:hint="eastAsia" w:ascii="仿宋" w:hAnsi="仿宋" w:eastAsia="仿宋" w:cs="仿宋"/>
          <w:sz w:val="28"/>
          <w:szCs w:val="28"/>
        </w:rPr>
        <w:t>乙  方（单位公章）</w:t>
      </w:r>
    </w:p>
    <w:p w14:paraId="6A0E4676">
      <w:pPr>
        <w:keepNext w:val="0"/>
        <w:keepLines w:val="0"/>
        <w:pageBreakBefore w:val="0"/>
        <w:tabs>
          <w:tab w:val="left" w:pos="480"/>
        </w:tabs>
        <w:kinsoku/>
        <w:wordWrap/>
        <w:overflowPunct/>
        <w:topLinePunct w:val="0"/>
        <w:bidi w:val="0"/>
        <w:adjustRightInd/>
        <w:snapToGrid w:val="0"/>
        <w:spacing w:line="360" w:lineRule="auto"/>
        <w:ind w:left="5180" w:leftChars="200" w:hanging="4620" w:hangingChars="1650"/>
        <w:rPr>
          <w:rFonts w:hint="eastAsia" w:ascii="仿宋" w:hAnsi="仿宋" w:eastAsia="仿宋" w:cs="仿宋"/>
          <w:sz w:val="28"/>
          <w:szCs w:val="28"/>
        </w:rPr>
      </w:pPr>
      <w:r>
        <w:rPr>
          <w:rFonts w:hint="eastAsia" w:ascii="仿宋" w:hAnsi="仿宋" w:eastAsia="仿宋" w:cs="仿宋"/>
          <w:sz w:val="28"/>
          <w:szCs w:val="28"/>
        </w:rPr>
        <w:t xml:space="preserve">单位名称：西安市人民医院   </w:t>
      </w:r>
      <w:r>
        <w:rPr>
          <w:rFonts w:hint="eastAsia" w:ascii="仿宋" w:hAnsi="仿宋" w:eastAsia="仿宋" w:cs="仿宋"/>
          <w:sz w:val="28"/>
          <w:szCs w:val="28"/>
          <w:lang w:val="en-US" w:eastAsia="zh-CN"/>
        </w:rPr>
        <w:t xml:space="preserve">   </w:t>
      </w:r>
      <w:r>
        <w:rPr>
          <w:rFonts w:hint="eastAsia" w:ascii="仿宋" w:hAnsi="仿宋" w:cs="仿宋"/>
          <w:sz w:val="28"/>
          <w:szCs w:val="28"/>
          <w:lang w:val="en-US" w:eastAsia="zh-CN"/>
        </w:rPr>
        <w:t xml:space="preserve">  </w:t>
      </w:r>
      <w:r>
        <w:rPr>
          <w:rFonts w:hint="eastAsia" w:ascii="仿宋" w:hAnsi="仿宋" w:eastAsia="仿宋" w:cs="仿宋"/>
          <w:sz w:val="28"/>
          <w:szCs w:val="28"/>
        </w:rPr>
        <w:t>单位名称：</w:t>
      </w:r>
    </w:p>
    <w:p w14:paraId="3FE6400B">
      <w:pPr>
        <w:keepNext w:val="0"/>
        <w:keepLines w:val="0"/>
        <w:pageBreakBefore w:val="0"/>
        <w:tabs>
          <w:tab w:val="left" w:pos="480"/>
        </w:tabs>
        <w:kinsoku/>
        <w:wordWrap/>
        <w:overflowPunct/>
        <w:topLinePunct w:val="0"/>
        <w:bidi w:val="0"/>
        <w:adjustRightInd/>
        <w:snapToGrid w:val="0"/>
        <w:spacing w:line="360" w:lineRule="auto"/>
        <w:ind w:firstLine="1680" w:firstLineChars="600"/>
        <w:rPr>
          <w:rFonts w:hint="eastAsia" w:ascii="仿宋" w:hAnsi="仿宋" w:eastAsia="仿宋" w:cs="仿宋"/>
          <w:sz w:val="28"/>
          <w:szCs w:val="28"/>
        </w:rPr>
      </w:pPr>
      <w:r>
        <w:rPr>
          <w:rFonts w:hint="eastAsia" w:ascii="仿宋" w:hAnsi="仿宋" w:eastAsia="仿宋" w:cs="仿宋"/>
          <w:sz w:val="28"/>
          <w:szCs w:val="28"/>
        </w:rPr>
        <w:t xml:space="preserve">（西安市第四医院）   </w:t>
      </w:r>
    </w:p>
    <w:p w14:paraId="067E021C">
      <w:pPr>
        <w:keepNext w:val="0"/>
        <w:keepLines w:val="0"/>
        <w:pageBreakBefore w:val="0"/>
        <w:tabs>
          <w:tab w:val="left" w:pos="480"/>
        </w:tabs>
        <w:kinsoku/>
        <w:wordWrap/>
        <w:overflowPunct/>
        <w:topLinePunct w:val="0"/>
        <w:bidi w:val="0"/>
        <w:adjustRightInd/>
        <w:snapToGrid w:val="0"/>
        <w:spacing w:line="360" w:lineRule="auto"/>
        <w:rPr>
          <w:rFonts w:hint="eastAsia" w:ascii="仿宋" w:hAnsi="仿宋" w:eastAsia="仿宋" w:cs="仿宋"/>
          <w:sz w:val="28"/>
          <w:szCs w:val="28"/>
        </w:rPr>
      </w:pPr>
    </w:p>
    <w:p w14:paraId="0188E8C7">
      <w:pPr>
        <w:keepNext w:val="0"/>
        <w:keepLines w:val="0"/>
        <w:pageBreakBefore w:val="0"/>
        <w:tabs>
          <w:tab w:val="left" w:pos="480"/>
        </w:tabs>
        <w:kinsoku/>
        <w:wordWrap/>
        <w:overflowPunct/>
        <w:topLinePunct w:val="0"/>
        <w:bidi w:val="0"/>
        <w:adjustRightInd/>
        <w:snapToGrid w:val="0"/>
        <w:spacing w:line="360" w:lineRule="auto"/>
        <w:rPr>
          <w:rFonts w:hint="eastAsia" w:ascii="仿宋" w:hAnsi="仿宋" w:eastAsia="仿宋" w:cs="仿宋"/>
          <w:sz w:val="28"/>
          <w:szCs w:val="28"/>
        </w:rPr>
      </w:pPr>
      <w:r>
        <w:rPr>
          <w:rFonts w:hint="eastAsia" w:ascii="仿宋" w:hAnsi="仿宋" w:eastAsia="仿宋" w:cs="仿宋"/>
          <w:sz w:val="28"/>
          <w:szCs w:val="28"/>
        </w:rPr>
        <w:t xml:space="preserve">地  址：西安市解放路21号  </w:t>
      </w:r>
      <w:r>
        <w:rPr>
          <w:rFonts w:hint="eastAsia" w:ascii="仿宋" w:hAnsi="仿宋" w:eastAsia="仿宋" w:cs="仿宋"/>
          <w:sz w:val="28"/>
          <w:szCs w:val="28"/>
          <w:lang w:val="en-US" w:eastAsia="zh-CN"/>
        </w:rPr>
        <w:t xml:space="preserve">   </w:t>
      </w:r>
      <w:r>
        <w:rPr>
          <w:rFonts w:hint="eastAsia" w:ascii="仿宋" w:hAnsi="仿宋" w:cs="仿宋"/>
          <w:sz w:val="28"/>
          <w:szCs w:val="28"/>
          <w:lang w:val="en-US" w:eastAsia="zh-CN"/>
        </w:rPr>
        <w:t xml:space="preserve">  </w:t>
      </w:r>
      <w:r>
        <w:rPr>
          <w:rFonts w:hint="eastAsia" w:ascii="仿宋" w:hAnsi="仿宋" w:eastAsia="仿宋" w:cs="仿宋"/>
          <w:sz w:val="28"/>
          <w:szCs w:val="28"/>
        </w:rPr>
        <w:t>地  址：</w:t>
      </w:r>
    </w:p>
    <w:p w14:paraId="1BF159FB">
      <w:pPr>
        <w:keepNext w:val="0"/>
        <w:keepLines w:val="0"/>
        <w:pageBreakBefore w:val="0"/>
        <w:tabs>
          <w:tab w:val="left" w:pos="480"/>
        </w:tabs>
        <w:kinsoku/>
        <w:wordWrap/>
        <w:overflowPunct/>
        <w:topLinePunct w:val="0"/>
        <w:bidi w:val="0"/>
        <w:adjustRightInd/>
        <w:snapToGrid w:val="0"/>
        <w:spacing w:line="360" w:lineRule="auto"/>
        <w:rPr>
          <w:rFonts w:hint="eastAsia" w:ascii="仿宋" w:hAnsi="仿宋" w:eastAsia="仿宋" w:cs="仿宋"/>
          <w:sz w:val="28"/>
          <w:szCs w:val="28"/>
        </w:rPr>
      </w:pPr>
    </w:p>
    <w:p w14:paraId="62ED2CA2">
      <w:pPr>
        <w:keepNext w:val="0"/>
        <w:keepLines w:val="0"/>
        <w:pageBreakBefore w:val="0"/>
        <w:tabs>
          <w:tab w:val="left" w:pos="480"/>
        </w:tabs>
        <w:kinsoku/>
        <w:wordWrap/>
        <w:overflowPunct/>
        <w:topLinePunct w:val="0"/>
        <w:bidi w:val="0"/>
        <w:adjustRightInd/>
        <w:snapToGrid w:val="0"/>
        <w:spacing w:line="360" w:lineRule="auto"/>
        <w:rPr>
          <w:rFonts w:hint="eastAsia" w:ascii="仿宋" w:hAnsi="仿宋" w:eastAsia="仿宋" w:cs="仿宋"/>
          <w:sz w:val="28"/>
          <w:szCs w:val="28"/>
        </w:rPr>
      </w:pPr>
      <w:r>
        <w:rPr>
          <w:rFonts w:hint="eastAsia" w:ascii="仿宋" w:hAnsi="仿宋" w:eastAsia="仿宋" w:cs="仿宋"/>
          <w:sz w:val="28"/>
          <w:szCs w:val="28"/>
        </w:rPr>
        <w:t xml:space="preserve">法定代表人：               </w:t>
      </w:r>
      <w:r>
        <w:rPr>
          <w:rFonts w:hint="eastAsia" w:ascii="仿宋" w:hAnsi="仿宋" w:eastAsia="仿宋" w:cs="仿宋"/>
          <w:sz w:val="28"/>
          <w:szCs w:val="28"/>
          <w:lang w:val="en-US" w:eastAsia="zh-CN"/>
        </w:rPr>
        <w:t xml:space="preserve">   </w:t>
      </w:r>
      <w:r>
        <w:rPr>
          <w:rFonts w:hint="eastAsia" w:ascii="仿宋" w:hAnsi="仿宋" w:cs="仿宋"/>
          <w:sz w:val="28"/>
          <w:szCs w:val="28"/>
          <w:lang w:val="en-US" w:eastAsia="zh-CN"/>
        </w:rPr>
        <w:t xml:space="preserve">  </w:t>
      </w:r>
      <w:r>
        <w:rPr>
          <w:rFonts w:hint="eastAsia" w:ascii="仿宋" w:hAnsi="仿宋" w:eastAsia="仿宋" w:cs="仿宋"/>
          <w:sz w:val="28"/>
          <w:szCs w:val="28"/>
        </w:rPr>
        <w:t>法定代表人：</w:t>
      </w:r>
    </w:p>
    <w:p w14:paraId="1D30308B">
      <w:pPr>
        <w:keepNext w:val="0"/>
        <w:keepLines w:val="0"/>
        <w:pageBreakBefore w:val="0"/>
        <w:tabs>
          <w:tab w:val="left" w:pos="480"/>
        </w:tabs>
        <w:kinsoku/>
        <w:wordWrap/>
        <w:overflowPunct/>
        <w:topLinePunct w:val="0"/>
        <w:bidi w:val="0"/>
        <w:adjustRightInd/>
        <w:snapToGrid w:val="0"/>
        <w:spacing w:line="360" w:lineRule="auto"/>
        <w:ind w:left="0" w:leftChars="0" w:firstLine="0" w:firstLineChars="0"/>
        <w:rPr>
          <w:rFonts w:hint="eastAsia" w:ascii="仿宋" w:hAnsi="仿宋" w:eastAsia="仿宋" w:cs="仿宋"/>
          <w:sz w:val="28"/>
          <w:szCs w:val="28"/>
        </w:rPr>
      </w:pPr>
    </w:p>
    <w:p w14:paraId="7DFE12BD">
      <w:pPr>
        <w:keepNext w:val="0"/>
        <w:keepLines w:val="0"/>
        <w:pageBreakBefore w:val="0"/>
        <w:widowControl/>
        <w:kinsoku/>
        <w:wordWrap/>
        <w:overflowPunct/>
        <w:topLinePunct w:val="0"/>
        <w:autoSpaceDE w:val="0"/>
        <w:autoSpaceDN w:val="0"/>
        <w:bidi w:val="0"/>
        <w:adjustRightInd/>
        <w:snapToGrid w:val="0"/>
        <w:spacing w:line="360" w:lineRule="auto"/>
        <w:ind w:right="-154"/>
        <w:textAlignment w:val="bottom"/>
        <w:rPr>
          <w:rFonts w:hint="eastAsia" w:ascii="仿宋" w:hAnsi="仿宋" w:eastAsia="仿宋" w:cs="仿宋"/>
          <w:sz w:val="28"/>
          <w:szCs w:val="28"/>
        </w:rPr>
      </w:pPr>
      <w:r>
        <w:rPr>
          <w:rFonts w:hint="eastAsia" w:ascii="仿宋" w:hAnsi="仿宋" w:eastAsia="仿宋" w:cs="仿宋"/>
          <w:sz w:val="28"/>
          <w:szCs w:val="28"/>
        </w:rPr>
        <w:t xml:space="preserve">联系电话：029-61220012     </w:t>
      </w:r>
      <w:r>
        <w:rPr>
          <w:rFonts w:hint="eastAsia" w:ascii="仿宋" w:hAnsi="仿宋" w:eastAsia="仿宋" w:cs="仿宋"/>
          <w:sz w:val="28"/>
          <w:szCs w:val="28"/>
          <w:lang w:val="en-US" w:eastAsia="zh-CN"/>
        </w:rPr>
        <w:t xml:space="preserve">   </w:t>
      </w:r>
      <w:r>
        <w:rPr>
          <w:rFonts w:hint="eastAsia" w:ascii="仿宋" w:hAnsi="仿宋" w:cs="仿宋"/>
          <w:sz w:val="28"/>
          <w:szCs w:val="28"/>
          <w:lang w:val="en-US" w:eastAsia="zh-CN"/>
        </w:rPr>
        <w:t xml:space="preserve">  </w:t>
      </w:r>
      <w:r>
        <w:rPr>
          <w:rFonts w:hint="eastAsia" w:ascii="仿宋" w:hAnsi="仿宋" w:eastAsia="仿宋" w:cs="仿宋"/>
          <w:sz w:val="28"/>
          <w:szCs w:val="28"/>
        </w:rPr>
        <w:t>开户银行：</w:t>
      </w:r>
    </w:p>
    <w:p w14:paraId="4D5DE508">
      <w:pPr>
        <w:keepNext w:val="0"/>
        <w:keepLines w:val="0"/>
        <w:pageBreakBefore w:val="0"/>
        <w:tabs>
          <w:tab w:val="left" w:pos="480"/>
        </w:tabs>
        <w:kinsoku/>
        <w:wordWrap/>
        <w:overflowPunct/>
        <w:topLinePunct w:val="0"/>
        <w:bidi w:val="0"/>
        <w:adjustRightInd/>
        <w:snapToGrid w:val="0"/>
        <w:spacing w:line="360" w:lineRule="auto"/>
        <w:ind w:right="-960" w:rightChars="-343"/>
        <w:rPr>
          <w:rFonts w:hint="eastAsia" w:ascii="仿宋" w:hAnsi="仿宋" w:eastAsia="仿宋" w:cs="仿宋"/>
          <w:kern w:val="0"/>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cs="仿宋"/>
          <w:sz w:val="28"/>
          <w:szCs w:val="28"/>
          <w:lang w:val="en-US" w:eastAsia="zh-CN"/>
        </w:rPr>
        <w:t xml:space="preserve">  </w:t>
      </w:r>
      <w:r>
        <w:rPr>
          <w:rFonts w:hint="eastAsia" w:ascii="仿宋" w:hAnsi="仿宋" w:eastAsia="仿宋" w:cs="仿宋"/>
          <w:sz w:val="28"/>
          <w:szCs w:val="28"/>
        </w:rPr>
        <w:t>帐    号：</w:t>
      </w:r>
    </w:p>
    <w:p w14:paraId="6B4420C9">
      <w:pPr>
        <w:keepNext w:val="0"/>
        <w:keepLines w:val="0"/>
        <w:pageBreakBefore w:val="0"/>
        <w:widowControl/>
        <w:kinsoku/>
        <w:wordWrap/>
        <w:overflowPunct/>
        <w:topLinePunct w:val="0"/>
        <w:autoSpaceDE w:val="0"/>
        <w:autoSpaceDN w:val="0"/>
        <w:bidi w:val="0"/>
        <w:adjustRightInd/>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cs="仿宋"/>
          <w:sz w:val="28"/>
          <w:szCs w:val="28"/>
          <w:lang w:val="en-US" w:eastAsia="zh-CN"/>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联系电话：</w:t>
      </w:r>
    </w:p>
    <w:p w14:paraId="45779F75">
      <w:pPr>
        <w:keepNext w:val="0"/>
        <w:keepLines w:val="0"/>
        <w:pageBreakBefore w:val="0"/>
        <w:tabs>
          <w:tab w:val="left" w:pos="480"/>
        </w:tabs>
        <w:kinsoku/>
        <w:wordWrap/>
        <w:overflowPunct/>
        <w:topLinePunct w:val="0"/>
        <w:bidi w:val="0"/>
        <w:adjustRightInd/>
        <w:snapToGrid w:val="0"/>
        <w:spacing w:line="360" w:lineRule="auto"/>
        <w:rPr>
          <w:rFonts w:hint="eastAsia" w:ascii="仿宋" w:hAnsi="仿宋" w:eastAsia="仿宋" w:cs="仿宋"/>
          <w:sz w:val="28"/>
          <w:szCs w:val="28"/>
        </w:rPr>
      </w:pPr>
    </w:p>
    <w:p w14:paraId="56EAC5A1">
      <w:pPr>
        <w:keepNext w:val="0"/>
        <w:keepLines w:val="0"/>
        <w:pageBreakBefore w:val="0"/>
        <w:tabs>
          <w:tab w:val="left" w:pos="480"/>
        </w:tabs>
        <w:kinsoku/>
        <w:wordWrap/>
        <w:overflowPunct/>
        <w:topLinePunct w:val="0"/>
        <w:bidi w:val="0"/>
        <w:adjustRightInd/>
        <w:snapToGrid w:val="0"/>
        <w:spacing w:line="360" w:lineRule="auto"/>
        <w:rPr>
          <w:rFonts w:hint="eastAsia" w:ascii="仿宋" w:hAnsi="仿宋" w:eastAsia="仿宋" w:cs="仿宋"/>
          <w:lang w:val="en-US" w:eastAsia="zh-CN"/>
        </w:rPr>
      </w:pPr>
      <w:r>
        <w:rPr>
          <w:rFonts w:hint="eastAsia" w:ascii="仿宋" w:hAnsi="仿宋" w:eastAsia="仿宋" w:cs="仿宋"/>
          <w:sz w:val="28"/>
          <w:szCs w:val="28"/>
        </w:rPr>
        <w:t xml:space="preserve">签订日期：   年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月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日    </w:t>
      </w:r>
      <w:r>
        <w:rPr>
          <w:rFonts w:hint="eastAsia" w:ascii="仿宋" w:hAnsi="仿宋" w:eastAsia="仿宋" w:cs="仿宋"/>
          <w:sz w:val="28"/>
          <w:szCs w:val="28"/>
          <w:lang w:val="en-US" w:eastAsia="zh-CN"/>
        </w:rPr>
        <w:t xml:space="preserve"> </w:t>
      </w:r>
      <w:r>
        <w:rPr>
          <w:rFonts w:hint="eastAsia" w:ascii="仿宋" w:hAnsi="仿宋" w:cs="仿宋"/>
          <w:sz w:val="28"/>
          <w:szCs w:val="28"/>
          <w:lang w:val="en-US" w:eastAsia="zh-CN"/>
        </w:rPr>
        <w:t xml:space="preserve">  </w:t>
      </w:r>
      <w:r>
        <w:rPr>
          <w:rFonts w:hint="eastAsia" w:ascii="仿宋" w:hAnsi="仿宋" w:eastAsia="仿宋" w:cs="仿宋"/>
          <w:sz w:val="28"/>
          <w:szCs w:val="28"/>
        </w:rPr>
        <w:t xml:space="preserve">签订日期：    年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月   日</w:t>
      </w:r>
    </w:p>
    <w:p w14:paraId="30ABE5C0"/>
    <w:sectPr>
      <w:footerReference r:id="rId5" w:type="default"/>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4F4BA">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1EE69C">
                          <w:pPr>
                            <w:pStyle w:val="8"/>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51EE69C">
                    <w:pPr>
                      <w:pStyle w:val="8"/>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C16CD1"/>
    <w:rsid w:val="03D4475B"/>
    <w:rsid w:val="0FED2A0F"/>
    <w:rsid w:val="129E32AD"/>
    <w:rsid w:val="14E22BB4"/>
    <w:rsid w:val="16B953D3"/>
    <w:rsid w:val="16CA6972"/>
    <w:rsid w:val="17861706"/>
    <w:rsid w:val="1FF17CBA"/>
    <w:rsid w:val="2EC1611A"/>
    <w:rsid w:val="30DC14B6"/>
    <w:rsid w:val="38F961F6"/>
    <w:rsid w:val="47953BCE"/>
    <w:rsid w:val="59C16CD1"/>
    <w:rsid w:val="5C54188A"/>
    <w:rsid w:val="62416B17"/>
    <w:rsid w:val="760555E1"/>
    <w:rsid w:val="78675F34"/>
    <w:rsid w:val="79006A4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80" w:lineRule="exact"/>
      <w:ind w:firstLine="883" w:firstLineChars="200"/>
      <w:jc w:val="both"/>
    </w:pPr>
    <w:rPr>
      <w:rFonts w:ascii="Times New Roman" w:hAnsi="Times New Roman" w:eastAsia="仿宋" w:cs="Times New Roman"/>
      <w:kern w:val="2"/>
      <w:sz w:val="28"/>
      <w:szCs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5">
    <w:name w:val="heading 3"/>
    <w:basedOn w:val="1"/>
    <w:next w:val="1"/>
    <w:semiHidden/>
    <w:unhideWhenUsed/>
    <w:qFormat/>
    <w:uiPriority w:val="0"/>
    <w:pPr>
      <w:keepNext/>
      <w:keepLines/>
      <w:widowControl w:val="0"/>
      <w:kinsoku/>
      <w:autoSpaceDE/>
      <w:autoSpaceDN/>
      <w:adjustRightInd/>
      <w:snapToGrid/>
      <w:spacing w:line="360" w:lineRule="auto"/>
      <w:ind w:firstLine="0" w:firstLineChars="0"/>
      <w:jc w:val="center"/>
      <w:textAlignment w:val="auto"/>
      <w:outlineLvl w:val="2"/>
    </w:pPr>
    <w:rPr>
      <w:rFonts w:ascii="Times New Roman" w:hAnsi="Times New Roman" w:eastAsia="宋体" w:cs="Times New Roman"/>
      <w:b/>
      <w:bCs/>
      <w:snapToGrid/>
      <w:kern w:val="2"/>
      <w:sz w:val="30"/>
      <w:szCs w:val="32"/>
      <w:lang w:val="zh-CN" w:eastAsia="zh-CN"/>
    </w:rPr>
  </w:style>
  <w:style w:type="paragraph" w:styleId="6">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widowControl w:val="0"/>
      <w:kinsoku/>
      <w:autoSpaceDE/>
      <w:autoSpaceDN/>
      <w:adjustRightInd/>
      <w:snapToGrid/>
      <w:spacing w:after="120" w:afterLines="0" w:afterAutospacing="0" w:line="240" w:lineRule="auto"/>
      <w:ind w:firstLine="200" w:firstLineChars="200"/>
      <w:jc w:val="both"/>
      <w:textAlignment w:val="auto"/>
    </w:pPr>
    <w:rPr>
      <w:rFonts w:ascii="仿宋_GB2312" w:hAnsi="Times New Roman" w:eastAsia="仿宋_GB2312" w:cstheme="minorBidi"/>
      <w:snapToGrid/>
      <w:kern w:val="2"/>
      <w:sz w:val="30"/>
      <w:szCs w:val="30"/>
      <w:lang w:eastAsia="zh-CN"/>
    </w:rPr>
  </w:style>
  <w:style w:type="paragraph" w:styleId="3">
    <w:name w:val="Body Text"/>
    <w:basedOn w:val="1"/>
    <w:next w:val="1"/>
    <w:qFormat/>
    <w:uiPriority w:val="0"/>
    <w:rPr>
      <w:rFonts w:ascii="宋体" w:hAnsi="宋体" w:eastAsia="宋体" w:cs="宋体"/>
      <w:sz w:val="20"/>
      <w:szCs w:val="20"/>
      <w:lang w:val="en-US" w:eastAsia="en-US" w:bidi="ar-SA"/>
    </w:rPr>
  </w:style>
  <w:style w:type="paragraph" w:styleId="7">
    <w:name w:val="Plain Text"/>
    <w:basedOn w:val="1"/>
    <w:qFormat/>
    <w:uiPriority w:val="0"/>
    <w:pPr>
      <w:widowControl w:val="0"/>
      <w:kinsoku/>
      <w:autoSpaceDE/>
      <w:autoSpaceDN/>
      <w:adjustRightInd/>
      <w:snapToGrid/>
      <w:spacing w:line="240" w:lineRule="auto"/>
      <w:jc w:val="both"/>
      <w:textAlignment w:val="auto"/>
    </w:pPr>
    <w:rPr>
      <w:rFonts w:ascii="宋体" w:hAnsi="Courier New" w:cs="Courier New" w:eastAsiaTheme="minorEastAsia"/>
      <w:snapToGrid/>
      <w:kern w:val="2"/>
      <w:szCs w:val="21"/>
      <w:lang w:eastAsia="zh-CN"/>
    </w:rPr>
  </w:style>
  <w:style w:type="paragraph" w:styleId="8">
    <w:name w:val="footer"/>
    <w:basedOn w:val="1"/>
    <w:qFormat/>
    <w:uiPriority w:val="0"/>
    <w:pPr>
      <w:widowControl w:val="0"/>
      <w:tabs>
        <w:tab w:val="center" w:pos="4153"/>
        <w:tab w:val="right" w:pos="8306"/>
      </w:tabs>
      <w:kinsoku/>
      <w:autoSpaceDE/>
      <w:autoSpaceDN/>
      <w:adjustRightInd/>
      <w:snapToGrid w:val="0"/>
      <w:spacing w:line="240" w:lineRule="auto"/>
      <w:jc w:val="left"/>
      <w:textAlignment w:val="auto"/>
    </w:pPr>
    <w:rPr>
      <w:rFonts w:asciiTheme="minorHAnsi" w:hAnsiTheme="minorHAnsi" w:eastAsiaTheme="minorEastAsia" w:cstheme="minorBidi"/>
      <w:snapToGrid/>
      <w:kern w:val="2"/>
      <w:sz w:val="18"/>
      <w:szCs w:val="18"/>
      <w:lang w:eastAsia="zh-CN"/>
    </w:rPr>
  </w:style>
  <w:style w:type="paragraph" w:customStyle="1" w:styleId="11">
    <w:name w:val="列出段落1"/>
    <w:basedOn w:val="1"/>
    <w:qFormat/>
    <w:uiPriority w:val="34"/>
    <w:pPr>
      <w:widowControl w:val="0"/>
      <w:kinsoku/>
      <w:autoSpaceDE/>
      <w:autoSpaceDN/>
      <w:adjustRightInd/>
      <w:snapToGrid/>
      <w:spacing w:line="240" w:lineRule="auto"/>
      <w:ind w:firstLine="420" w:firstLineChars="200"/>
      <w:jc w:val="both"/>
      <w:textAlignment w:val="auto"/>
    </w:pPr>
    <w:rPr>
      <w:rFonts w:ascii="Calibri" w:hAnsi="Calibri" w:cs="黑体" w:eastAsiaTheme="minorEastAsia"/>
      <w:snapToGrid/>
      <w:kern w:val="2"/>
      <w:szCs w:val="22"/>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581</Words>
  <Characters>655</Characters>
  <Lines>0</Lines>
  <Paragraphs>0</Paragraphs>
  <TotalTime>0</TotalTime>
  <ScaleCrop>false</ScaleCrop>
  <LinksUpToDate>false</LinksUpToDate>
  <CharactersWithSpaces>726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2025-08-19T11:03:00Z</dcterms:created>
  <dc:creator>陕西笃信招标有限公司</dc:creator>
  <cp:lastModifiedBy>陕西笃信招标有限公司</cp:lastModifiedBy>
  <dcterms:modified xsi:type="dcterms:W3CDTF">2025-08-20T08:08:39Z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59FA8FB447BC41CCAC049C4C02926DA1_13</vt:lpwstr>
  </property>
  <property fmtid="{D5CDD505-2E9C-101B-9397-08002B2CF9AE}" pid="4" name="KSOTemplateDocerSaveRecord">
    <vt:lpwstr>eyJoZGlkIjoiNzg2YzQ2Nzk4M2IwOWVlMWU4NjljZTZlNTRmMjFkNDkiLCJ1c2VySWQiOiI5MTQ3Njg1NjkifQ==</vt:lpwstr>
  </property>
</Properties>
</file>