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版本号：LZBA2025-139420250820001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信息化血液标本储存冷库</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LZBA2025-1394</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信息化血液标本储存冷库</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LZBA2025-1394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信息化血液标本储存冷库</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信息化血液标本储存冷库，1座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p>
      <w:pPr>
        <w:pStyle w:val="null3"/>
      </w:pPr>
      <w:r>
        <w:rPr>
          <w:rFonts w:ascii="仿宋_GB2312" w:hAnsi="仿宋_GB2312" w:cs="仿宋_GB2312" w:eastAsia="仿宋_GB2312"/>
        </w:rPr>
        <w:t>2、资质：供应商如为代理商的须提供《医疗器械经营许可证》(或《医疗器械备案凭证 》)；供应商如为制造商的须提供《医疗器械生产许可证》;</w:t>
      </w:r>
    </w:p>
    <w:p>
      <w:pPr>
        <w:pStyle w:val="null3"/>
      </w:pPr>
      <w:r>
        <w:rPr>
          <w:rFonts w:ascii="仿宋_GB2312" w:hAnsi="仿宋_GB2312" w:cs="仿宋_GB2312" w:eastAsia="仿宋_GB2312"/>
        </w:rPr>
        <w:t>3、承诺书：投标人提供非我站职工及其亲属投资举办的企业承诺书。</w:t>
      </w:r>
    </w:p>
    <w:p>
      <w:pPr>
        <w:pStyle w:val="null3"/>
      </w:pPr>
      <w:r>
        <w:rPr>
          <w:rFonts w:ascii="仿宋_GB2312" w:hAnsi="仿宋_GB2312" w:cs="仿宋_GB2312" w:eastAsia="仿宋_GB2312"/>
        </w:rPr>
        <w:t>4、质量保证 ：投标人提供质量保证承诺书</w:t>
      </w:r>
    </w:p>
    <w:p>
      <w:pPr>
        <w:pStyle w:val="null3"/>
      </w:pPr>
      <w:r>
        <w:rPr>
          <w:rFonts w:ascii="仿宋_GB2312" w:hAnsi="仿宋_GB2312" w:cs="仿宋_GB2312" w:eastAsia="仿宋_GB2312"/>
        </w:rPr>
        <w:t>5、联合体：投标人提供非联合体投标承诺书</w:t>
      </w:r>
    </w:p>
    <w:p>
      <w:pPr>
        <w:pStyle w:val="null3"/>
      </w:pPr>
      <w:r>
        <w:rPr>
          <w:rFonts w:ascii="仿宋_GB2312" w:hAnsi="仿宋_GB2312" w:cs="仿宋_GB2312" w:eastAsia="仿宋_GB2312"/>
        </w:rPr>
        <w:t>6、信用记录：供应商不得为“信用中国”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西安市高新区太白南路181号西部电子社区A座A区501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郝嘉钰、刘婧、张波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和改革委员会办公厅颁发的《关于招标代理服务收费有关问题的通知》（发改办价格[2003] 857号）规定按标准计取。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联系人：郝嘉钰</w:t>
      </w:r>
    </w:p>
    <w:p>
      <w:pPr>
        <w:pStyle w:val="null3"/>
      </w:pPr>
      <w:r>
        <w:rPr>
          <w:rFonts w:ascii="仿宋_GB2312" w:hAnsi="仿宋_GB2312" w:cs="仿宋_GB2312" w:eastAsia="仿宋_GB2312"/>
        </w:rPr>
        <w:t>联系电话：029-88228899-613</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 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信息化血液标本储存冷库，1座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信息化血液标本储存冷库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标的名称：信息化血液标本储存冷库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一、技术要求</w:t>
            </w:r>
          </w:p>
          <w:p>
            <w:pPr>
              <w:pStyle w:val="null3"/>
              <w:ind w:firstLine="420"/>
              <w:jc w:val="both"/>
            </w:pPr>
            <w:r>
              <w:rPr>
                <w:rFonts w:ascii="仿宋_GB2312" w:hAnsi="仿宋_GB2312" w:cs="仿宋_GB2312" w:eastAsia="仿宋_GB2312"/>
                <w:sz w:val="21"/>
              </w:rPr>
              <w:t>1.电源：国家标准、采用三项五线制TN-S系统，工作电压采用 AC 380V、220V（±10%）、50Hz，电气开关柜符合中国国家标准制式。</w:t>
            </w:r>
          </w:p>
          <w:p>
            <w:pPr>
              <w:pStyle w:val="null3"/>
              <w:ind w:firstLine="420"/>
              <w:jc w:val="both"/>
            </w:pPr>
            <w:r>
              <w:rPr>
                <w:rFonts w:ascii="仿宋_GB2312" w:hAnsi="仿宋_GB2312" w:cs="仿宋_GB2312" w:eastAsia="仿宋_GB2312"/>
                <w:sz w:val="21"/>
              </w:rPr>
              <w:t>2、投标人须提供符合以下参数要求的设计图纸（包括但不限于制冷工艺管路机组系统透视原理图、现场布局流程图、电气系统配电图等）。投标人须提供所选用主要材料（包括但不限于冷库库体、制冷系统压缩机组、空气冷却器等）的如下信息：包括但不限于生产厂家、品牌、主要参数等。</w:t>
            </w:r>
          </w:p>
          <w:p>
            <w:pPr>
              <w:pStyle w:val="null3"/>
              <w:ind w:firstLine="420"/>
              <w:jc w:val="both"/>
            </w:pPr>
            <w:r>
              <w:rPr>
                <w:rFonts w:ascii="仿宋_GB2312" w:hAnsi="仿宋_GB2312" w:cs="仿宋_GB2312" w:eastAsia="仿宋_GB2312"/>
                <w:sz w:val="21"/>
              </w:rPr>
              <w:t>2.1血液样本库储存量要求：标本冷冻库存量≥9000标本存储盒（标本盒尺寸：长≥248mm×宽≥126mm×高≥113mm），并在投标文件中根据标本盒尺寸注明最大数量。</w:t>
            </w:r>
          </w:p>
          <w:p>
            <w:pPr>
              <w:pStyle w:val="null3"/>
              <w:ind w:firstLine="420"/>
              <w:jc w:val="both"/>
            </w:pPr>
            <w:r>
              <w:rPr>
                <w:rFonts w:ascii="仿宋_GB2312" w:hAnsi="仿宋_GB2312" w:cs="仿宋_GB2312" w:eastAsia="仿宋_GB2312"/>
                <w:sz w:val="21"/>
              </w:rPr>
              <w:t>2.2血液样本库库体要求</w:t>
            </w:r>
          </w:p>
          <w:p>
            <w:pPr>
              <w:pStyle w:val="null3"/>
              <w:ind w:firstLine="420"/>
              <w:jc w:val="both"/>
            </w:pPr>
            <w:r>
              <w:rPr>
                <w:rFonts w:ascii="仿宋_GB2312" w:hAnsi="仿宋_GB2312" w:cs="仿宋_GB2312" w:eastAsia="仿宋_GB2312"/>
                <w:sz w:val="21"/>
              </w:rPr>
              <w:t>2.2.1标本冷冻库尺寸:长≥14000mm×宽≥3500mm×高≥2650mm。冷库6面完全采用B1级硬质聚胺酯高压整体发泡隔热夹芯板材建造（隔热夹心板须符合GB8624-2012《建筑材料及制品燃烧性能分级》及JB/T6527-2006标准《组合冷库用隔热夹芯板》标准），板材厚度≥150mm，库体外面采用彩钢板（δ≥0.8mm），库体内面采用304不锈钢板(δ≥0.6mm），预埋不锈钢偏心锁紧装置，偏心钩式连接。（投标人须提供由第三方检测机构出具带有CMA及CNAS标志的板材检测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2.2.2 冷库门：须在冷库宽度方向设计1扇内嵌式保温自动回归门，门尺寸：≥高1600mm×宽600mm。库门要求与库板平齐，保温层厚度与库板相同。</w:t>
            </w:r>
            <w:r>
              <w:rPr>
                <w:rFonts w:ascii="仿宋_GB2312" w:hAnsi="仿宋_GB2312" w:cs="仿宋_GB2312" w:eastAsia="仿宋_GB2312"/>
                <w:sz w:val="21"/>
                <w:u w:val="single"/>
              </w:rPr>
              <w:t>门框处设有自动加热系统，可根据环境温度自动开启加热系统并能进行加热功率输出调整。</w:t>
            </w:r>
            <w:r>
              <w:rPr>
                <w:rFonts w:ascii="仿宋_GB2312" w:hAnsi="仿宋_GB2312" w:cs="仿宋_GB2312" w:eastAsia="仿宋_GB2312"/>
                <w:sz w:val="21"/>
              </w:rPr>
              <w:t>门体与门框采用泡绵密封条密封。（投标人须提供证明下横线部分条款的设计图纸、产品彩页或实物图片等证明材料）。</w:t>
            </w:r>
          </w:p>
          <w:p>
            <w:pPr>
              <w:pStyle w:val="null3"/>
              <w:ind w:firstLine="420"/>
              <w:jc w:val="both"/>
            </w:pPr>
            <w:r>
              <w:rPr>
                <w:rFonts w:ascii="仿宋_GB2312" w:hAnsi="仿宋_GB2312" w:cs="仿宋_GB2312" w:eastAsia="仿宋_GB2312"/>
                <w:sz w:val="21"/>
              </w:rPr>
              <w:t>2.2.3冷库防水基础要求：</w:t>
            </w:r>
          </w:p>
          <w:p>
            <w:pPr>
              <w:pStyle w:val="null3"/>
              <w:ind w:firstLine="420"/>
              <w:jc w:val="both"/>
            </w:pPr>
            <w:r>
              <w:rPr>
                <w:rFonts w:ascii="仿宋_GB2312" w:hAnsi="仿宋_GB2312" w:cs="仿宋_GB2312" w:eastAsia="仿宋_GB2312"/>
                <w:sz w:val="21"/>
              </w:rPr>
              <w:t>2.2.3.1冷库基础采用具有通风工艺的防潮基础，冷库底部采用厚度≥5mm的UPVC铺设。</w:t>
            </w:r>
          </w:p>
          <w:p>
            <w:pPr>
              <w:pStyle w:val="null3"/>
              <w:ind w:firstLine="420"/>
              <w:jc w:val="both"/>
            </w:pPr>
            <w:r>
              <w:rPr>
                <w:rFonts w:ascii="仿宋_GB2312" w:hAnsi="仿宋_GB2312" w:cs="仿宋_GB2312" w:eastAsia="仿宋_GB2312"/>
                <w:sz w:val="21"/>
              </w:rPr>
              <w:t>2.2.3.2冷库内地面要求敷设铝合金防滑板，安装要求平整对接，板间拼接处缝隙采用与板材颜色相同的密封胶完全密封，不能出现胶渍或漏胶现象。化霜排水管与冷库外地漏连接，不得出现漏水现象。</w:t>
            </w:r>
          </w:p>
          <w:p>
            <w:pPr>
              <w:pStyle w:val="null3"/>
              <w:ind w:firstLine="420"/>
              <w:jc w:val="both"/>
            </w:pPr>
            <w:r>
              <w:rPr>
                <w:rFonts w:ascii="仿宋_GB2312" w:hAnsi="仿宋_GB2312" w:cs="仿宋_GB2312" w:eastAsia="仿宋_GB2312"/>
                <w:sz w:val="21"/>
              </w:rPr>
              <w:t>2.3 血液样本库制冷系统要求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2.3.1制冷系统压缩机组：</w:t>
            </w:r>
          </w:p>
          <w:p>
            <w:pPr>
              <w:pStyle w:val="null3"/>
              <w:ind w:firstLine="420"/>
              <w:jc w:val="both"/>
            </w:pPr>
            <w:r>
              <w:rPr>
                <w:rFonts w:ascii="仿宋_GB2312" w:hAnsi="仿宋_GB2312" w:cs="仿宋_GB2312" w:eastAsia="仿宋_GB2312"/>
                <w:sz w:val="21"/>
              </w:rPr>
              <w:t>冷库须配置4套完全独立的低噪全封涡旋制冷机组，共分为2组，每组2套制冷机组组成，二用二备。每套制冷机组压缩机的（蒸发温度-37℃、冷凝温度40℃）工况冷量≥6.5 KW。两组系统可自动定时轮换，遇故障自动切换，互为备用。</w:t>
            </w:r>
            <w:r>
              <w:rPr>
                <w:rFonts w:ascii="仿宋_GB2312" w:hAnsi="仿宋_GB2312" w:cs="仿宋_GB2312" w:eastAsia="仿宋_GB2312"/>
                <w:sz w:val="21"/>
              </w:rPr>
              <w:t>血浆冷冻库使用蒸发温度0℃— -40℃范围的低温全封涡旋压缩机可在低负荷工况下匀速回油。备有储液器、膨胀阀等。</w:t>
            </w:r>
            <w:r>
              <w:rPr>
                <w:rFonts w:ascii="仿宋_GB2312" w:hAnsi="仿宋_GB2312" w:cs="仿宋_GB2312" w:eastAsia="仿宋_GB2312"/>
                <w:sz w:val="21"/>
                <w:u w:val="single"/>
              </w:rPr>
              <w:t>压缩机自带诊断模块及通讯接口，能将相序错误、压缩机过流、压缩机高、低压保护、排气温度过高等数据信号可以自动传送至 PLC，并以中文显示在触摸屏和上位机电脑屏幕上看到报警故障信息。</w:t>
            </w:r>
            <w:r>
              <w:rPr>
                <w:rFonts w:ascii="仿宋_GB2312" w:hAnsi="仿宋_GB2312" w:cs="仿宋_GB2312" w:eastAsia="仿宋_GB2312"/>
                <w:sz w:val="21"/>
              </w:rPr>
              <w:t>（投标人须提供证明下横线部分条款的设计图纸、产品彩页或实物图片等证明材料）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2.3.2空气冷却器：采用4套吊挂式独立空气冷却器，分为2组并与技术要求2.3.1中的2组制冷系统配套对应，做到二用二备。</w:t>
            </w:r>
            <w:r>
              <w:rPr>
                <w:rFonts w:ascii="仿宋_GB2312" w:hAnsi="仿宋_GB2312" w:cs="仿宋_GB2312" w:eastAsia="仿宋_GB2312"/>
                <w:sz w:val="21"/>
                <w:u w:val="single"/>
              </w:rPr>
              <w:t>空气冷却器外壳材质采用304不锈钢，内螺纹铜管。</w:t>
            </w:r>
            <w:r>
              <w:rPr>
                <w:rFonts w:ascii="仿宋_GB2312" w:hAnsi="仿宋_GB2312" w:cs="仿宋_GB2312" w:eastAsia="仿宋_GB2312"/>
                <w:sz w:val="21"/>
              </w:rPr>
              <w:t>风机采用外转子低噪音风机，配有风机罩和导流栅,能远距离均流送风，送风距离≥25米，风机电机具有内部热保护功能，绝缘等级：F。</w:t>
            </w:r>
            <w:r>
              <w:rPr>
                <w:rFonts w:ascii="仿宋_GB2312" w:hAnsi="仿宋_GB2312" w:cs="仿宋_GB2312" w:eastAsia="仿宋_GB2312"/>
                <w:sz w:val="21"/>
                <w:u w:val="single"/>
              </w:rPr>
              <w:t>防水等级：≥IP54。电气接线盒防水等级：≥IP55。</w:t>
            </w:r>
            <w:r>
              <w:rPr>
                <w:rFonts w:ascii="仿宋_GB2312" w:hAnsi="仿宋_GB2312" w:cs="仿宋_GB2312" w:eastAsia="仿宋_GB2312"/>
                <w:sz w:val="21"/>
              </w:rPr>
              <w:t>（投标人须提供证明下横线部分条款的设计图纸、产品彩页或实物图片等证明材料）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2.3.3制冷系统化霜：具有远程“热氟化霜”和“电加热化霜”两种化霜功能。冷库运行库温-30℃化霜时，库内温度升高≤3℃，化霜系统能设定化霜间隔参数。（投标人须提供具有远程“热氟化霜”和“电加热化霜”两种模式操作功能的实物照片或产品彩页或产品说明书扫描件等证明材料）。</w:t>
            </w:r>
          </w:p>
          <w:p>
            <w:pPr>
              <w:pStyle w:val="null3"/>
              <w:ind w:firstLine="420"/>
              <w:jc w:val="both"/>
            </w:pPr>
            <w:r>
              <w:rPr>
                <w:rFonts w:ascii="仿宋_GB2312" w:hAnsi="仿宋_GB2312" w:cs="仿宋_GB2312" w:eastAsia="仿宋_GB2312"/>
                <w:sz w:val="21"/>
              </w:rPr>
              <w:t>2.4血液样本库温度控制系统软件和硬件要求</w:t>
            </w:r>
          </w:p>
          <w:p>
            <w:pPr>
              <w:pStyle w:val="null3"/>
              <w:ind w:firstLine="420"/>
              <w:jc w:val="both"/>
            </w:pPr>
            <w:r>
              <w:rPr>
                <w:rFonts w:ascii="仿宋_GB2312" w:hAnsi="仿宋_GB2312" w:cs="仿宋_GB2312" w:eastAsia="仿宋_GB2312"/>
                <w:sz w:val="21"/>
              </w:rPr>
              <w:t>2.4.1要求采用4套完全独立的温度自动控制系统，每2套组成1组。2组控制系统做到互为备用。两组智能温度自动控制系统须集成于一个落地式控制柜。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2.4.2：每组温度控制系统须包括独立的智能控制软件、硬件包括：彩色“触摸屏”、PLC编程器、总开关、断路器、接触器，控制电源、漏电开关等相关配套附件。（投标人须提供以上内容的软件证书及相关证明材料）</w:t>
            </w:r>
          </w:p>
          <w:p>
            <w:pPr>
              <w:pStyle w:val="null3"/>
              <w:ind w:firstLine="420"/>
              <w:jc w:val="both"/>
            </w:pPr>
            <w:r>
              <w:rPr>
                <w:rFonts w:ascii="仿宋_GB2312" w:hAnsi="仿宋_GB2312" w:cs="仿宋_GB2312" w:eastAsia="仿宋_GB2312"/>
                <w:sz w:val="21"/>
              </w:rPr>
              <w:t>2.4.3温度控制软件要求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2.4.3.1冷库控制系统软件具有国家版权局颁发的《血站冷库控制与监测软件证书》；具备自主知识产权的“计算机软件著作权证书” （投标人须提供以上内容相关证明材料）。</w:t>
            </w:r>
          </w:p>
          <w:p>
            <w:pPr>
              <w:pStyle w:val="null3"/>
              <w:ind w:firstLine="420"/>
              <w:jc w:val="both"/>
            </w:pPr>
            <w:r>
              <w:rPr>
                <w:rFonts w:ascii="仿宋_GB2312" w:hAnsi="仿宋_GB2312" w:cs="仿宋_GB2312" w:eastAsia="仿宋_GB2312"/>
                <w:sz w:val="21"/>
              </w:rPr>
              <w:t>2.4.3.2每组温度控制系统须配置1台可扩展型PLC与有效显示尺寸≥5.5英寸、4096色触摸屏控制。“触摸屏”须具有2层授权密码才能进行开机、停机及参数修改功能。</w:t>
            </w:r>
          </w:p>
          <w:p>
            <w:pPr>
              <w:pStyle w:val="null3"/>
              <w:ind w:firstLine="420"/>
              <w:jc w:val="both"/>
            </w:pPr>
            <w:r>
              <w:rPr>
                <w:rFonts w:ascii="仿宋_GB2312" w:hAnsi="仿宋_GB2312" w:cs="仿宋_GB2312" w:eastAsia="仿宋_GB2312"/>
                <w:sz w:val="21"/>
              </w:rPr>
              <w:t>2.4.3.3两组温度控制系统能自动轮换工作，遇故障自动切换到另一套系统继续工作。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2.4.3.4每组温度控制系统配置多路温度传感器，实现多梯次温度测量。“触摸屏”可显示压缩机运行状态，冷风机运行状态，化霜状态等重要信息，并可以联网计算机实现历史数据、降温曲线、温度报表、历史故障记录保存、打印功能。并提供通讯接口，可以实现与供应商总部远程运维平台无缝对接（投标人须提供以上内容的相关证明材料）。</w:t>
            </w:r>
          </w:p>
          <w:p>
            <w:pPr>
              <w:pStyle w:val="null3"/>
              <w:ind w:firstLine="420"/>
              <w:jc w:val="both"/>
            </w:pPr>
            <w:r>
              <w:rPr>
                <w:rFonts w:ascii="仿宋_GB2312" w:hAnsi="仿宋_GB2312" w:cs="仿宋_GB2312" w:eastAsia="仿宋_GB2312"/>
                <w:sz w:val="21"/>
              </w:rPr>
              <w:t>2.4.3.5温度控制要求：设定为-30℃的情况下，标本在库内各点温度不能超出-28℃～-32℃的范围。</w:t>
            </w:r>
          </w:p>
          <w:p>
            <w:pPr>
              <w:pStyle w:val="null3"/>
              <w:ind w:firstLine="384"/>
              <w:jc w:val="both"/>
            </w:pPr>
            <w:r>
              <w:rPr>
                <w:rFonts w:ascii="仿宋_GB2312" w:hAnsi="仿宋_GB2312" w:cs="仿宋_GB2312" w:eastAsia="仿宋_GB2312"/>
                <w:sz w:val="21"/>
              </w:rPr>
              <w:t>2.5.信息化监控及报警系统要求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2.5.1采用4套报警系统、共分为2组。具有完全独立的智能信息化报警功能，两组系统做到互为备用，安装在落地式控制柜内。</w:t>
            </w:r>
          </w:p>
          <w:p>
            <w:pPr>
              <w:pStyle w:val="null3"/>
              <w:ind w:firstLine="384"/>
              <w:jc w:val="both"/>
            </w:pPr>
            <w:r>
              <w:rPr>
                <w:rFonts w:ascii="仿宋_GB2312" w:hAnsi="仿宋_GB2312" w:cs="仿宋_GB2312" w:eastAsia="仿宋_GB2312"/>
                <w:sz w:val="21"/>
              </w:rPr>
              <w:t>2.5.2每套系统具备电控系统故障自动监测、故障自诊断、遇故障自动进行声、光报警提示并在“触摸屏”中文显示故障内容信息。</w:t>
            </w:r>
          </w:p>
          <w:p>
            <w:pPr>
              <w:pStyle w:val="null3"/>
              <w:ind w:firstLine="384"/>
              <w:jc w:val="both"/>
            </w:pPr>
            <w:r>
              <w:rPr>
                <w:rFonts w:ascii="仿宋_GB2312" w:hAnsi="仿宋_GB2312" w:cs="仿宋_GB2312" w:eastAsia="仿宋_GB2312"/>
                <w:sz w:val="21"/>
              </w:rPr>
              <w:t>2.5.3报警信息须包括：压缩机相序错误，压缩机过流，压缩机高、低压保护，排气温度过高，传感器故障等重要信息。</w:t>
            </w:r>
          </w:p>
          <w:p>
            <w:pPr>
              <w:pStyle w:val="null3"/>
              <w:ind w:firstLine="384"/>
              <w:jc w:val="both"/>
            </w:pPr>
            <w:r>
              <w:rPr>
                <w:rFonts w:ascii="仿宋_GB2312" w:hAnsi="仿宋_GB2312" w:cs="仿宋_GB2312" w:eastAsia="仿宋_GB2312"/>
                <w:sz w:val="21"/>
              </w:rPr>
              <w:t>2.5.4报警信息可上传至联网的计算机，实现冷库温度同步监控，可以实现远程运维无缝对接，能同时显示当前的报警信息，并可查询历史报警数据并进行归档，所有数据均可实现导出打印功能。</w:t>
            </w:r>
          </w:p>
          <w:p>
            <w:pPr>
              <w:pStyle w:val="null3"/>
              <w:ind w:firstLine="384"/>
              <w:jc w:val="both"/>
            </w:pPr>
            <w:r>
              <w:rPr>
                <w:rFonts w:ascii="仿宋_GB2312" w:hAnsi="仿宋_GB2312" w:cs="仿宋_GB2312" w:eastAsia="仿宋_GB2312"/>
                <w:sz w:val="21"/>
              </w:rPr>
              <w:t>2.5.5报警系统具备故障内容手机中文短信报警功能，可以向≥2部手机发送故障信息，可用手机短信功能远程查询冷库实时温度。</w:t>
            </w:r>
          </w:p>
          <w:p>
            <w:pPr>
              <w:pStyle w:val="null3"/>
              <w:ind w:firstLine="384"/>
              <w:jc w:val="both"/>
            </w:pPr>
            <w:r>
              <w:rPr>
                <w:rFonts w:ascii="仿宋_GB2312" w:hAnsi="仿宋_GB2312" w:cs="仿宋_GB2312" w:eastAsia="仿宋_GB2312"/>
                <w:sz w:val="21"/>
              </w:rPr>
              <w:t>2.5.6具有软件备份，一键恢复功能。</w:t>
            </w:r>
          </w:p>
          <w:p>
            <w:pPr>
              <w:pStyle w:val="null3"/>
              <w:ind w:firstLine="420"/>
              <w:jc w:val="both"/>
            </w:pPr>
            <w:r>
              <w:rPr>
                <w:rFonts w:ascii="仿宋_GB2312" w:hAnsi="仿宋_GB2312" w:cs="仿宋_GB2312" w:eastAsia="仿宋_GB2312"/>
                <w:sz w:val="21"/>
              </w:rPr>
              <w:t>2.6.远程/运维售后服务平台及APP远程监控系统要求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2.6.1要求冷库公司总部设有远程/运维平台，能实现24小时对冷库制冷机组运行状态、冷风机运行状态、蒸发器化霜状态、空气冷却器结霜情况的在线实时监控，第一时间排除故障隐患。可实现历史温度数据查询、远程调试、故障报警及安全日志查询、视频化霜辅助、库门监控信息记录等功能，历史数据保存≥1年（投标人须提供运维平台上述功能以及目前在用冷库连续不少于六个月的运行数据截屏画面实例图片等相关证明材料）。</w:t>
            </w:r>
          </w:p>
          <w:p>
            <w:pPr>
              <w:pStyle w:val="null3"/>
              <w:ind w:firstLine="420"/>
              <w:jc w:val="both"/>
            </w:pPr>
            <w:r>
              <w:rPr>
                <w:rFonts w:ascii="仿宋_GB2312" w:hAnsi="仿宋_GB2312" w:cs="仿宋_GB2312" w:eastAsia="仿宋_GB2312"/>
                <w:sz w:val="21"/>
              </w:rPr>
              <w:t>2.6.2</w:t>
            </w:r>
            <w:r>
              <w:rPr>
                <w:rFonts w:ascii="仿宋_GB2312" w:hAnsi="仿宋_GB2312" w:cs="仿宋_GB2312" w:eastAsia="仿宋_GB2312"/>
                <w:sz w:val="21"/>
              </w:rPr>
              <w:t>运维平台技术人员24小时线上在岗售后服务，能远程调试排除故障，可随时巡检冷库温度、制冷机组设备异常报警，通过库内摄像头在线诊断库内蒸发器结霜情况。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2.6.3具有可通过手机安装的APP，该APP具有库温实时监控、历史库内温度数据和温度曲线查询、故障报警、远程操作智能热氟化霜、冷库门长时间未关闭报警监控等功能，APP同时能实现线上远程即时故障排查及复位功能。</w:t>
            </w:r>
            <w:r>
              <w:rPr>
                <w:rFonts w:ascii="仿宋_GB2312" w:hAnsi="仿宋_GB2312" w:cs="仿宋_GB2312" w:eastAsia="仿宋_GB2312"/>
                <w:sz w:val="21"/>
              </w:rPr>
              <w:t>（投标人须提供以上内容的相关证明材料）</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2.7.其他技术要求</w:t>
            </w:r>
          </w:p>
          <w:p>
            <w:pPr>
              <w:pStyle w:val="null3"/>
              <w:ind w:firstLine="420"/>
              <w:jc w:val="both"/>
            </w:pPr>
            <w:r>
              <w:rPr>
                <w:rFonts w:ascii="仿宋_GB2312" w:hAnsi="仿宋_GB2312" w:cs="仿宋_GB2312" w:eastAsia="仿宋_GB2312"/>
                <w:sz w:val="21"/>
              </w:rPr>
              <w:t>2.7.1制冷剂：使用绿色环保型制冷剂（提供制冷剂型号及环保证明材料）。</w:t>
            </w:r>
          </w:p>
          <w:p>
            <w:pPr>
              <w:pStyle w:val="null3"/>
              <w:ind w:firstLine="420"/>
              <w:jc w:val="both"/>
            </w:pPr>
            <w:r>
              <w:rPr>
                <w:rFonts w:ascii="仿宋_GB2312" w:hAnsi="仿宋_GB2312" w:cs="仿宋_GB2312" w:eastAsia="仿宋_GB2312"/>
                <w:sz w:val="21"/>
              </w:rPr>
              <w:t>2.7.2库内要求配置监控计算机1台，≥2套摄像头系统，影像清晰度≥1080P；硬盘录像机容量≥1TB。</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2.7.3标本冷库配备专用多层金属密集柜货架≥20套，货架尺寸≥长2400mm*宽500mm*高1700mm。货架适合低温-30℃以下工况工作，配有低温滑动轨道。货架之间必须保留一定的送回风间距，详细尺寸须与使用部门进一步沟通，按照实际需求优化制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2.7.4冷库内安装应急开关和报警功能装置。冷库门设有逃生装置，避免工作人员被锁在库内不能逃生发生事故。（投标人须提供以上内容的相关装置实物图片或设计方案等证明材料）。</w:t>
            </w:r>
          </w:p>
          <w:p>
            <w:pPr>
              <w:pStyle w:val="null3"/>
              <w:ind w:firstLine="422"/>
              <w:jc w:val="both"/>
            </w:pPr>
            <w:r>
              <w:rPr>
                <w:rFonts w:ascii="仿宋_GB2312" w:hAnsi="仿宋_GB2312" w:cs="仿宋_GB2312" w:eastAsia="仿宋_GB2312"/>
                <w:sz w:val="21"/>
                <w:b/>
              </w:rPr>
              <w:t>3、附属设施改造及相关要求</w:t>
            </w:r>
          </w:p>
          <w:p>
            <w:pPr>
              <w:pStyle w:val="null3"/>
              <w:ind w:firstLine="420"/>
              <w:jc w:val="both"/>
            </w:pPr>
            <w:r>
              <w:rPr>
                <w:rFonts w:ascii="仿宋_GB2312" w:hAnsi="仿宋_GB2312" w:cs="仿宋_GB2312" w:eastAsia="仿宋_GB2312"/>
                <w:sz w:val="21"/>
              </w:rPr>
              <w:t>主要内容包括新建信息化标本冷库1座。老冷库拆卸1座、新建冷库改造房屋3间、改造电梯拆卸及基础加固、标本搬迁等相关工作内容。</w:t>
            </w:r>
          </w:p>
          <w:p>
            <w:pPr>
              <w:pStyle w:val="null3"/>
              <w:ind w:firstLine="420"/>
              <w:jc w:val="both"/>
            </w:pPr>
            <w:r>
              <w:rPr>
                <w:rFonts w:ascii="仿宋_GB2312" w:hAnsi="仿宋_GB2312" w:cs="仿宋_GB2312" w:eastAsia="仿宋_GB2312"/>
                <w:sz w:val="21"/>
              </w:rPr>
              <w:t>3.1、信息化血液样本库房屋改造：根据楼内现有土建进行改造设计，对现有结构的电梯进行拆除、改造，须按照国家规范对电梯拆除后基础进行承重加固，满足冷库承重防水施工方案。对现有房屋的维护结构、土建墙、隔断墙、玻璃窗、门窗进行拆除改造。（投标人应制定详细可行的改造、拆除方案，人员配置方案，制定合理的流程，使项目顺利实施。）</w:t>
            </w:r>
          </w:p>
          <w:p>
            <w:pPr>
              <w:pStyle w:val="null3"/>
              <w:ind w:firstLine="420"/>
              <w:jc w:val="both"/>
            </w:pPr>
            <w:r>
              <w:rPr>
                <w:rFonts w:ascii="仿宋_GB2312" w:hAnsi="仿宋_GB2312" w:cs="仿宋_GB2312" w:eastAsia="仿宋_GB2312"/>
                <w:sz w:val="21"/>
              </w:rPr>
              <w:t>3.2、血标本搬迁工作：新冷库建成后组织人员对旧标本冷库的所有标本进行低温转移、施工方负责相应的运输转移箱，确保现有标本有序的搬运至新建冷库内，按照新建冷库的管理模式进行摆放。期间避免标本丢失、避免标本损伤、避免人员冻伤。（投标人应制定详细可行的搬运方案及搬运措施，包含施工进度、保障措施、施工人员安排、搬运流程。）</w:t>
            </w:r>
          </w:p>
          <w:p>
            <w:pPr>
              <w:pStyle w:val="null3"/>
              <w:jc w:val="both"/>
            </w:pPr>
            <w:r>
              <w:rPr>
                <w:rFonts w:ascii="仿宋_GB2312" w:hAnsi="仿宋_GB2312" w:cs="仿宋_GB2312" w:eastAsia="仿宋_GB2312"/>
                <w:sz w:val="21"/>
              </w:rPr>
              <w:t>3.3、旧标本冷库进行拆除：血液标本搬迁工作完成后，保证旧样本冷库安全断电，确保电气、电线、开关柜、制冷机组、风机部分安全拆除。对库体结构进行拆除、对电气焊方面必须持证上岗。（投标人应制定详细可行的拆除方案，制定合理的流程，使项目顺利实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设备安装、验收、培训、使用科室确认合格之日起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质量验收执行现行的国家标准，没有国家标准的，执行地方标准或行业标准。并符合血站技术操作规程相关要求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（1）整机质保期≥3年，终身维护。 （2）技术服务承诺：乙方免费提供必要的技术支持，包括现场指导、集中授课、专项操作等培训服务。 （3）售后服务承诺：能够及时处理设备硬软件及网络接口的相关问题，故障报修1小时内响应，2小时内工程师到场，小故障24小时内修复，大故障48小时内修复。 （4）提供设备标准配置清单；列出设备使用中需更换的耗材品种、更换周期及单价。 （5）质保期内每季度须派专业技术人员上门维护设备（须描述维护内容）。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本合同在履行过程中发生争议时，采购人及中标供应商双方应及时协商解决，协商或调解不成时，由采购人所在地人民法院诉讼解决。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2.本项目非专门面向中小企业采购。 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4.需要落实的政府采购政策：（1）《国务院办公厅关于建立政府强制采购节能产品制度的通知》（国办发〔2007〕51号）；（2）《财政部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2.提供2024年8月至今已缴纳的至少一个月的纳税证明或完税证明（任意税种），依法免税的单位应提供相关证明材料。 3.提供2024年8月至今已缴纳的至少一个月的社会保障资金缴存凭证或社保机构开具的社会保险参保证明，依法不需要缴纳社会保障资金的单位应提供相关证明材料。 4.提供具有履行合同所必需的设备和专业技术能力的承诺声明。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财务报告或投标文件递交截止时间前六个月内其基本账户开户银行出具的资信证明或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供应商如为代理商的须提供《医疗器械经营许可证》(或《医疗器械备案凭证 》)；供应商如为制造商的须提供《医疗器械生产许可证》;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投标人提供非我站职工及其亲属投资举办的企业承诺书。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质量保证</w:t>
            </w:r>
          </w:p>
        </w:tc>
        <w:tc>
          <w:tcPr>
            <w:tcW w:type="dxa" w:w="3322"/>
          </w:tcPr>
          <w:p>
            <w:pPr>
              <w:pStyle w:val="null3"/>
            </w:pPr>
            <w:r>
              <w:rPr>
                <w:rFonts w:ascii="仿宋_GB2312" w:hAnsi="仿宋_GB2312" w:cs="仿宋_GB2312" w:eastAsia="仿宋_GB2312"/>
              </w:rPr>
              <w:t>投标人提供质量保证承诺书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投标人提供非联合体投标承诺书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开标一览表填写</w:t>
            </w:r>
          </w:p>
        </w:tc>
        <w:tc>
          <w:tcPr>
            <w:tcW w:type="dxa" w:w="3322"/>
          </w:tcPr>
          <w:p>
            <w:pPr>
              <w:pStyle w:val="null3"/>
            </w:pPr>
            <w:r>
              <w:rPr>
                <w:rFonts w:ascii="仿宋_GB2312" w:hAnsi="仿宋_GB2312" w:cs="仿宋_GB2312" w:eastAsia="仿宋_GB2312"/>
              </w:rPr>
              <w:t>开标一览表填写符合要求且未超出采购预算或招标文件规定的最高限价。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投标产品的技术指标满足采购文件要求的得30分，每项技术参数不满足扣0.5分，▲项技术参数每不满足一项扣2分，扣完为止。 投标人应提供相关技术参数佐证材料（包括但不限于制造厂家的产品说明书，产品图册，质量检测报告等），提供技术参数证明材料并标注页码，未提供或者标注不清楚，视为负偏离。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冷库设计方案</w:t>
            </w:r>
          </w:p>
        </w:tc>
        <w:tc>
          <w:tcPr>
            <w:tcW w:type="dxa" w:w="2492"/>
          </w:tcPr>
          <w:p>
            <w:pPr>
              <w:pStyle w:val="null3"/>
            </w:pPr>
            <w:r>
              <w:rPr>
                <w:rFonts w:ascii="仿宋_GB2312" w:hAnsi="仿宋_GB2312" w:cs="仿宋_GB2312" w:eastAsia="仿宋_GB2312"/>
              </w:rPr>
              <w:t>投标人针对本项目提供具体可行的设计方案，包括但不限于：①制冷工艺管路机组系统透视原理图；②现场布局图；③电气系统配电图。根据所投冷库设计先进性、选型科学合理，从配置完整性、性能稳定性、兼容性、行业使用广泛性等方面描述。 （1）冷库设计方案思路清晰、科学合理、可行性强、完全满足采购人需求得5分； （2）冷库设计方案思路清晰、科学合理、可行性较强、满足采购人需求得4分； （3）冷库设计方案合理完善、可行性较强、基本满足采购人需求得3分； （4）冷库设计方案可行性一般得2分；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投标人针对本项目提出具体的实施方案，方案内容包含：①技术方案；②质量保证措施；③组织实施方案（包含新库址房屋改造、标本搬迁、旧库拆除）；④供货方案；⑤验收方案； 二、评审标准 1、完整性：方案须全面，对评审内容中的各项要求有详细描述； 2、可实施性：切合本项目实际情况，实施步骤清晰、合理； 3、针对性：方案能够紧扣本项目所采购设备种类等实际情况，内容科学合理。 三、赋分依据（满分10分） 上述5项评审内容全部满足评审标准得10分；每有一个评审内容缺项扣2分，扣完为止；每有一项评审内容存在严重缺陷，扣1.5分; 存在一般缺陷，扣1分。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在满足整机质保期3年的基础上，每延长1年增加1分，最多2分。提供承诺书。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提供2022年8月1日至投标文件递交截止时间通过第三方检测机构校准合格的同类产品业绩（以合同签订时间为准），1份业绩得2分，业绩满分10分（须提供完整的合同复印件及校准报告）。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运维平台视频演示及讲解</w:t>
            </w:r>
          </w:p>
        </w:tc>
        <w:tc>
          <w:tcPr>
            <w:tcW w:type="dxa" w:w="2492"/>
          </w:tcPr>
          <w:p>
            <w:pPr>
              <w:pStyle w:val="null3"/>
            </w:pPr>
            <w:r>
              <w:rPr>
                <w:rFonts w:ascii="仿宋_GB2312" w:hAnsi="仿宋_GB2312" w:cs="仿宋_GB2312" w:eastAsia="仿宋_GB2312"/>
              </w:rPr>
              <w:t>一、评审内容 本项目根据评审进度，将通知通过资格审查及符合性审查的投标人进行视频演示，由投标人自行录制实景演示视频，PPT或图片等非实景演示形式不得分。本项目演示顺序为随机演示，电话通知投标联系人两小时内未到场视为放弃本项目的视频演示及讲解，其得分为0分。投标人须对以下功能进行演示，演示时间不得超过10分钟。 1、采用云技术实现对冷库制冷系统制冷机组运行（开机、待机）状态监控画面； 2、冷风机运行状态监控功能画面； 3、空气冷却器结霜情况的实时监控功能画面； 4、通过云平台网站和手机APP查看系统当前和历史运行状态功能画面； 5、故障报警及远程操作智能热氟化霜功能画面； 二、评审标准 （1）视频演示及讲解完整、思路清晰、科学合理、可行性强、完全满足采购人需求得5分； （2）视频演示及讲解完整、思路清晰、科学合理、可行性较强、满足采购人需求得3分； （3）视频演示及讲解完整、合理完善、可行性较强、基本满足采购人需求得2分； （4）视频演示及讲解可行性一般得1分；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（1）售后服务方案思路清晰、科学合理、可行性强、完全满足采购人需求得4分； （2）售后服务方案思路清晰、科学合理、可行性较强、满足采购人需求得3分； （3）售后服务方案合理完善、可行性较强、基本满足采购人需求得2分； （4）售后服务方案可行性一般得1分；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（1）培训方案思路清晰、科学合理、可行性强、完全满足采购人需求得4分； （2）培训方案思路清晰、科学合理、可行性较强、满足采购人需求得3分； （3）培训方案合理完善、可行性较强、基本满足采购人需求得2分； （4）培训方案可行性一般得1分； 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C1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