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版本号：HRPDZB2025-05120250819001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2025年第十四届中国艺术节暨第二十届全国“群星奖”决赛参赛项目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HRPDZB2025-051</w:t>
      </w:r>
      <w:r>
        <w:br/>
      </w:r>
      <w:r>
        <w:br/>
      </w:r>
      <w:r>
        <w:br/>
      </w:r>
    </w:p>
    <w:p>
      <w:pPr>
        <w:pStyle w:val="null3"/>
        <w:jc w:val="center"/>
        <w:outlineLvl w:val="2"/>
      </w:pPr>
      <w:r>
        <w:rPr>
          <w:rFonts w:ascii="仿宋_GB2312" w:hAnsi="仿宋_GB2312" w:cs="仿宋_GB2312" w:eastAsia="仿宋_GB2312"/>
          <w:sz w:val="28"/>
          <w:b/>
        </w:rPr>
        <w:t>西安市群众艺术馆</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西安市群众艺术馆</w:t>
      </w:r>
      <w:r>
        <w:rPr>
          <w:rFonts w:ascii="仿宋_GB2312" w:hAnsi="仿宋_GB2312" w:cs="仿宋_GB2312" w:eastAsia="仿宋_GB2312"/>
        </w:rPr>
        <w:t>委托，拟对</w:t>
      </w:r>
      <w:r>
        <w:rPr>
          <w:rFonts w:ascii="仿宋_GB2312" w:hAnsi="仿宋_GB2312" w:cs="仿宋_GB2312" w:eastAsia="仿宋_GB2312"/>
        </w:rPr>
        <w:t>2025年第十四届中国艺术节暨第二十届全国“群星奖”决赛参赛项目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HRPDZB2025-051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2025年第十四届中国艺术节暨第二十届全国“群星奖”决赛参赛项目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充分展现陕西群众文化的深厚底蕴与艺术创新，助力《丝路回响》和朱雀室内合唱团在2025年第十四届中国艺术节暨第二十届全国“群星奖”决赛参赛绽放光彩，特开展本次采购项目，做好节目提升及赴成都参赛的各项准备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采购包1（2025年第十四届中国艺术节暨第二十届全国“群星奖”决赛参赛项目）：属于专门面向中小企业采购。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其身份证，法定代表人授权代表参加投标的，须出具授权书及被授权人身份证，供应商需在项目电子化交易系统中按要求上传相应证明文件并进行电子签章；</w:t>
      </w:r>
    </w:p>
    <w:p>
      <w:pPr>
        <w:pStyle w:val="null3"/>
      </w:pPr>
      <w:r>
        <w:rPr>
          <w:rFonts w:ascii="仿宋_GB2312" w:hAnsi="仿宋_GB2312" w:cs="仿宋_GB2312" w:eastAsia="仿宋_GB2312"/>
        </w:rPr>
        <w:t>3、审计报告：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4、税收缴纳凭证：供应商须提供投标截止时间前12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保缴纳凭证：供应商须提供投标截止时间前12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6、信誉声明：供应商应具备良好的商业信誉，提供参加政府采购活动前3年内在经营活动中没有重大违法记录的书面声明，供应商需在项目电子化交易系统中按要求上传相应证明文件并进行电子签章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信用情况：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8、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9、非联合体：本项目不接受联合体响应。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西安市群众艺术馆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西安市文艺北路197号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西安市群众艺术馆经办王幸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13572172159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15129267024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代理服务费收费标准：（1）本项目招标代理服务费由成交供应商支付； （2）代理服务费收费标准：参照《招标代理服务收费管理暂行办法》(计价格(2002)1980号)文规定收取。 （3）支付标准:按服务招标标准。 （4）采购代理服务费支付币种为人民币。 （5）单位名称：宏睿鹏达项目管理有限公司 （6）开户银行：招商银行西安西影路支行 （7）账号：129915887510505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西安市群众艺术馆</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西安市群众艺术馆</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西安市群众艺术馆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满足采购文件需求，符合国家及行业验收合格标准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联系电话：15129267024</w:t>
      </w:r>
    </w:p>
    <w:p>
      <w:pPr>
        <w:pStyle w:val="null3"/>
      </w:pPr>
      <w:r>
        <w:rPr>
          <w:rFonts w:ascii="仿宋_GB2312" w:hAnsi="仿宋_GB2312" w:cs="仿宋_GB2312" w:eastAsia="仿宋_GB2312"/>
        </w:rPr>
        <w:t>地址：陕西省西安市雁塔区雁翔路99号博源科技广场C座西交一九八六孵化器2046号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充分展现陕西群众文化的深厚底蕴与艺术创新，助力《丝路回响》和朱雀室内合唱团在2025年第十四届中国艺术节暨第二十届全国“群星奖”决赛参赛绽放光彩，做好节目提升及赴成都参赛的各项准备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739"/>
              <w:jc w:val="left"/>
            </w:pPr>
            <w:r>
              <w:rPr>
                <w:rFonts w:ascii="仿宋_GB2312" w:hAnsi="仿宋_GB2312" w:cs="仿宋_GB2312" w:eastAsia="仿宋_GB2312"/>
                <w:sz w:val="21"/>
                <w:color w:val="000000"/>
              </w:rPr>
              <w:t>一、项目背景</w:t>
            </w:r>
          </w:p>
          <w:p>
            <w:pPr>
              <w:pStyle w:val="null3"/>
              <w:jc w:val="left"/>
            </w:pPr>
            <w:r>
              <w:rPr>
                <w:rFonts w:ascii="仿宋_GB2312" w:hAnsi="仿宋_GB2312" w:cs="仿宋_GB2312" w:eastAsia="仿宋_GB2312"/>
                <w:sz w:val="21"/>
                <w:color w:val="000000"/>
              </w:rPr>
              <w:t>近期，西安市群众艺术馆收到文旅部公布的《第二十届群星奖入围终评作品和团队名单》及终评有关事项的通知，馆内精心打造的音乐类作品《丝路回响》、合唱类西安市群众艺术馆朱雀室内合唱团成功入围。同时，陕西省文旅厅也发布了《做好第二十届群星奖终评备战工作》的通知，对入围作品冲刺终评提出了指导与期望。该项目已在陕西政府采购网意向公开。</w:t>
            </w:r>
            <w:r>
              <w:rPr>
                <w:rFonts w:ascii="仿宋_GB2312" w:hAnsi="仿宋_GB2312" w:cs="仿宋_GB2312" w:eastAsia="仿宋_GB2312"/>
                <w:sz w:val="21"/>
                <w:color w:val="000000"/>
              </w:rPr>
              <w:t>“群星奖”作为我国群众文化艺术领域唯一的国家级政府奖，每三年评选一次，决赛与中国艺术节同步举行，具有极高的权威性与影响力。此次两个作品同时入围，是对西安市群众艺术馆前期创作成果的极大肯定。为在终评中取得优异成绩，充分展现陕西群众文化的深厚底蕴与艺术创新，特开展本次采购项目，助力《丝路回响》和朱雀室内合唱团在终评舞台上绽放光彩，本次终评比赛将在成都举行，需做好节目提升及赴成都参赛的各项准备工作。</w:t>
            </w:r>
          </w:p>
          <w:p>
            <w:pPr>
              <w:pStyle w:val="null3"/>
              <w:jc w:val="left"/>
            </w:pPr>
            <w:r>
              <w:rPr>
                <w:rFonts w:ascii="仿宋_GB2312" w:hAnsi="仿宋_GB2312" w:cs="仿宋_GB2312" w:eastAsia="仿宋_GB2312"/>
                <w:sz w:val="21"/>
                <w:color w:val="000000"/>
              </w:rPr>
              <w:t>二、项目执行内容</w:t>
            </w:r>
          </w:p>
          <w:p>
            <w:pPr>
              <w:pStyle w:val="null3"/>
              <w:jc w:val="left"/>
            </w:pPr>
            <w:r>
              <w:rPr>
                <w:rFonts w:ascii="仿宋_GB2312" w:hAnsi="仿宋_GB2312" w:cs="仿宋_GB2312" w:eastAsia="仿宋_GB2312"/>
                <w:sz w:val="21"/>
                <w:color w:val="000000"/>
              </w:rPr>
              <w:t>(一)节目提升</w:t>
            </w:r>
          </w:p>
          <w:p>
            <w:pPr>
              <w:pStyle w:val="null3"/>
              <w:jc w:val="left"/>
            </w:pPr>
            <w:r>
              <w:rPr>
                <w:rFonts w:ascii="仿宋_GB2312" w:hAnsi="仿宋_GB2312" w:cs="仿宋_GB2312" w:eastAsia="仿宋_GB2312"/>
                <w:sz w:val="21"/>
                <w:color w:val="000000"/>
              </w:rPr>
              <w:t>1.针对《丝路回响》,邀请业内知名的音乐创作专家、器乐演奏指导老师，围绕曲目编排、演奏技巧、节奏把握等方面进行深度指导与优化，组织多轮排练，实现作品精细化打磨，提升艺术表现力与感染力。</w:t>
            </w:r>
          </w:p>
          <w:p>
            <w:pPr>
              <w:pStyle w:val="null3"/>
              <w:jc w:val="left"/>
            </w:pPr>
            <w:r>
              <w:rPr>
                <w:rFonts w:ascii="仿宋_GB2312" w:hAnsi="仿宋_GB2312" w:cs="仿宋_GB2312" w:eastAsia="仿宋_GB2312"/>
                <w:sz w:val="21"/>
                <w:color w:val="000000"/>
              </w:rPr>
              <w:t>2.朱雀室内合唱团，拟聘请资深合唱指挥家、声乐指导专家，从合唱声部协调、发声技巧、情感表达等方面进行专业指导，通过反复排练，增强合唱的整体性与艺术性。</w:t>
            </w:r>
          </w:p>
          <w:p>
            <w:pPr>
              <w:pStyle w:val="null3"/>
              <w:jc w:val="left"/>
            </w:pPr>
            <w:r>
              <w:rPr>
                <w:rFonts w:ascii="仿宋_GB2312" w:hAnsi="仿宋_GB2312" w:cs="仿宋_GB2312" w:eastAsia="仿宋_GB2312"/>
                <w:sz w:val="21"/>
                <w:color w:val="000000"/>
              </w:rPr>
              <w:t>为两个作品分别配备专业舞台美术设计团队，根据作品风格进行舞台背景、灯光音效等整体设计，打造契合的舞台氛围，使舞台表演与作品完美融合。</w:t>
            </w:r>
          </w:p>
          <w:p>
            <w:pPr>
              <w:pStyle w:val="null3"/>
              <w:jc w:val="left"/>
            </w:pPr>
            <w:r>
              <w:rPr>
                <w:rFonts w:ascii="仿宋_GB2312" w:hAnsi="仿宋_GB2312" w:cs="仿宋_GB2312" w:eastAsia="仿宋_GB2312"/>
                <w:sz w:val="21"/>
                <w:color w:val="000000"/>
              </w:rPr>
              <w:t>(二)赴成都参赛产生的吃住行等</w:t>
            </w:r>
          </w:p>
          <w:p>
            <w:pPr>
              <w:pStyle w:val="null3"/>
              <w:jc w:val="left"/>
            </w:pPr>
            <w:r>
              <w:rPr>
                <w:rFonts w:ascii="仿宋_GB2312" w:hAnsi="仿宋_GB2312" w:cs="仿宋_GB2312" w:eastAsia="仿宋_GB2312"/>
                <w:sz w:val="21"/>
                <w:color w:val="000000"/>
              </w:rPr>
              <w:t>1.交通：安排参赛人员及相关工作人员从西安到成都的往返交通，根据实际情况选择合适的交通方式，确保行程安全、便捷。</w:t>
            </w:r>
          </w:p>
          <w:p>
            <w:pPr>
              <w:pStyle w:val="null3"/>
              <w:jc w:val="left"/>
            </w:pPr>
            <w:r>
              <w:rPr>
                <w:rFonts w:ascii="仿宋_GB2312" w:hAnsi="仿宋_GB2312" w:cs="仿宋_GB2312" w:eastAsia="仿宋_GB2312"/>
                <w:sz w:val="21"/>
                <w:color w:val="000000"/>
              </w:rPr>
              <w:t>2.住宿：在成都比赛场地周边预订合适的住宿场所，保障除赛事负责外的工作人员休息，住宿环境需安全、舒适、卫生。</w:t>
            </w:r>
          </w:p>
          <w:p>
            <w:pPr>
              <w:pStyle w:val="null3"/>
              <w:jc w:val="left"/>
            </w:pPr>
            <w:r>
              <w:rPr>
                <w:rFonts w:ascii="仿宋_GB2312" w:hAnsi="仿宋_GB2312" w:cs="仿宋_GB2312" w:eastAsia="仿宋_GB2312"/>
                <w:sz w:val="21"/>
                <w:color w:val="000000"/>
              </w:rPr>
              <w:t>3.餐饮：为工作人员提供比赛期间的餐饮服务，保证饮食安全、营养均衡，满足正常的饮食需求。</w:t>
            </w:r>
          </w:p>
          <w:p>
            <w:pPr>
              <w:pStyle w:val="null3"/>
              <w:jc w:val="left"/>
            </w:pPr>
            <w:r>
              <w:rPr>
                <w:rFonts w:ascii="仿宋_GB2312" w:hAnsi="仿宋_GB2312" w:cs="仿宋_GB2312" w:eastAsia="仿宋_GB2312"/>
                <w:sz w:val="21"/>
                <w:color w:val="000000"/>
              </w:rPr>
              <w:t>4.保险：为所有赴成都参赛的人员购买合适的保险，保障其在参赛期间的人身安全。</w:t>
            </w:r>
          </w:p>
          <w:p>
            <w:pPr>
              <w:pStyle w:val="null3"/>
              <w:jc w:val="left"/>
            </w:pPr>
            <w:r>
              <w:rPr>
                <w:rFonts w:ascii="仿宋_GB2312" w:hAnsi="仿宋_GB2312" w:cs="仿宋_GB2312" w:eastAsia="仿宋_GB2312"/>
                <w:sz w:val="21"/>
                <w:color w:val="000000"/>
              </w:rPr>
              <w:t>5.化妆：为所有赴成都参赛的演员提供舞台妆造。</w:t>
            </w:r>
          </w:p>
          <w:p>
            <w:pPr>
              <w:pStyle w:val="null3"/>
              <w:jc w:val="left"/>
            </w:pPr>
            <w:r>
              <w:rPr>
                <w:rFonts w:ascii="仿宋_GB2312" w:hAnsi="仿宋_GB2312" w:cs="仿宋_GB2312" w:eastAsia="仿宋_GB2312"/>
                <w:sz w:val="21"/>
                <w:color w:val="000000"/>
              </w:rPr>
              <w:t>6.其他：包括参赛期间的市内交通、必要的物资运输等，确保参赛过程顺利进行。</w:t>
            </w:r>
          </w:p>
          <w:p>
            <w:pPr>
              <w:pStyle w:val="null3"/>
              <w:jc w:val="left"/>
            </w:pPr>
            <w:r>
              <w:rPr>
                <w:rFonts w:ascii="仿宋_GB2312" w:hAnsi="仿宋_GB2312" w:cs="仿宋_GB2312" w:eastAsia="仿宋_GB2312"/>
                <w:sz w:val="21"/>
                <w:color w:val="000000"/>
              </w:rPr>
              <w:t>三、项目采购内容</w:t>
            </w:r>
          </w:p>
          <w:p>
            <w:pPr>
              <w:pStyle w:val="null3"/>
              <w:jc w:val="left"/>
            </w:pPr>
            <w:r>
              <w:rPr>
                <w:rFonts w:ascii="仿宋_GB2312" w:hAnsi="仿宋_GB2312" w:cs="仿宋_GB2312" w:eastAsia="仿宋_GB2312"/>
                <w:sz w:val="21"/>
                <w:color w:val="000000"/>
              </w:rPr>
              <w:t>(一)节目提升相关采购</w:t>
            </w:r>
          </w:p>
          <w:p>
            <w:pPr>
              <w:pStyle w:val="null3"/>
              <w:jc w:val="left"/>
            </w:pPr>
            <w:r>
              <w:rPr>
                <w:rFonts w:ascii="仿宋_GB2312" w:hAnsi="仿宋_GB2312" w:cs="仿宋_GB2312" w:eastAsia="仿宋_GB2312"/>
                <w:sz w:val="21"/>
                <w:color w:val="000000"/>
              </w:rPr>
              <w:t>1.专家指导服务：为《丝路回响》采购国内具有丰富经验且在民乐领域有较高声誉的音乐创作专家、器乐演奏指导专家的指导服务；为朱雀室内合唱团采购资深合唱指挥家、声乐指导专家的指导服务。</w:t>
            </w:r>
          </w:p>
          <w:p>
            <w:pPr>
              <w:pStyle w:val="null3"/>
              <w:jc w:val="left"/>
            </w:pPr>
            <w:r>
              <w:rPr>
                <w:rFonts w:ascii="仿宋_GB2312" w:hAnsi="仿宋_GB2312" w:cs="仿宋_GB2312" w:eastAsia="仿宋_GB2312"/>
                <w:sz w:val="21"/>
                <w:color w:val="000000"/>
              </w:rPr>
              <w:t>2.舞台设计服务：聘请专业舞台美术设计公司或人员，负责《丝路回响》和朱雀室内合唱团终评演出的舞台背景设计、制作，灯光音效设计与执行等服务，要求设计方案贴合各自作品风格，能在终评场地顺利实施。</w:t>
            </w:r>
          </w:p>
          <w:p>
            <w:pPr>
              <w:pStyle w:val="null3"/>
              <w:jc w:val="left"/>
            </w:pPr>
            <w:r>
              <w:rPr>
                <w:rFonts w:ascii="仿宋_GB2312" w:hAnsi="仿宋_GB2312" w:cs="仿宋_GB2312" w:eastAsia="仿宋_GB2312"/>
                <w:sz w:val="21"/>
                <w:color w:val="000000"/>
              </w:rPr>
              <w:t>3.服装道具采购：根据《丝路回响》和朱雀室内合唱团的舞台表演需要，定制或采购符合各自主题风格的演出服装、乐器配件、舞台道具等，确保与作品艺术风格高度契合。</w:t>
            </w:r>
          </w:p>
          <w:p>
            <w:pPr>
              <w:pStyle w:val="null3"/>
              <w:jc w:val="left"/>
            </w:pPr>
            <w:r>
              <w:rPr>
                <w:rFonts w:ascii="仿宋_GB2312" w:hAnsi="仿宋_GB2312" w:cs="仿宋_GB2312" w:eastAsia="仿宋_GB2312"/>
                <w:sz w:val="21"/>
                <w:color w:val="000000"/>
              </w:rPr>
              <w:t>(二)赴成都参赛相关采购</w:t>
            </w:r>
          </w:p>
          <w:p>
            <w:pPr>
              <w:pStyle w:val="null3"/>
              <w:jc w:val="left"/>
            </w:pPr>
            <w:r>
              <w:rPr>
                <w:rFonts w:ascii="仿宋_GB2312" w:hAnsi="仿宋_GB2312" w:cs="仿宋_GB2312" w:eastAsia="仿宋_GB2312"/>
                <w:sz w:val="21"/>
                <w:color w:val="000000"/>
              </w:rPr>
              <w:t>1.交通服务：采购从西安到成都的往返交通服务，可选择飞机、高铁、汽车等合适的交通方式，包含票务预订、接送等服务。</w:t>
            </w:r>
          </w:p>
          <w:p>
            <w:pPr>
              <w:pStyle w:val="null3"/>
              <w:jc w:val="left"/>
            </w:pPr>
            <w:r>
              <w:rPr>
                <w:rFonts w:ascii="仿宋_GB2312" w:hAnsi="仿宋_GB2312" w:cs="仿宋_GB2312" w:eastAsia="仿宋_GB2312"/>
                <w:sz w:val="21"/>
                <w:color w:val="000000"/>
              </w:rPr>
              <w:t>2.住宿服务：采购成都当地的住宿服务，需在比赛场地周边，具备安全、舒适、卫生的住宿条件，包含住宿预订、入住协调等。</w:t>
            </w:r>
          </w:p>
          <w:p>
            <w:pPr>
              <w:pStyle w:val="null3"/>
              <w:jc w:val="left"/>
            </w:pPr>
            <w:r>
              <w:rPr>
                <w:rFonts w:ascii="仿宋_GB2312" w:hAnsi="仿宋_GB2312" w:cs="仿宋_GB2312" w:eastAsia="仿宋_GB2312"/>
                <w:sz w:val="21"/>
                <w:color w:val="000000"/>
              </w:rPr>
              <w:t>3.餐饮服务：采购比赛期间的餐饮服务，保证饮食安全、营养均衡，可提供团体餐配送或指定餐饮场所用餐等服务。</w:t>
            </w:r>
          </w:p>
          <w:p>
            <w:pPr>
              <w:pStyle w:val="null3"/>
              <w:jc w:val="left"/>
            </w:pPr>
            <w:r>
              <w:rPr>
                <w:rFonts w:ascii="仿宋_GB2312" w:hAnsi="仿宋_GB2312" w:cs="仿宋_GB2312" w:eastAsia="仿宋_GB2312"/>
                <w:sz w:val="21"/>
                <w:color w:val="000000"/>
              </w:rPr>
              <w:t>4.保险服务：为所有赴成都参赛人员采购短期人身意外伤害保险等相关保险，保险期限涵盖从出发至返回西安的整个参赛期间。</w:t>
            </w:r>
          </w:p>
          <w:p>
            <w:pPr>
              <w:pStyle w:val="null3"/>
              <w:jc w:val="left"/>
            </w:pPr>
            <w:r>
              <w:rPr>
                <w:rFonts w:ascii="仿宋_GB2312" w:hAnsi="仿宋_GB2312" w:cs="仿宋_GB2312" w:eastAsia="仿宋_GB2312"/>
                <w:sz w:val="21"/>
                <w:color w:val="000000"/>
              </w:rPr>
              <w:t>5.妆造服务：为所有赴成都参赛的演员提供舞台妆造。</w:t>
            </w:r>
          </w:p>
          <w:p>
            <w:pPr>
              <w:pStyle w:val="null3"/>
              <w:jc w:val="left"/>
            </w:pPr>
            <w:r>
              <w:rPr>
                <w:rFonts w:ascii="仿宋_GB2312" w:hAnsi="仿宋_GB2312" w:cs="仿宋_GB2312" w:eastAsia="仿宋_GB2312"/>
                <w:sz w:val="21"/>
                <w:color w:val="000000"/>
              </w:rPr>
              <w:t>6.其他服务：采购参赛期间的市内交通服务，如包车服务等；以及必要的物资运输服务，确保演出道具、服装等物资安全运抵成都并顺利运回。</w:t>
            </w:r>
          </w:p>
          <w:p>
            <w:pPr>
              <w:pStyle w:val="null3"/>
              <w:ind w:firstLine="836"/>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自合同签订之日起至参赛活动结束，经采购人验收确认为止。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采购人按照项目总体方案要求进行验收。 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完成节目提升工作，采购人团队出发参赛前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参赛结束并验收完成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2、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二、解决合同纠纷的方式1、合同一经签订，不得随意变更、中止或终止。对确需变更、调整或者中止、终止合同的，应按规定履行相应的手续。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服务名称：2025年第十四届中国艺术节暨第二十届全国“群星奖”决赛参赛项目； 服务范围：2025年第十四届中国艺术节暨第二十届全国“群星奖”决赛参赛项目； 服务要求：满足采购人、磋商文件要求； 服务期限：自合同签订之日起至活动结束，经采购人验收确认为止。； 服务标准：满足项目采购需求，符合国家相关规定验收标准，验收合格。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12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须提供投标截止时间前12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响应文件签署、盖章及响应有效期符合采购文件要求；</w:t>
            </w:r>
          </w:p>
        </w:tc>
        <w:tc>
          <w:tcPr>
            <w:tcW w:type="dxa" w:w="1661"/>
          </w:tcPr>
          <w:p>
            <w:pPr>
              <w:pStyle w:val="null3"/>
            </w:pPr>
            <w:r>
              <w:rPr>
                <w:rFonts w:ascii="仿宋_GB2312" w:hAnsi="仿宋_GB2312" w:cs="仿宋_GB2312" w:eastAsia="仿宋_GB2312"/>
              </w:rPr>
              <w:t>响应文件封面 供应商应提交的资格证明文件.docx 中小企业声明函 商务应答表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本项目采购需求，制定整体服务方案，包括但不限于①节目提升及打造方案；②舞台设计方案；③专家指导排练方案；④参赛过程实施保障方案。方案内容详细完整、针对性强、可行性高，满足项目实际要求得21-30分；方案内容较完整、有一定针对性、可行性较好，基本满足项目实际要求得11-20分；方案内容有缺漏、针对性不强、实施有难度得1-10分；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团队配备方案</w:t>
            </w:r>
          </w:p>
        </w:tc>
        <w:tc>
          <w:tcPr>
            <w:tcW w:type="dxa" w:w="2492"/>
          </w:tcPr>
          <w:p>
            <w:pPr>
              <w:pStyle w:val="null3"/>
            </w:pPr>
            <w:r>
              <w:rPr>
                <w:rFonts w:ascii="仿宋_GB2312" w:hAnsi="仿宋_GB2312" w:cs="仿宋_GB2312" w:eastAsia="仿宋_GB2312"/>
              </w:rPr>
              <w:t>根据本项目采购需求，为保障项目顺利实施及演出完美呈现，供应商应配备专业的导演团队及专业的专家艺术指导团队，要求人员数量设置合理，人员职责明确、分工清晰，具有丰富的节目编排经验。提供人员简历、岗位职责、学历证明、资质职称、项目经验等相关证明材料。 人员组织配备合理，完全满足项目需求得11-15分；人员组织配备较合理，基本满足项目需求得6-10分；人员组织配备不齐，可能影响实施效果得1-5分。未提供的得0分。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针对本项目提供的服务质量保障措施，包括①确保满足项目需求对参赛方案反复修改、随时汇报以及短期内提交服务方案等要求；②确保参赛准备及参赛顺利涉及的交通、住宿、餐饮、保险、妆造及其他服务实施方案及保障措施； 方案内容详细完整、针对性强、可行性高，符合项目实际要求得11-15分；方案内容基本完整，有一定针对性和可行性得6-10分；方案内容简单、缺乏针对性和可行性得1-5分。未提供的得0分。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针对本项目时间安排科学合理，时效性强，服务进度保证包括但不限于进度保证计划、进度保证措施，服务进度保障体系完整，节点细节详细得11-15分；服务进度保障体系较完整，节点细节一般得6-10分；服务进度保障体系较差，节点细节不清晰得1-5分；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安全保障及应急方案</w:t>
            </w:r>
          </w:p>
        </w:tc>
        <w:tc>
          <w:tcPr>
            <w:tcW w:type="dxa" w:w="2492"/>
          </w:tcPr>
          <w:p>
            <w:pPr>
              <w:pStyle w:val="null3"/>
            </w:pPr>
            <w:r>
              <w:rPr>
                <w:rFonts w:ascii="仿宋_GB2312" w:hAnsi="仿宋_GB2312" w:cs="仿宋_GB2312" w:eastAsia="仿宋_GB2312"/>
              </w:rPr>
              <w:t>针对本项目有详细的安全保障及应急预案措施，包括但不限于安全管理保障、应急措施、后勤保障措施等内容，对可能出现的问题，有具体可行的应急措施和解决方案，考虑全面，可行性强，完全满足项目实施需求得7-10分；考虑较全面，有一定可行性得4-6分；考虑不重复，可行性低得1-3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供应商须提供2022年8月1日起至今具有组织活动策划类似项目业绩，每提供1项有效业绩得2.5分，最高得5分。未提供的得0分。注：以合同签订时间为准，附合同复印件或扫描件。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价格分统一采用低价优先法计算，即满足磋商文件要求且磋商价格最低的磋商报价为评标基准价，其价格分为满分。其他供应商的价格分统一按照下列公式计算：价格分= (评标基准价／磋商报价)×报价分值。 注：1、计算分数时四舍五入取小数点后两位；2、本项目为专门面向中小企业采购的项目，不执行价格评审优惠的扶持政策。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详见附件：供应商应提交的资格证明文件.docx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