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CC139">
      <w:pPr>
        <w:spacing w:line="480" w:lineRule="auto"/>
        <w:jc w:val="center"/>
        <w:rPr>
          <w:rFonts w:ascii="宋体" w:hAnsi="Times New Roman"/>
          <w:b/>
          <w:bCs/>
          <w:sz w:val="52"/>
          <w:szCs w:val="52"/>
        </w:rPr>
      </w:pPr>
      <w:r>
        <w:rPr>
          <w:rFonts w:hint="eastAsia" w:ascii="宋体" w:hAnsi="Times New Roman"/>
          <w:b/>
          <w:bCs/>
          <w:sz w:val="52"/>
          <w:szCs w:val="52"/>
        </w:rPr>
        <w:t>2025年西安市涉气排污单位治理设施用电监管系统延续运维项目</w:t>
      </w:r>
    </w:p>
    <w:p w14:paraId="510A3C0E">
      <w:pPr>
        <w:spacing w:line="480" w:lineRule="auto"/>
        <w:jc w:val="center"/>
        <w:rPr>
          <w:rFonts w:ascii="宋体" w:hAnsi="Times New Roman"/>
          <w:b/>
          <w:bCs/>
          <w:sz w:val="52"/>
          <w:szCs w:val="52"/>
        </w:rPr>
      </w:pPr>
      <w:r>
        <w:rPr>
          <w:rFonts w:hint="eastAsia" w:ascii="宋体" w:hAnsi="Times New Roman"/>
          <w:b/>
          <w:bCs/>
          <w:sz w:val="52"/>
          <w:szCs w:val="52"/>
        </w:rPr>
        <w:t>合同</w:t>
      </w:r>
    </w:p>
    <w:p w14:paraId="06CA3C91">
      <w:pPr>
        <w:jc w:val="center"/>
        <w:rPr>
          <w:rFonts w:ascii="黑体" w:eastAsia="黑体"/>
          <w:sz w:val="30"/>
          <w:szCs w:val="30"/>
        </w:rPr>
      </w:pPr>
    </w:p>
    <w:p w14:paraId="32889178">
      <w:pPr>
        <w:jc w:val="center"/>
        <w:rPr>
          <w:rFonts w:ascii="黑体" w:eastAsia="黑体"/>
          <w:sz w:val="30"/>
          <w:szCs w:val="30"/>
        </w:rPr>
      </w:pPr>
    </w:p>
    <w:p w14:paraId="2ACD1F1F">
      <w:pPr>
        <w:jc w:val="center"/>
        <w:rPr>
          <w:rFonts w:ascii="黑体" w:eastAsia="黑体"/>
          <w:sz w:val="30"/>
          <w:szCs w:val="30"/>
        </w:rPr>
      </w:pPr>
    </w:p>
    <w:p w14:paraId="650A7F63">
      <w:pPr>
        <w:jc w:val="center"/>
        <w:rPr>
          <w:rFonts w:ascii="黑体" w:eastAsia="黑体"/>
          <w:sz w:val="30"/>
          <w:szCs w:val="30"/>
        </w:rPr>
      </w:pPr>
    </w:p>
    <w:p w14:paraId="45AD0800">
      <w:pPr>
        <w:jc w:val="center"/>
        <w:rPr>
          <w:rFonts w:ascii="黑体" w:eastAsia="黑体"/>
          <w:sz w:val="30"/>
          <w:szCs w:val="30"/>
        </w:rPr>
      </w:pPr>
    </w:p>
    <w:p w14:paraId="54911455">
      <w:pPr>
        <w:jc w:val="center"/>
        <w:rPr>
          <w:rFonts w:ascii="黑体" w:eastAsia="黑体"/>
          <w:sz w:val="30"/>
          <w:szCs w:val="30"/>
        </w:rPr>
      </w:pPr>
    </w:p>
    <w:p w14:paraId="375BD6CE">
      <w:pPr>
        <w:jc w:val="center"/>
        <w:rPr>
          <w:rFonts w:ascii="黑体" w:eastAsia="黑体"/>
          <w:sz w:val="30"/>
          <w:szCs w:val="30"/>
        </w:rPr>
      </w:pPr>
    </w:p>
    <w:p w14:paraId="7F04106A">
      <w:pPr>
        <w:jc w:val="center"/>
        <w:rPr>
          <w:rFonts w:ascii="黑体" w:eastAsia="黑体"/>
          <w:sz w:val="30"/>
          <w:szCs w:val="30"/>
        </w:rPr>
      </w:pPr>
    </w:p>
    <w:p w14:paraId="1C8B4365">
      <w:pPr>
        <w:jc w:val="center"/>
        <w:rPr>
          <w:rFonts w:ascii="黑体" w:eastAsia="黑体"/>
          <w:sz w:val="30"/>
          <w:szCs w:val="30"/>
        </w:rPr>
      </w:pPr>
    </w:p>
    <w:p w14:paraId="401887E6">
      <w:pPr>
        <w:jc w:val="center"/>
        <w:rPr>
          <w:rFonts w:ascii="黑体" w:eastAsia="黑体"/>
          <w:sz w:val="30"/>
          <w:szCs w:val="30"/>
        </w:rPr>
      </w:pPr>
    </w:p>
    <w:p w14:paraId="76DE0373">
      <w:pPr>
        <w:widowControl/>
        <w:spacing w:line="360" w:lineRule="auto"/>
        <w:ind w:firstLine="2135" w:firstLineChars="709"/>
        <w:jc w:val="left"/>
        <w:rPr>
          <w:rFonts w:ascii="宋体"/>
          <w:b/>
          <w:sz w:val="30"/>
          <w:szCs w:val="30"/>
        </w:rPr>
      </w:pPr>
      <w:r>
        <w:rPr>
          <w:rFonts w:hint="eastAsia" w:ascii="宋体"/>
          <w:b/>
          <w:sz w:val="30"/>
          <w:szCs w:val="30"/>
        </w:rPr>
        <w:t>甲方：</w:t>
      </w:r>
    </w:p>
    <w:p w14:paraId="612000DF">
      <w:pPr>
        <w:widowControl/>
        <w:spacing w:line="360" w:lineRule="auto"/>
        <w:ind w:firstLine="2135" w:firstLineChars="709"/>
        <w:jc w:val="left"/>
        <w:rPr>
          <w:rFonts w:ascii="宋体"/>
          <w:b/>
          <w:sz w:val="30"/>
          <w:szCs w:val="30"/>
        </w:rPr>
      </w:pPr>
      <w:r>
        <w:rPr>
          <w:rFonts w:hint="eastAsia" w:ascii="宋体"/>
          <w:b/>
          <w:sz w:val="30"/>
          <w:szCs w:val="30"/>
        </w:rPr>
        <w:t>乙</w:t>
      </w:r>
      <w:r>
        <w:rPr>
          <w:rFonts w:hint="eastAsia" w:ascii="宋体"/>
          <w:b/>
          <w:bCs/>
          <w:sz w:val="30"/>
          <w:szCs w:val="30"/>
        </w:rPr>
        <w:t>方：</w:t>
      </w:r>
    </w:p>
    <w:p w14:paraId="7C841E74">
      <w:pPr>
        <w:widowControl/>
        <w:spacing w:line="360" w:lineRule="auto"/>
        <w:ind w:firstLine="2135" w:firstLineChars="709"/>
        <w:jc w:val="left"/>
        <w:rPr>
          <w:rFonts w:hint="eastAsia" w:ascii="宋体" w:eastAsia="宋体"/>
          <w:b/>
          <w:sz w:val="30"/>
          <w:szCs w:val="30"/>
          <w:lang w:val="en-US" w:eastAsia="zh-CN"/>
        </w:rPr>
      </w:pPr>
      <w:r>
        <w:rPr>
          <w:rFonts w:hint="eastAsia" w:ascii="宋体"/>
          <w:b/>
          <w:sz w:val="30"/>
          <w:szCs w:val="30"/>
        </w:rPr>
        <w:t>地点：</w:t>
      </w:r>
    </w:p>
    <w:p w14:paraId="66648F07">
      <w:pPr>
        <w:widowControl/>
        <w:spacing w:line="360" w:lineRule="auto"/>
        <w:ind w:firstLine="2135" w:firstLineChars="709"/>
        <w:jc w:val="left"/>
        <w:rPr>
          <w:rFonts w:ascii="宋体"/>
          <w:b/>
          <w:sz w:val="30"/>
          <w:szCs w:val="30"/>
        </w:rPr>
      </w:pPr>
      <w:r>
        <w:rPr>
          <w:rFonts w:hint="eastAsia" w:ascii="宋体"/>
          <w:b/>
          <w:sz w:val="30"/>
          <w:szCs w:val="30"/>
        </w:rPr>
        <w:t>时间：</w:t>
      </w:r>
    </w:p>
    <w:p w14:paraId="31EB22BB">
      <w:pPr>
        <w:tabs>
          <w:tab w:val="left" w:pos="480"/>
        </w:tabs>
        <w:ind w:firstLine="640" w:firstLineChars="200"/>
        <w:rPr>
          <w:rFonts w:ascii="黑体" w:eastAsia="黑体"/>
          <w:sz w:val="32"/>
          <w:szCs w:val="32"/>
        </w:rPr>
      </w:pPr>
      <w:r>
        <w:rPr>
          <w:rFonts w:hint="eastAsia" w:ascii="黑体" w:eastAsia="黑体"/>
          <w:sz w:val="32"/>
          <w:szCs w:val="32"/>
        </w:rPr>
        <w:t xml:space="preserve">   </w:t>
      </w:r>
    </w:p>
    <w:p w14:paraId="73620BB1">
      <w:pPr>
        <w:pStyle w:val="8"/>
        <w:spacing w:line="360" w:lineRule="auto"/>
        <w:ind w:firstLine="420"/>
        <w:rPr>
          <w:rFonts w:ascii="宋体" w:hAnsi="宋体"/>
          <w:sz w:val="21"/>
          <w:szCs w:val="21"/>
        </w:rPr>
      </w:pPr>
    </w:p>
    <w:p w14:paraId="50CC0943">
      <w:pPr>
        <w:pStyle w:val="8"/>
        <w:spacing w:line="360" w:lineRule="auto"/>
        <w:ind w:firstLine="420"/>
        <w:rPr>
          <w:rFonts w:ascii="宋体" w:hAnsi="宋体"/>
          <w:sz w:val="21"/>
          <w:szCs w:val="21"/>
        </w:rPr>
      </w:pPr>
    </w:p>
    <w:p w14:paraId="122E065B">
      <w:pPr>
        <w:pStyle w:val="8"/>
        <w:spacing w:line="360" w:lineRule="auto"/>
        <w:ind w:firstLine="420"/>
        <w:rPr>
          <w:rFonts w:ascii="宋体" w:hAnsi="宋体"/>
          <w:sz w:val="21"/>
          <w:szCs w:val="21"/>
        </w:rPr>
      </w:pPr>
    </w:p>
    <w:p w14:paraId="26B2AC08">
      <w:pPr>
        <w:pStyle w:val="8"/>
        <w:spacing w:line="360" w:lineRule="auto"/>
        <w:ind w:firstLine="420"/>
        <w:rPr>
          <w:rFonts w:ascii="宋体" w:hAnsi="宋体"/>
          <w:sz w:val="21"/>
          <w:szCs w:val="21"/>
        </w:rPr>
      </w:pPr>
    </w:p>
    <w:p w14:paraId="7CE762AB">
      <w:pPr>
        <w:pStyle w:val="8"/>
        <w:spacing w:line="360" w:lineRule="auto"/>
        <w:ind w:firstLine="420"/>
        <w:rPr>
          <w:rFonts w:hint="eastAsia" w:ascii="宋体" w:hAnsi="宋体"/>
          <w:sz w:val="21"/>
          <w:szCs w:val="21"/>
        </w:rPr>
        <w:sectPr>
          <w:pgSz w:w="11906" w:h="16838"/>
          <w:pgMar w:top="1440" w:right="1800" w:bottom="1440" w:left="1800" w:header="851" w:footer="992" w:gutter="0"/>
          <w:cols w:space="720" w:num="1"/>
          <w:docGrid w:type="lines" w:linePitch="312" w:charSpace="0"/>
        </w:sectPr>
      </w:pPr>
    </w:p>
    <w:p w14:paraId="28D9368A">
      <w:pPr>
        <w:pStyle w:val="8"/>
        <w:spacing w:line="360" w:lineRule="auto"/>
        <w:ind w:firstLine="420"/>
        <w:rPr>
          <w:rFonts w:ascii="宋体" w:hAnsi="宋体"/>
          <w:sz w:val="21"/>
          <w:szCs w:val="21"/>
        </w:rPr>
      </w:pPr>
      <w:r>
        <w:rPr>
          <w:rFonts w:hint="eastAsia" w:ascii="宋体" w:hAnsi="宋体"/>
          <w:sz w:val="21"/>
          <w:szCs w:val="21"/>
        </w:rPr>
        <w:t>签订地点：</w:t>
      </w:r>
    </w:p>
    <w:p w14:paraId="3D43F651">
      <w:pPr>
        <w:pStyle w:val="8"/>
        <w:spacing w:line="360" w:lineRule="auto"/>
        <w:ind w:firstLine="420"/>
        <w:rPr>
          <w:rFonts w:hint="eastAsia" w:ascii="宋体" w:hAnsi="宋体" w:eastAsia="宋体"/>
          <w:sz w:val="21"/>
          <w:szCs w:val="21"/>
          <w:lang w:eastAsia="zh-CN"/>
        </w:rPr>
      </w:pPr>
      <w:r>
        <w:rPr>
          <w:rFonts w:hint="eastAsia" w:ascii="宋体" w:hAnsi="宋体"/>
          <w:sz w:val="21"/>
          <w:szCs w:val="21"/>
        </w:rPr>
        <w:t>签订时间</w:t>
      </w:r>
      <w:r>
        <w:rPr>
          <w:rFonts w:hint="eastAsia" w:ascii="宋体" w:hAnsi="宋体"/>
          <w:sz w:val="21"/>
          <w:szCs w:val="21"/>
          <w:lang w:eastAsia="zh-CN"/>
        </w:rPr>
        <w:t>：</w:t>
      </w:r>
    </w:p>
    <w:p w14:paraId="5A0EA622">
      <w:pPr>
        <w:pStyle w:val="8"/>
        <w:spacing w:line="360" w:lineRule="auto"/>
        <w:ind w:firstLine="420"/>
        <w:rPr>
          <w:rFonts w:ascii="宋体" w:hAnsi="宋体"/>
          <w:sz w:val="21"/>
          <w:szCs w:val="21"/>
        </w:rPr>
      </w:pPr>
      <w:r>
        <w:rPr>
          <w:rFonts w:hint="eastAsia" w:ascii="宋体" w:hAnsi="宋体"/>
          <w:sz w:val="21"/>
          <w:szCs w:val="21"/>
        </w:rPr>
        <w:t>采购人（甲方）：</w:t>
      </w:r>
    </w:p>
    <w:p w14:paraId="45C748DA">
      <w:pPr>
        <w:pStyle w:val="8"/>
        <w:spacing w:line="360" w:lineRule="auto"/>
        <w:ind w:firstLine="420"/>
        <w:rPr>
          <w:rFonts w:ascii="宋体" w:hAnsi="宋体"/>
          <w:sz w:val="21"/>
          <w:szCs w:val="21"/>
        </w:rPr>
      </w:pPr>
      <w:r>
        <w:rPr>
          <w:rFonts w:hint="eastAsia" w:ascii="宋体" w:hAnsi="宋体"/>
          <w:sz w:val="21"/>
          <w:szCs w:val="21"/>
        </w:rPr>
        <w:t>供应商（乙方）：</w:t>
      </w:r>
    </w:p>
    <w:p w14:paraId="6DB9EABA">
      <w:pPr>
        <w:pStyle w:val="8"/>
        <w:spacing w:before="156" w:beforeLines="50" w:line="360" w:lineRule="auto"/>
        <w:ind w:firstLine="420"/>
        <w:rPr>
          <w:rFonts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rPr>
        <w:t xml:space="preserve">2025年西安市涉气排污单位治理设施用电监管系统延续运维项目 </w:t>
      </w:r>
      <w:r>
        <w:rPr>
          <w:rFonts w:hint="eastAsia" w:ascii="宋体" w:hAnsi="宋体"/>
          <w:sz w:val="21"/>
          <w:szCs w:val="21"/>
        </w:rPr>
        <w:t>（采购项目编号：）</w:t>
      </w:r>
      <w:r>
        <w:rPr>
          <w:rFonts w:hint="eastAsia" w:ascii="宋体" w:hAnsi="宋体" w:eastAsia="宋体" w:cs="宋体"/>
          <w:sz w:val="21"/>
          <w:szCs w:val="21"/>
        </w:rPr>
        <w:t>的谈判文</w:t>
      </w:r>
      <w:r>
        <w:rPr>
          <w:rFonts w:hint="eastAsia" w:ascii="宋体" w:hAnsi="宋体"/>
          <w:sz w:val="21"/>
          <w:szCs w:val="21"/>
        </w:rPr>
        <w:t>件、响应文件</w:t>
      </w:r>
      <w:r>
        <w:rPr>
          <w:rFonts w:hint="eastAsia" w:ascii="宋体" w:hAnsi="宋体"/>
          <w:sz w:val="21"/>
          <w:szCs w:val="21"/>
          <w:lang w:val="en-US" w:eastAsia="zh-CN"/>
        </w:rPr>
        <w:t>以及其他相关法律法规</w:t>
      </w:r>
      <w:r>
        <w:rPr>
          <w:rFonts w:hint="eastAsia" w:ascii="宋体" w:hAnsi="宋体"/>
          <w:sz w:val="21"/>
          <w:szCs w:val="21"/>
        </w:rPr>
        <w:t>等有关规定，为确保甲方采购项目的顺利实施，甲、乙双方在平等自愿原则下签订本合同，并共同遵守如下条款：</w:t>
      </w:r>
    </w:p>
    <w:p w14:paraId="2E28FF43">
      <w:pPr>
        <w:tabs>
          <w:tab w:val="left" w:pos="1379"/>
        </w:tabs>
        <w:spacing w:before="156" w:beforeLines="50" w:after="156" w:afterLines="50" w:line="360" w:lineRule="auto"/>
        <w:ind w:left="1519" w:hanging="1094"/>
        <w:rPr>
          <w:rFonts w:ascii="宋体" w:hAnsi="宋体"/>
          <w:b/>
          <w:sz w:val="30"/>
          <w:szCs w:val="30"/>
        </w:rPr>
      </w:pPr>
      <w:r>
        <w:rPr>
          <w:rFonts w:hint="eastAsia" w:ascii="宋体" w:hAnsi="宋体"/>
          <w:b/>
          <w:sz w:val="30"/>
          <w:szCs w:val="30"/>
        </w:rPr>
        <w:t>第一条  项目基本情况</w:t>
      </w:r>
    </w:p>
    <w:p w14:paraId="72663CB5">
      <w:pPr>
        <w:tabs>
          <w:tab w:val="left" w:pos="1379"/>
        </w:tabs>
        <w:spacing w:before="156" w:beforeLines="50" w:after="156" w:afterLines="50" w:line="360" w:lineRule="auto"/>
        <w:ind w:firstLine="420" w:firstLineChars="200"/>
        <w:rPr>
          <w:rFonts w:ascii="宋体" w:hAnsi="宋体"/>
          <w:szCs w:val="21"/>
        </w:rPr>
      </w:pPr>
      <w:r>
        <w:rPr>
          <w:rFonts w:hint="eastAsia" w:ascii="宋体" w:hAnsi="宋体"/>
          <w:szCs w:val="21"/>
          <w:lang w:val="en-US" w:eastAsia="zh-CN"/>
        </w:rPr>
        <w:t>项目名称：</w:t>
      </w:r>
      <w:r>
        <w:rPr>
          <w:rFonts w:hint="eastAsia" w:ascii="宋体" w:hAnsi="宋体"/>
          <w:szCs w:val="21"/>
        </w:rPr>
        <w:t>2025年西安市涉气排污单位治理设施用电监管系统延续运维项目</w:t>
      </w:r>
    </w:p>
    <w:p w14:paraId="74539000">
      <w:pPr>
        <w:tabs>
          <w:tab w:val="left" w:pos="1379"/>
        </w:tabs>
        <w:spacing w:before="156" w:beforeLines="50" w:after="156" w:afterLines="50" w:line="360" w:lineRule="auto"/>
        <w:ind w:left="1519" w:hanging="1094"/>
        <w:rPr>
          <w:rFonts w:ascii="宋体" w:hAnsi="宋体"/>
          <w:b/>
          <w:sz w:val="30"/>
          <w:szCs w:val="30"/>
        </w:rPr>
      </w:pPr>
      <w:r>
        <w:rPr>
          <w:rFonts w:hint="eastAsia" w:ascii="宋体" w:hAnsi="宋体"/>
          <w:b/>
          <w:sz w:val="30"/>
          <w:szCs w:val="30"/>
        </w:rPr>
        <w:t>第二条  合同期限</w:t>
      </w:r>
    </w:p>
    <w:p w14:paraId="2C04F275">
      <w:pPr>
        <w:spacing w:line="360" w:lineRule="auto"/>
        <w:ind w:firstLine="420" w:firstLineChars="200"/>
        <w:rPr>
          <w:rFonts w:ascii="宋体" w:hAnsi="宋体"/>
          <w:szCs w:val="21"/>
        </w:rPr>
      </w:pPr>
      <w:r>
        <w:rPr>
          <w:rFonts w:hint="eastAsia" w:ascii="宋体" w:hAnsi="宋体"/>
          <w:szCs w:val="21"/>
        </w:rPr>
        <w:t>服务期限：自合同签订之日起</w:t>
      </w:r>
      <w:r>
        <w:rPr>
          <w:rFonts w:hint="eastAsia" w:ascii="宋体" w:hAnsi="宋体"/>
          <w:szCs w:val="21"/>
          <w:lang w:val="en-US" w:eastAsia="zh-CN"/>
        </w:rPr>
        <w:t>一</w:t>
      </w:r>
      <w:r>
        <w:rPr>
          <w:rFonts w:hint="eastAsia" w:ascii="宋体" w:hAnsi="宋体"/>
          <w:szCs w:val="21"/>
        </w:rPr>
        <w:t>年。</w:t>
      </w:r>
    </w:p>
    <w:p w14:paraId="6CE09BD6">
      <w:pPr>
        <w:tabs>
          <w:tab w:val="left" w:pos="1379"/>
        </w:tabs>
        <w:spacing w:before="156" w:beforeLines="50" w:after="156" w:afterLines="50" w:line="360" w:lineRule="auto"/>
        <w:ind w:left="1519" w:hanging="1094"/>
        <w:rPr>
          <w:rFonts w:ascii="宋体" w:hAnsi="宋体"/>
          <w:b/>
          <w:sz w:val="30"/>
          <w:szCs w:val="30"/>
        </w:rPr>
      </w:pPr>
      <w:bookmarkStart w:id="0" w:name="_Toc239233914"/>
      <w:bookmarkStart w:id="1" w:name="_Toc212019594"/>
      <w:bookmarkStart w:id="2" w:name="_Toc286993786"/>
      <w:bookmarkStart w:id="3" w:name="_Toc238984975"/>
      <w:bookmarkStart w:id="4" w:name="_Toc251768862"/>
      <w:bookmarkStart w:id="5" w:name="_Toc225244852"/>
      <w:bookmarkStart w:id="6" w:name="_Toc211854449"/>
      <w:bookmarkStart w:id="7" w:name="_Toc225670751"/>
      <w:bookmarkStart w:id="8" w:name="_Toc185395249"/>
      <w:bookmarkStart w:id="9" w:name="_Toc211911348"/>
      <w:bookmarkStart w:id="10" w:name="_Toc283019214"/>
      <w:bookmarkStart w:id="11" w:name="_Toc241833903"/>
      <w:bookmarkStart w:id="12" w:name="_Toc232492928"/>
      <w:bookmarkStart w:id="13" w:name="_Toc282696226"/>
      <w:bookmarkStart w:id="14" w:name="_Toc247334841"/>
      <w:bookmarkStart w:id="15" w:name="_Toc239568418"/>
      <w:bookmarkStart w:id="16" w:name="_Toc237145406"/>
      <w:bookmarkStart w:id="17" w:name="_Toc225654644"/>
      <w:r>
        <w:rPr>
          <w:rFonts w:hint="eastAsia" w:ascii="宋体" w:hAnsi="宋体"/>
          <w:b/>
          <w:sz w:val="30"/>
          <w:szCs w:val="30"/>
        </w:rPr>
        <w:t>第三条  服务内容与质量标准</w:t>
      </w:r>
    </w:p>
    <w:p w14:paraId="7E815D70">
      <w:pPr>
        <w:spacing w:line="360" w:lineRule="auto"/>
        <w:ind w:firstLine="422" w:firstLineChars="200"/>
        <w:rPr>
          <w:rFonts w:ascii="宋体" w:hAnsi="宋体"/>
          <w:b/>
          <w:szCs w:val="21"/>
        </w:rPr>
      </w:pPr>
      <w:r>
        <w:rPr>
          <w:rFonts w:hint="eastAsia" w:ascii="宋体" w:hAnsi="宋体"/>
          <w:b/>
          <w:szCs w:val="21"/>
        </w:rPr>
        <w:t>2025年西安市涉气排污单位治理设施用电监管系统延续运维项目内容如下：</w:t>
      </w:r>
    </w:p>
    <w:p w14:paraId="53B27919">
      <w:pPr>
        <w:pStyle w:val="2"/>
        <w:spacing w:line="360" w:lineRule="auto"/>
        <w:ind w:firstLineChars="200"/>
        <w:rPr>
          <w:rFonts w:ascii="宋体" w:hAnsi="宋体"/>
          <w:szCs w:val="21"/>
        </w:rPr>
      </w:pPr>
      <w:r>
        <w:rPr>
          <w:rFonts w:hint="eastAsia" w:ascii="宋体" w:hAnsi="宋体"/>
          <w:szCs w:val="21"/>
        </w:rPr>
        <w:t>一、运维内容</w:t>
      </w:r>
    </w:p>
    <w:p w14:paraId="3AA65117">
      <w:pPr>
        <w:pStyle w:val="2"/>
        <w:spacing w:line="360" w:lineRule="auto"/>
        <w:ind w:firstLineChars="200"/>
        <w:rPr>
          <w:rFonts w:ascii="宋体" w:hAnsi="宋体"/>
          <w:szCs w:val="21"/>
        </w:rPr>
      </w:pPr>
      <w:r>
        <w:rPr>
          <w:rFonts w:hint="eastAsia" w:ascii="宋体" w:hAnsi="宋体"/>
          <w:szCs w:val="21"/>
        </w:rPr>
        <w:t>2025年西安市涉气排污单位治理设施用电监管系统延续运维项目，目标是为系统提供全面监控及运维服务，保障系统安全运行稳定，提高系统运行效率及系统应用技能，保证西安市生态环境局排污单位污染治理设施用电监管工作及重污染天气大气管控工作的顺利进行。</w:t>
      </w:r>
    </w:p>
    <w:p w14:paraId="77D9A68E">
      <w:pPr>
        <w:pStyle w:val="2"/>
        <w:spacing w:line="360" w:lineRule="auto"/>
        <w:ind w:firstLineChars="200"/>
        <w:rPr>
          <w:rFonts w:ascii="宋体" w:hAnsi="宋体"/>
          <w:szCs w:val="21"/>
        </w:rPr>
      </w:pPr>
      <w:r>
        <w:rPr>
          <w:rFonts w:hint="eastAsia" w:ascii="宋体" w:hAnsi="宋体"/>
          <w:szCs w:val="21"/>
        </w:rPr>
        <w:t>系统运维服务的主要内容有：</w:t>
      </w:r>
    </w:p>
    <w:p w14:paraId="667D7EEF">
      <w:pPr>
        <w:pStyle w:val="2"/>
        <w:spacing w:line="360" w:lineRule="auto"/>
        <w:ind w:firstLineChars="200"/>
        <w:rPr>
          <w:rFonts w:ascii="宋体" w:hAnsi="宋体"/>
          <w:szCs w:val="21"/>
        </w:rPr>
      </w:pPr>
      <w:r>
        <w:rPr>
          <w:rFonts w:hint="eastAsia" w:ascii="宋体" w:hAnsi="宋体"/>
          <w:szCs w:val="21"/>
        </w:rPr>
        <w:t>1.服务器、数据库维护</w:t>
      </w:r>
    </w:p>
    <w:p w14:paraId="57496B5D">
      <w:pPr>
        <w:pStyle w:val="2"/>
        <w:spacing w:line="360" w:lineRule="auto"/>
        <w:ind w:firstLineChars="200"/>
        <w:rPr>
          <w:rFonts w:ascii="宋体" w:hAnsi="宋体"/>
          <w:szCs w:val="21"/>
        </w:rPr>
      </w:pPr>
      <w:r>
        <w:rPr>
          <w:rFonts w:hint="eastAsia" w:ascii="宋体" w:hAnsi="宋体"/>
          <w:szCs w:val="21"/>
        </w:rPr>
        <w:t>监督服务器、数据库等设施的运行情况，发现、分析和处理系统各类应用各方面的技术问题，及时采取有效措施恢复系统正常运行，确保系统运行过程中发生的所有问题及时得到解决，保证系统运行正常稳定。</w:t>
      </w:r>
    </w:p>
    <w:p w14:paraId="72FF353C">
      <w:pPr>
        <w:pStyle w:val="2"/>
        <w:spacing w:line="360" w:lineRule="auto"/>
        <w:ind w:firstLineChars="200"/>
        <w:rPr>
          <w:rFonts w:ascii="宋体" w:hAnsi="宋体"/>
          <w:szCs w:val="21"/>
        </w:rPr>
      </w:pPr>
      <w:r>
        <w:rPr>
          <w:rFonts w:hint="eastAsia" w:ascii="宋体" w:hAnsi="宋体"/>
          <w:szCs w:val="21"/>
        </w:rPr>
        <w:t>定期检查服务器、数据库运行情况，及时处理数据库故障；定期对服务器、数据库进行优化，提高服务器、数据库运行效率。</w:t>
      </w:r>
    </w:p>
    <w:p w14:paraId="55A38F62">
      <w:pPr>
        <w:pStyle w:val="2"/>
        <w:spacing w:line="360" w:lineRule="auto"/>
        <w:ind w:firstLineChars="200"/>
        <w:rPr>
          <w:rFonts w:ascii="宋体" w:hAnsi="宋体"/>
          <w:szCs w:val="21"/>
        </w:rPr>
      </w:pPr>
      <w:r>
        <w:rPr>
          <w:rFonts w:hint="eastAsia" w:ascii="宋体" w:hAnsi="宋体"/>
          <w:szCs w:val="21"/>
        </w:rPr>
        <w:t>对系统的分布式数据库、Redis实时数据库、前置通讯数据及大数据计算及分析处理进行日常监控，保障系统的基础数据稳定、可靠。</w:t>
      </w:r>
    </w:p>
    <w:p w14:paraId="7CBE48A8">
      <w:pPr>
        <w:pStyle w:val="2"/>
        <w:spacing w:line="360" w:lineRule="auto"/>
        <w:ind w:firstLineChars="200"/>
        <w:rPr>
          <w:rFonts w:ascii="宋体" w:hAnsi="宋体"/>
          <w:szCs w:val="21"/>
        </w:rPr>
      </w:pPr>
      <w:r>
        <w:rPr>
          <w:rFonts w:hint="eastAsia" w:ascii="宋体" w:hAnsi="宋体"/>
          <w:szCs w:val="21"/>
        </w:rPr>
        <w:t>2.系统安全维护</w:t>
      </w:r>
    </w:p>
    <w:p w14:paraId="29D71256">
      <w:pPr>
        <w:pStyle w:val="2"/>
        <w:spacing w:line="360" w:lineRule="auto"/>
        <w:ind w:firstLineChars="200"/>
        <w:rPr>
          <w:rFonts w:ascii="宋体" w:hAnsi="宋体"/>
          <w:szCs w:val="21"/>
        </w:rPr>
      </w:pPr>
      <w:r>
        <w:rPr>
          <w:rFonts w:hint="eastAsia" w:ascii="宋体" w:hAnsi="宋体"/>
          <w:szCs w:val="21"/>
        </w:rPr>
        <w:t>保障信息系统的安全，包括系统在安全设计中全面考虑物理安全、网络安全、主机安全、应用安全、数据安全等。</w:t>
      </w:r>
    </w:p>
    <w:p w14:paraId="19A12837">
      <w:pPr>
        <w:pStyle w:val="2"/>
        <w:spacing w:line="360" w:lineRule="auto"/>
        <w:ind w:firstLineChars="200"/>
        <w:rPr>
          <w:rFonts w:ascii="宋体" w:hAnsi="宋体"/>
          <w:szCs w:val="21"/>
        </w:rPr>
      </w:pPr>
      <w:r>
        <w:rPr>
          <w:rFonts w:hint="eastAsia" w:ascii="宋体" w:hAnsi="宋体"/>
          <w:szCs w:val="21"/>
        </w:rPr>
        <w:t>建立运行安全监控系统，全方位对数据采集、数据计算、数据存储、数据治理等进行实时安全管控，监控统一认证、加解密、接入授权、日志审计、异常监控等安全措施，并对异常行为进行统计和跟踪，识别违反安全策略的行为并进行报警，实现安全隐患早发现、早预警、早处置。</w:t>
      </w:r>
    </w:p>
    <w:p w14:paraId="5D240A47">
      <w:pPr>
        <w:pStyle w:val="2"/>
        <w:spacing w:line="360" w:lineRule="auto"/>
        <w:ind w:firstLineChars="200"/>
        <w:rPr>
          <w:rFonts w:ascii="宋体" w:hAnsi="宋体"/>
          <w:szCs w:val="21"/>
        </w:rPr>
      </w:pPr>
      <w:r>
        <w:rPr>
          <w:rFonts w:hint="eastAsia" w:ascii="宋体" w:hAnsi="宋体"/>
          <w:szCs w:val="21"/>
        </w:rPr>
        <w:t>3.系统功能维护</w:t>
      </w:r>
    </w:p>
    <w:p w14:paraId="419A4B47">
      <w:pPr>
        <w:pStyle w:val="2"/>
        <w:spacing w:line="360" w:lineRule="auto"/>
        <w:ind w:firstLineChars="200"/>
        <w:rPr>
          <w:rFonts w:ascii="宋体" w:hAnsi="宋体"/>
          <w:szCs w:val="21"/>
        </w:rPr>
      </w:pPr>
      <w:r>
        <w:rPr>
          <w:rFonts w:hint="eastAsia" w:ascii="宋体" w:hAnsi="宋体"/>
          <w:szCs w:val="21"/>
        </w:rPr>
        <w:t>监督系统各项功能实现情况，确保满足方案设计要求。定期检查平台系统，及时优化并处理系统故障。对于发现的功能问题，应在24小时内反馈给公司技术部门，并在72小时内提供初步解决方案。疑难问题应在10个工作日内解决，确保系统功能正常运行。</w:t>
      </w:r>
    </w:p>
    <w:p w14:paraId="7055B9D1">
      <w:pPr>
        <w:pStyle w:val="2"/>
        <w:spacing w:line="360" w:lineRule="auto"/>
        <w:ind w:firstLineChars="200"/>
        <w:rPr>
          <w:rFonts w:ascii="宋体" w:hAnsi="宋体"/>
          <w:szCs w:val="21"/>
        </w:rPr>
      </w:pPr>
      <w:r>
        <w:rPr>
          <w:rFonts w:hint="eastAsia" w:ascii="宋体" w:hAnsi="宋体"/>
          <w:szCs w:val="21"/>
        </w:rPr>
        <w:t>对存在异常或不能完整实现的功能项，现场人员对程序代码、运营环境、通信协议、数据接口等进行分析检查，如有缺陷立即进行修改，保证系统通讯、数据采集、报警等各项功能正常。疑难问题</w:t>
      </w:r>
      <w:r>
        <w:rPr>
          <w:rFonts w:hint="eastAsia" w:ascii="宋体" w:hAnsi="宋体"/>
          <w:szCs w:val="21"/>
          <w:lang w:val="en-US" w:eastAsia="zh-CN"/>
        </w:rPr>
        <w:t>应在24小时内</w:t>
      </w:r>
      <w:r>
        <w:rPr>
          <w:rFonts w:hint="eastAsia" w:ascii="宋体" w:hAnsi="宋体"/>
          <w:szCs w:val="21"/>
        </w:rPr>
        <w:t>反馈公司技术部门分析处理</w:t>
      </w:r>
      <w:r>
        <w:rPr>
          <w:rFonts w:hint="eastAsia" w:ascii="宋体" w:hAnsi="宋体"/>
          <w:szCs w:val="21"/>
          <w:lang w:val="en-US" w:eastAsia="zh-CN"/>
        </w:rPr>
        <w:t>并提出解决方案</w:t>
      </w:r>
      <w:r>
        <w:rPr>
          <w:rFonts w:hint="eastAsia" w:ascii="宋体" w:hAnsi="宋体"/>
          <w:szCs w:val="21"/>
        </w:rPr>
        <w:t>，必要时安排技术专家及时赶到现场处理</w:t>
      </w:r>
      <w:r>
        <w:rPr>
          <w:rFonts w:hint="eastAsia" w:ascii="宋体" w:hAnsi="宋体"/>
          <w:szCs w:val="21"/>
          <w:lang w:eastAsia="zh-CN"/>
        </w:rPr>
        <w:t>，确保问题在10个工作日内得到彻底解决</w:t>
      </w:r>
      <w:r>
        <w:rPr>
          <w:rFonts w:hint="eastAsia" w:ascii="宋体" w:hAnsi="宋体"/>
          <w:szCs w:val="21"/>
        </w:rPr>
        <w:t>。</w:t>
      </w:r>
    </w:p>
    <w:p w14:paraId="57569DB1">
      <w:pPr>
        <w:pStyle w:val="2"/>
        <w:spacing w:line="360" w:lineRule="auto"/>
        <w:ind w:firstLineChars="200"/>
        <w:rPr>
          <w:rFonts w:ascii="宋体" w:hAnsi="宋体"/>
          <w:szCs w:val="21"/>
        </w:rPr>
      </w:pPr>
      <w:r>
        <w:rPr>
          <w:rFonts w:hint="eastAsia" w:ascii="宋体" w:hAnsi="宋体"/>
          <w:szCs w:val="21"/>
        </w:rPr>
        <w:t>4.采集数据核查</w:t>
      </w:r>
    </w:p>
    <w:p w14:paraId="16541C92">
      <w:pPr>
        <w:pStyle w:val="2"/>
        <w:spacing w:line="360" w:lineRule="auto"/>
        <w:ind w:firstLineChars="200"/>
        <w:rPr>
          <w:rFonts w:ascii="宋体" w:hAnsi="宋体"/>
          <w:szCs w:val="21"/>
        </w:rPr>
      </w:pPr>
      <w:r>
        <w:rPr>
          <w:rFonts w:hint="eastAsia" w:ascii="宋体" w:hAnsi="宋体"/>
          <w:szCs w:val="21"/>
        </w:rPr>
        <w:t>对通过环保HJ-212协议要求接入系统的厂家设备的用电采集数据进行全方位核查，主要包括以下内容：</w:t>
      </w:r>
    </w:p>
    <w:p w14:paraId="7C24607D">
      <w:pPr>
        <w:pStyle w:val="2"/>
        <w:spacing w:line="360" w:lineRule="auto"/>
        <w:ind w:firstLineChars="200"/>
        <w:rPr>
          <w:rFonts w:ascii="宋体" w:hAnsi="宋体"/>
          <w:szCs w:val="21"/>
        </w:rPr>
      </w:pPr>
      <w:r>
        <w:rPr>
          <w:rFonts w:hint="eastAsia" w:ascii="宋体" w:hAnsi="宋体"/>
          <w:szCs w:val="21"/>
        </w:rPr>
        <w:t>（1）备案数据的完整性分析，确保排污企业档案数据、生产设施、治理设施档案备案的完整性。</w:t>
      </w:r>
    </w:p>
    <w:p w14:paraId="517265FD">
      <w:pPr>
        <w:pStyle w:val="2"/>
        <w:spacing w:line="360" w:lineRule="auto"/>
        <w:ind w:firstLineChars="200"/>
        <w:rPr>
          <w:rFonts w:ascii="宋体" w:hAnsi="宋体"/>
          <w:szCs w:val="21"/>
        </w:rPr>
      </w:pPr>
      <w:r>
        <w:rPr>
          <w:rFonts w:hint="eastAsia" w:ascii="宋体" w:hAnsi="宋体"/>
          <w:szCs w:val="21"/>
        </w:rPr>
        <w:t>（2）采集数据完整性分析，分析排污企业用电监测点安装是否完整，包括无监管点位、无总用电监测点、无产污设施或产污设施无对应监管点、产污设施未设置阈值、无治污设施或治污设施无对应监管点等各种问题。</w:t>
      </w:r>
    </w:p>
    <w:p w14:paraId="1ECD68D5">
      <w:pPr>
        <w:pStyle w:val="2"/>
        <w:spacing w:line="360" w:lineRule="auto"/>
        <w:ind w:firstLineChars="200"/>
        <w:rPr>
          <w:rFonts w:ascii="宋体" w:hAnsi="宋体"/>
          <w:szCs w:val="21"/>
        </w:rPr>
      </w:pPr>
      <w:r>
        <w:rPr>
          <w:rFonts w:hint="eastAsia" w:ascii="宋体" w:hAnsi="宋体"/>
          <w:szCs w:val="21"/>
        </w:rPr>
        <w:t>（3）采集数据质量分析，分析采集数据是否有错误及异常数据，包括治污设施未设置阈值、联网后无上报数据、电量为负、点位日电量大于25倍点位日最大负荷、电量异常偏大、生产设施和治理设施电量之和大于企业总电量、功率为负值、功率为恒定值、行业未选择行业小类、</w:t>
      </w:r>
      <w:r>
        <w:rPr>
          <w:rFonts w:hint="eastAsia" w:ascii="宋体" w:hAnsi="宋体"/>
          <w:color w:val="000000"/>
          <w:szCs w:val="21"/>
        </w:rPr>
        <w:t>社会信用代码</w:t>
      </w:r>
      <w:r>
        <w:rPr>
          <w:rFonts w:hint="eastAsia" w:ascii="宋体" w:hAnsi="宋体"/>
          <w:szCs w:val="21"/>
        </w:rPr>
        <w:t>为空等各种问题。</w:t>
      </w:r>
    </w:p>
    <w:p w14:paraId="3847C2A7">
      <w:pPr>
        <w:pStyle w:val="2"/>
        <w:spacing w:line="360" w:lineRule="auto"/>
        <w:ind w:firstLineChars="200"/>
        <w:rPr>
          <w:rFonts w:ascii="宋体" w:hAnsi="宋体"/>
          <w:szCs w:val="21"/>
        </w:rPr>
      </w:pPr>
      <w:r>
        <w:rPr>
          <w:rFonts w:hint="eastAsia" w:ascii="宋体" w:hAnsi="宋体"/>
          <w:szCs w:val="21"/>
        </w:rPr>
        <w:t>5.日常用电运维监控</w:t>
      </w:r>
    </w:p>
    <w:p w14:paraId="12FD1A1B">
      <w:pPr>
        <w:pStyle w:val="2"/>
        <w:spacing w:line="360" w:lineRule="auto"/>
        <w:ind w:firstLineChars="200"/>
        <w:rPr>
          <w:rFonts w:ascii="宋体" w:hAnsi="宋体"/>
          <w:szCs w:val="21"/>
        </w:rPr>
      </w:pPr>
      <w:r>
        <w:rPr>
          <w:rFonts w:hint="eastAsia" w:ascii="宋体" w:hAnsi="宋体"/>
          <w:szCs w:val="21"/>
        </w:rPr>
        <w:t>保障系统正常运行而必须要做的日常保障性工作，主要工作有：</w:t>
      </w:r>
    </w:p>
    <w:p w14:paraId="6E066B99">
      <w:pPr>
        <w:pStyle w:val="2"/>
        <w:spacing w:line="360" w:lineRule="auto"/>
        <w:ind w:firstLineChars="200"/>
        <w:rPr>
          <w:rFonts w:ascii="宋体" w:hAnsi="宋体"/>
          <w:szCs w:val="21"/>
        </w:rPr>
      </w:pPr>
      <w:r>
        <w:rPr>
          <w:rFonts w:hint="eastAsia" w:ascii="宋体" w:hAnsi="宋体"/>
          <w:szCs w:val="21"/>
        </w:rPr>
        <w:t>（1）根据系统阈值模型、关联分析模型，对系统参数进行配置，保障企业用电异常时及治理设施非正常运行时准确、及时告警。</w:t>
      </w:r>
    </w:p>
    <w:p w14:paraId="5D299C49">
      <w:pPr>
        <w:pStyle w:val="2"/>
        <w:spacing w:line="360" w:lineRule="auto"/>
        <w:ind w:firstLineChars="200"/>
        <w:rPr>
          <w:rFonts w:ascii="宋体" w:hAnsi="宋体"/>
          <w:szCs w:val="21"/>
        </w:rPr>
      </w:pPr>
      <w:r>
        <w:rPr>
          <w:rFonts w:hint="eastAsia" w:ascii="宋体" w:hAnsi="宋体"/>
          <w:szCs w:val="21"/>
        </w:rPr>
        <w:t>（2）系统前台监督管理，监控系统中涉气排污单位治理设施用电状态及日常运行工况。</w:t>
      </w:r>
    </w:p>
    <w:p w14:paraId="54502588">
      <w:pPr>
        <w:pStyle w:val="2"/>
        <w:spacing w:line="360" w:lineRule="auto"/>
        <w:ind w:firstLineChars="200"/>
        <w:rPr>
          <w:rFonts w:ascii="宋体" w:hAnsi="宋体"/>
          <w:szCs w:val="21"/>
        </w:rPr>
      </w:pPr>
      <w:r>
        <w:rPr>
          <w:rFonts w:hint="eastAsia" w:ascii="宋体" w:hAnsi="宋体"/>
          <w:szCs w:val="21"/>
        </w:rPr>
        <w:t>（3）针对用户进行业务问题解答。</w:t>
      </w:r>
    </w:p>
    <w:p w14:paraId="5A1EDDCE">
      <w:pPr>
        <w:pStyle w:val="2"/>
        <w:spacing w:line="360" w:lineRule="auto"/>
        <w:ind w:firstLineChars="200"/>
        <w:rPr>
          <w:rFonts w:ascii="宋体" w:hAnsi="宋体"/>
          <w:szCs w:val="21"/>
        </w:rPr>
      </w:pPr>
      <w:r>
        <w:rPr>
          <w:rFonts w:hint="eastAsia" w:ascii="宋体" w:hAnsi="宋体"/>
          <w:szCs w:val="21"/>
        </w:rPr>
        <w:t>（4）为西安市生态环境局及企业用户开设账号、分配权限。</w:t>
      </w:r>
    </w:p>
    <w:p w14:paraId="48C0B2F2">
      <w:pPr>
        <w:pStyle w:val="2"/>
        <w:spacing w:line="360" w:lineRule="auto"/>
        <w:ind w:firstLineChars="200"/>
        <w:rPr>
          <w:rFonts w:ascii="宋体" w:hAnsi="宋体"/>
          <w:szCs w:val="21"/>
        </w:rPr>
      </w:pPr>
      <w:r>
        <w:rPr>
          <w:rFonts w:hint="eastAsia" w:ascii="宋体" w:hAnsi="宋体"/>
          <w:szCs w:val="21"/>
        </w:rPr>
        <w:t>（5）配合完成</w:t>
      </w:r>
      <w:r>
        <w:rPr>
          <w:rFonts w:hint="eastAsia" w:ascii="宋体" w:hAnsi="宋体"/>
          <w:color w:val="000000"/>
          <w:szCs w:val="21"/>
        </w:rPr>
        <w:t>甲方</w:t>
      </w:r>
      <w:r>
        <w:rPr>
          <w:rFonts w:hint="eastAsia" w:ascii="宋体" w:hAnsi="宋体"/>
          <w:szCs w:val="21"/>
        </w:rPr>
        <w:t>日常的统计分析报表（</w:t>
      </w:r>
      <w:r>
        <w:rPr>
          <w:rFonts w:hint="eastAsia" w:ascii="宋体" w:hAnsi="宋体"/>
          <w:color w:val="000000"/>
          <w:szCs w:val="21"/>
        </w:rPr>
        <w:t>包括日报表、周报表、月报表、系统运行异常信息事件报送、系统运行异常事件跟踪管理等报表</w:t>
      </w:r>
      <w:r>
        <w:rPr>
          <w:rFonts w:hint="eastAsia" w:ascii="宋体" w:hAnsi="宋体"/>
          <w:szCs w:val="21"/>
        </w:rPr>
        <w:t>），以及完成特殊的查询统计需求。</w:t>
      </w:r>
    </w:p>
    <w:p w14:paraId="04D8F6E3">
      <w:pPr>
        <w:pStyle w:val="2"/>
        <w:spacing w:line="360" w:lineRule="auto"/>
        <w:ind w:firstLineChars="200"/>
        <w:rPr>
          <w:rFonts w:ascii="宋体" w:hAnsi="宋体"/>
          <w:szCs w:val="21"/>
        </w:rPr>
      </w:pPr>
      <w:r>
        <w:rPr>
          <w:rFonts w:hint="eastAsia" w:ascii="宋体" w:hAnsi="宋体"/>
          <w:szCs w:val="21"/>
        </w:rPr>
        <w:t>6.大气污染管控支持</w:t>
      </w:r>
    </w:p>
    <w:p w14:paraId="7B196292">
      <w:pPr>
        <w:pStyle w:val="2"/>
        <w:spacing w:line="360" w:lineRule="auto"/>
        <w:ind w:firstLineChars="200"/>
        <w:rPr>
          <w:rFonts w:ascii="宋体" w:hAnsi="宋体"/>
          <w:szCs w:val="21"/>
        </w:rPr>
      </w:pPr>
      <w:r>
        <w:rPr>
          <w:rFonts w:hint="eastAsia" w:ascii="宋体" w:hAnsi="宋体"/>
          <w:szCs w:val="21"/>
        </w:rPr>
        <w:t>秋冬季重污染天气期间，</w:t>
      </w:r>
      <w:r>
        <w:rPr>
          <w:rFonts w:hint="eastAsia" w:ascii="宋体" w:hAnsi="宋体"/>
          <w:color w:val="000000"/>
          <w:szCs w:val="21"/>
        </w:rPr>
        <w:t>驻场</w:t>
      </w:r>
      <w:r>
        <w:rPr>
          <w:rFonts w:hint="eastAsia" w:ascii="宋体" w:hAnsi="宋体"/>
          <w:szCs w:val="21"/>
        </w:rPr>
        <w:t>运维人员协助西安市生态环境局进行大气污染管控，主要工作有：</w:t>
      </w:r>
    </w:p>
    <w:p w14:paraId="3F33C407">
      <w:pPr>
        <w:pStyle w:val="2"/>
        <w:spacing w:line="360" w:lineRule="auto"/>
        <w:ind w:firstLineChars="200"/>
        <w:rPr>
          <w:rFonts w:ascii="宋体" w:hAnsi="宋体"/>
          <w:szCs w:val="21"/>
        </w:rPr>
      </w:pPr>
      <w:r>
        <w:rPr>
          <w:rFonts w:hint="eastAsia" w:ascii="宋体" w:hAnsi="宋体"/>
          <w:szCs w:val="21"/>
        </w:rPr>
        <w:t>（1）大气污染管控方案培训支持。</w:t>
      </w:r>
    </w:p>
    <w:p w14:paraId="7CCB36CA">
      <w:pPr>
        <w:pStyle w:val="2"/>
        <w:spacing w:line="360" w:lineRule="auto"/>
        <w:ind w:firstLineChars="200"/>
        <w:rPr>
          <w:rFonts w:ascii="宋体" w:hAnsi="宋体"/>
          <w:szCs w:val="21"/>
        </w:rPr>
      </w:pPr>
      <w:r>
        <w:rPr>
          <w:rFonts w:hint="eastAsia" w:ascii="宋体" w:hAnsi="宋体"/>
          <w:szCs w:val="21"/>
        </w:rPr>
        <w:t>（2）依据大气污染管控模型及相关实时计算算法，协助西安市生态环境局将大气污染管控方案分解</w:t>
      </w:r>
      <w:r>
        <w:rPr>
          <w:rFonts w:hint="eastAsia" w:ascii="宋体" w:hAnsi="宋体"/>
          <w:color w:val="000000"/>
          <w:szCs w:val="21"/>
        </w:rPr>
        <w:t>、</w:t>
      </w:r>
      <w:r>
        <w:rPr>
          <w:rFonts w:hint="eastAsia" w:ascii="宋体" w:hAnsi="宋体"/>
          <w:szCs w:val="21"/>
        </w:rPr>
        <w:t>转化为企业具体管控措施，同时根据需要进行系统功能的调整修改及二次开发。</w:t>
      </w:r>
    </w:p>
    <w:p w14:paraId="31A4F658">
      <w:pPr>
        <w:pStyle w:val="2"/>
        <w:spacing w:line="360" w:lineRule="auto"/>
        <w:ind w:firstLineChars="200"/>
        <w:rPr>
          <w:rFonts w:ascii="宋体" w:hAnsi="宋体"/>
          <w:szCs w:val="21"/>
        </w:rPr>
      </w:pPr>
      <w:r>
        <w:rPr>
          <w:rFonts w:hint="eastAsia" w:ascii="宋体" w:hAnsi="宋体"/>
          <w:szCs w:val="21"/>
        </w:rPr>
        <w:t>（3）监控企业执行大气污染管控方案情况，遇到问题及时予以指导。</w:t>
      </w:r>
    </w:p>
    <w:p w14:paraId="7D5C80B6">
      <w:pPr>
        <w:pStyle w:val="2"/>
        <w:spacing w:line="360" w:lineRule="auto"/>
        <w:ind w:firstLineChars="200"/>
        <w:rPr>
          <w:rFonts w:ascii="宋体" w:hAnsi="宋体"/>
          <w:szCs w:val="21"/>
        </w:rPr>
      </w:pPr>
      <w:r>
        <w:rPr>
          <w:rFonts w:hint="eastAsia" w:ascii="宋体" w:hAnsi="宋体"/>
          <w:szCs w:val="21"/>
        </w:rPr>
        <w:t>（4）协助处理大气污染管控期间系统可能发生的各种问题，保障大气污染管控的顺利执行。</w:t>
      </w:r>
    </w:p>
    <w:p w14:paraId="5BBE755F">
      <w:pPr>
        <w:pStyle w:val="2"/>
        <w:spacing w:line="360" w:lineRule="auto"/>
        <w:ind w:firstLineChars="200"/>
        <w:rPr>
          <w:rFonts w:ascii="宋体" w:hAnsi="宋体"/>
          <w:szCs w:val="21"/>
        </w:rPr>
      </w:pPr>
      <w:r>
        <w:rPr>
          <w:rFonts w:hint="eastAsia" w:ascii="宋体" w:hAnsi="宋体"/>
          <w:szCs w:val="21"/>
        </w:rPr>
        <w:t>7.应用系统升级改造</w:t>
      </w:r>
    </w:p>
    <w:p w14:paraId="5E56C713">
      <w:pPr>
        <w:pStyle w:val="2"/>
        <w:spacing w:line="360" w:lineRule="auto"/>
        <w:ind w:firstLineChars="200"/>
        <w:rPr>
          <w:rFonts w:ascii="宋体" w:hAnsi="宋体"/>
          <w:color w:val="000000"/>
          <w:szCs w:val="21"/>
        </w:rPr>
      </w:pPr>
      <w:r>
        <w:rPr>
          <w:rFonts w:hint="eastAsia" w:ascii="宋体" w:hAnsi="宋体"/>
          <w:szCs w:val="21"/>
        </w:rPr>
        <w:t>系统在使用过程中，可能需要对其中的部分功能内容进行修改、调整，</w:t>
      </w:r>
      <w:r>
        <w:rPr>
          <w:rFonts w:hint="eastAsia" w:ascii="宋体" w:hAnsi="宋体"/>
          <w:color w:val="000000"/>
          <w:szCs w:val="21"/>
        </w:rPr>
        <w:t>驻场</w:t>
      </w:r>
      <w:r>
        <w:rPr>
          <w:rFonts w:hint="eastAsia" w:ascii="宋体" w:hAnsi="宋体"/>
          <w:szCs w:val="21"/>
        </w:rPr>
        <w:t>运维人员需要沟通供应商公司，对应用系统进行升级改造，</w:t>
      </w:r>
      <w:r>
        <w:rPr>
          <w:rFonts w:hint="eastAsia" w:ascii="宋体" w:hAnsi="宋体"/>
          <w:color w:val="000000"/>
          <w:szCs w:val="21"/>
        </w:rPr>
        <w:t>包括对采购人在使用应用系统过程中的升级改造需求进行认真调研，并形成相应的需求文档；将采购人系统升级改造需求反馈到供应商公司，协调、督促供应商进行升级改造研发；对研发好的升级改造功能进行测试，保证系统开发质量。</w:t>
      </w:r>
    </w:p>
    <w:p w14:paraId="55F8D1D6">
      <w:pPr>
        <w:pStyle w:val="2"/>
        <w:spacing w:line="360" w:lineRule="auto"/>
        <w:ind w:firstLineChars="200"/>
        <w:rPr>
          <w:rFonts w:ascii="宋体" w:hAnsi="宋体"/>
          <w:szCs w:val="21"/>
        </w:rPr>
      </w:pPr>
      <w:r>
        <w:rPr>
          <w:rFonts w:hint="eastAsia" w:ascii="宋体" w:hAnsi="宋体"/>
          <w:szCs w:val="21"/>
        </w:rPr>
        <w:t>8.故障发现及处理</w:t>
      </w:r>
    </w:p>
    <w:p w14:paraId="669AD4C5">
      <w:pPr>
        <w:pStyle w:val="2"/>
        <w:spacing w:line="360" w:lineRule="auto"/>
        <w:ind w:firstLineChars="200"/>
        <w:rPr>
          <w:rFonts w:ascii="宋体" w:hAnsi="宋体"/>
          <w:color w:val="000000"/>
          <w:szCs w:val="21"/>
        </w:rPr>
      </w:pPr>
      <w:r>
        <w:rPr>
          <w:rFonts w:hint="eastAsia" w:ascii="宋体" w:hAnsi="宋体"/>
          <w:szCs w:val="21"/>
        </w:rPr>
        <w:t>当应用系统出现程序错误时，</w:t>
      </w:r>
      <w:r>
        <w:rPr>
          <w:rFonts w:hint="eastAsia" w:ascii="宋体" w:hAnsi="宋体"/>
          <w:color w:val="000000"/>
          <w:szCs w:val="21"/>
        </w:rPr>
        <w:t>驻场</w:t>
      </w:r>
      <w:r>
        <w:rPr>
          <w:rFonts w:hint="eastAsia" w:ascii="宋体" w:hAnsi="宋体"/>
          <w:szCs w:val="21"/>
        </w:rPr>
        <w:t>运维人员应在第一时间做出响应，并立即启动相应的处理流程，通知采购方负责人，详细描述故障现象和可能的发生原因以及建议的解决办法，保证系统能在最短的时间内恢复基本运行。</w:t>
      </w:r>
    </w:p>
    <w:p w14:paraId="57410FFF">
      <w:pPr>
        <w:pStyle w:val="2"/>
        <w:spacing w:line="360" w:lineRule="auto"/>
        <w:ind w:firstLineChars="200"/>
        <w:rPr>
          <w:rFonts w:ascii="宋体" w:hAnsi="宋体"/>
          <w:color w:val="000000"/>
          <w:szCs w:val="21"/>
        </w:rPr>
      </w:pPr>
      <w:r>
        <w:rPr>
          <w:rFonts w:hint="eastAsia" w:ascii="宋体" w:hAnsi="宋体"/>
          <w:color w:val="000000"/>
          <w:szCs w:val="21"/>
        </w:rPr>
        <w:t>（</w:t>
      </w:r>
      <w:r>
        <w:rPr>
          <w:rFonts w:hint="eastAsia" w:ascii="宋体" w:hAnsi="宋体"/>
          <w:color w:val="000000"/>
          <w:szCs w:val="21"/>
          <w:lang w:val="en-US" w:eastAsia="zh-CN"/>
        </w:rPr>
        <w:t>1</w:t>
      </w:r>
      <w:r>
        <w:rPr>
          <w:rFonts w:hint="eastAsia" w:ascii="宋体" w:hAnsi="宋体"/>
          <w:color w:val="000000"/>
          <w:szCs w:val="21"/>
        </w:rPr>
        <w:t>）程序类故障：</w:t>
      </w:r>
    </w:p>
    <w:p w14:paraId="4E0F4D70">
      <w:pPr>
        <w:pStyle w:val="2"/>
        <w:spacing w:line="360" w:lineRule="auto"/>
        <w:ind w:firstLineChars="200"/>
        <w:rPr>
          <w:rFonts w:ascii="宋体" w:hAnsi="宋体"/>
          <w:color w:val="000000"/>
          <w:szCs w:val="21"/>
        </w:rPr>
      </w:pPr>
      <w:r>
        <w:rPr>
          <w:rFonts w:hint="eastAsia" w:ascii="宋体" w:hAnsi="宋体"/>
          <w:color w:val="000000"/>
          <w:szCs w:val="21"/>
        </w:rPr>
        <w:t>包括程序错误和程序优化，如软件处理方式与实际的业务处理方式不符或者软件性能已经不能满足正常的使用等。</w:t>
      </w:r>
    </w:p>
    <w:p w14:paraId="5C80DAED">
      <w:pPr>
        <w:pStyle w:val="2"/>
        <w:spacing w:line="360" w:lineRule="auto"/>
        <w:ind w:firstLineChars="200"/>
        <w:rPr>
          <w:rFonts w:ascii="宋体" w:hAnsi="宋体"/>
          <w:color w:val="000000"/>
          <w:szCs w:val="21"/>
        </w:rPr>
      </w:pPr>
      <w:r>
        <w:rPr>
          <w:rFonts w:ascii="宋体" w:hAnsi="宋体"/>
          <w:color w:val="000000"/>
          <w:szCs w:val="21"/>
        </w:rPr>
        <w:t>驻场运维人员接收到问题，并确认是程序错误后，给出临时解决办法，并反馈到供应商公司对程序进行修改或者变更。</w:t>
      </w:r>
    </w:p>
    <w:p w14:paraId="06B9EDEA">
      <w:pPr>
        <w:pStyle w:val="2"/>
        <w:spacing w:line="360" w:lineRule="auto"/>
        <w:ind w:firstLineChars="200"/>
        <w:rPr>
          <w:rFonts w:ascii="宋体" w:hAnsi="宋体"/>
          <w:color w:val="000000"/>
          <w:szCs w:val="21"/>
        </w:rPr>
      </w:pPr>
      <w:r>
        <w:rPr>
          <w:rFonts w:hint="eastAsia" w:ascii="宋体" w:hAnsi="宋体"/>
          <w:color w:val="000000"/>
          <w:szCs w:val="21"/>
        </w:rPr>
        <w:t>（</w:t>
      </w:r>
      <w:r>
        <w:rPr>
          <w:rFonts w:hint="eastAsia" w:ascii="宋体" w:hAnsi="宋体"/>
          <w:color w:val="000000"/>
          <w:szCs w:val="21"/>
          <w:lang w:val="en-US" w:eastAsia="zh-CN"/>
        </w:rPr>
        <w:t>2</w:t>
      </w:r>
      <w:r>
        <w:rPr>
          <w:rFonts w:hint="eastAsia" w:ascii="宋体" w:hAnsi="宋体"/>
          <w:color w:val="000000"/>
          <w:szCs w:val="21"/>
        </w:rPr>
        <w:t>）业务类故障：</w:t>
      </w:r>
    </w:p>
    <w:p w14:paraId="04FACDC3">
      <w:pPr>
        <w:pStyle w:val="2"/>
        <w:spacing w:line="360" w:lineRule="auto"/>
        <w:ind w:firstLineChars="200"/>
        <w:rPr>
          <w:rFonts w:ascii="宋体" w:hAnsi="宋体"/>
          <w:color w:val="4BACC6"/>
          <w:szCs w:val="21"/>
        </w:rPr>
      </w:pPr>
      <w:r>
        <w:rPr>
          <w:rFonts w:hint="eastAsia" w:ascii="宋体" w:hAnsi="宋体"/>
          <w:color w:val="000000"/>
          <w:szCs w:val="21"/>
        </w:rPr>
        <w:t>驻场运维人员及时处理系统运行过程中的各种业务故障，如经确认是当前未能明确的业务问题时，及时将该故障转发采购方后方业务支持团队进行处理。</w:t>
      </w:r>
    </w:p>
    <w:p w14:paraId="0682903D">
      <w:pPr>
        <w:pStyle w:val="2"/>
        <w:spacing w:line="360" w:lineRule="auto"/>
        <w:ind w:firstLineChars="200"/>
        <w:rPr>
          <w:rFonts w:ascii="宋体" w:hAnsi="宋体"/>
          <w:szCs w:val="21"/>
        </w:rPr>
      </w:pPr>
      <w:r>
        <w:rPr>
          <w:rFonts w:hint="eastAsia" w:ascii="宋体" w:hAnsi="宋体"/>
          <w:szCs w:val="21"/>
        </w:rPr>
        <w:t>9.人员培训及指导</w:t>
      </w:r>
    </w:p>
    <w:p w14:paraId="6DAFB341">
      <w:pPr>
        <w:pStyle w:val="2"/>
        <w:spacing w:line="360" w:lineRule="auto"/>
        <w:ind w:firstLineChars="200"/>
        <w:rPr>
          <w:rFonts w:ascii="宋体" w:hAnsi="宋体"/>
          <w:szCs w:val="21"/>
        </w:rPr>
      </w:pPr>
      <w:r>
        <w:rPr>
          <w:rFonts w:hint="eastAsia" w:ascii="宋体" w:hAnsi="宋体"/>
          <w:szCs w:val="21"/>
        </w:rPr>
        <w:t>西安市生态环境局人员对用电监控系统的基本操作和业务流程操作不熟悉，造成业务处理无法正常进行时，运维支持人员指导业务人员完成操作。根据西安市生态环境局业务需要，针对有共性的问题应该进行提炼和总结，形成维护知识库。制定培训计划及培训方案，对采购方相关人员进行培训及指导，提高业务人员工作技能。每次应用系统进行大的升级改造后，提供针对性的培训。</w:t>
      </w:r>
    </w:p>
    <w:p w14:paraId="33A09FD1">
      <w:pPr>
        <w:pStyle w:val="2"/>
        <w:spacing w:line="360" w:lineRule="auto"/>
        <w:ind w:firstLineChars="200"/>
        <w:rPr>
          <w:rFonts w:ascii="宋体" w:hAnsi="宋体"/>
          <w:szCs w:val="21"/>
        </w:rPr>
      </w:pPr>
      <w:r>
        <w:rPr>
          <w:rFonts w:hint="eastAsia" w:ascii="宋体" w:hAnsi="宋体"/>
          <w:szCs w:val="21"/>
        </w:rPr>
        <w:t>10.其他工作内容</w:t>
      </w:r>
    </w:p>
    <w:p w14:paraId="356AB1C0">
      <w:pPr>
        <w:pStyle w:val="2"/>
        <w:spacing w:line="360" w:lineRule="auto"/>
        <w:ind w:firstLineChars="200"/>
        <w:rPr>
          <w:rFonts w:ascii="宋体" w:hAnsi="宋体"/>
          <w:szCs w:val="21"/>
        </w:rPr>
      </w:pPr>
      <w:r>
        <w:rPr>
          <w:rFonts w:hint="eastAsia" w:ascii="宋体" w:hAnsi="宋体"/>
          <w:szCs w:val="21"/>
        </w:rPr>
        <w:t>协助制定系统运维规章制度。定期检查运维制度的执行和落实情况，并提出改造意见，保障各项制度的有效落实。</w:t>
      </w:r>
    </w:p>
    <w:p w14:paraId="515391F6">
      <w:pPr>
        <w:pStyle w:val="2"/>
        <w:spacing w:line="360" w:lineRule="auto"/>
        <w:ind w:firstLineChars="200"/>
        <w:rPr>
          <w:rFonts w:ascii="宋体" w:hAnsi="宋体"/>
          <w:szCs w:val="21"/>
        </w:rPr>
      </w:pPr>
      <w:r>
        <w:rPr>
          <w:rFonts w:hint="eastAsia" w:ascii="宋体" w:hAnsi="宋体"/>
          <w:szCs w:val="21"/>
        </w:rPr>
        <w:t>二、运维服务要求</w:t>
      </w:r>
    </w:p>
    <w:p w14:paraId="5D4620F4">
      <w:pPr>
        <w:pStyle w:val="2"/>
        <w:spacing w:line="360" w:lineRule="auto"/>
        <w:ind w:firstLineChars="200"/>
        <w:rPr>
          <w:rFonts w:ascii="宋体" w:hAnsi="宋体"/>
          <w:szCs w:val="21"/>
        </w:rPr>
      </w:pPr>
      <w:r>
        <w:rPr>
          <w:rFonts w:hint="eastAsia" w:ascii="宋体" w:hAnsi="宋体"/>
          <w:szCs w:val="21"/>
        </w:rPr>
        <w:t>2.1运维平台</w:t>
      </w:r>
    </w:p>
    <w:p w14:paraId="3A2F5B6B">
      <w:pPr>
        <w:pStyle w:val="2"/>
        <w:spacing w:line="360" w:lineRule="auto"/>
        <w:ind w:firstLineChars="200"/>
        <w:rPr>
          <w:rFonts w:ascii="宋体" w:hAnsi="宋体"/>
          <w:szCs w:val="21"/>
        </w:rPr>
      </w:pPr>
      <w:r>
        <w:rPr>
          <w:rFonts w:hint="eastAsia" w:ascii="宋体" w:hAnsi="宋体"/>
          <w:szCs w:val="21"/>
        </w:rPr>
        <w:t>建立一个集中的运维监控管理平台，以“全面监控、准确预警、及时通知、快速解决”的方式，主动发现故障隐患，迅速定位故障，及时预警，及时通知及消除隐患，快速排除故障；记录所有监控数据，有案可查，便于进行系统的、科学的分析和总结。</w:t>
      </w:r>
    </w:p>
    <w:p w14:paraId="2A2C6A8C">
      <w:pPr>
        <w:pStyle w:val="2"/>
        <w:spacing w:line="360" w:lineRule="auto"/>
        <w:ind w:firstLineChars="200"/>
        <w:rPr>
          <w:rFonts w:ascii="宋体" w:hAnsi="宋体"/>
          <w:szCs w:val="21"/>
        </w:rPr>
      </w:pPr>
      <w:r>
        <w:rPr>
          <w:rFonts w:hint="eastAsia" w:ascii="宋体" w:hAnsi="宋体"/>
          <w:szCs w:val="21"/>
        </w:rPr>
        <w:t>2.2热线电话</w:t>
      </w:r>
    </w:p>
    <w:p w14:paraId="03E95B1C">
      <w:pPr>
        <w:pStyle w:val="2"/>
        <w:spacing w:line="360" w:lineRule="auto"/>
        <w:ind w:firstLineChars="200"/>
        <w:rPr>
          <w:rFonts w:ascii="宋体" w:hAnsi="宋体"/>
          <w:szCs w:val="21"/>
        </w:rPr>
      </w:pPr>
      <w:r>
        <w:rPr>
          <w:rFonts w:hint="eastAsia" w:ascii="宋体" w:hAnsi="宋体"/>
          <w:szCs w:val="21"/>
        </w:rPr>
        <w:t>提供服务热线电话，热线电话提供7×24小时不间断的技术支持及24小时电话技术援助响应。</w:t>
      </w:r>
    </w:p>
    <w:p w14:paraId="2EA3D86C">
      <w:pPr>
        <w:pStyle w:val="2"/>
        <w:spacing w:line="360" w:lineRule="auto"/>
        <w:ind w:firstLineChars="200"/>
        <w:rPr>
          <w:rFonts w:ascii="宋体" w:hAnsi="宋体"/>
          <w:szCs w:val="21"/>
        </w:rPr>
      </w:pPr>
      <w:r>
        <w:rPr>
          <w:rFonts w:hint="eastAsia" w:ascii="宋体" w:hAnsi="宋体"/>
          <w:szCs w:val="21"/>
        </w:rPr>
        <w:t>现场运维服务小组负责人手机24小时开机，以手机、电话、微信、邮件等方式提供24小时的在线服务，以保障对用户需求的及时响应。</w:t>
      </w:r>
    </w:p>
    <w:p w14:paraId="7A17A627">
      <w:pPr>
        <w:pStyle w:val="2"/>
        <w:spacing w:line="360" w:lineRule="auto"/>
        <w:ind w:firstLineChars="200"/>
        <w:rPr>
          <w:rFonts w:ascii="宋体" w:hAnsi="宋体"/>
          <w:szCs w:val="21"/>
        </w:rPr>
      </w:pPr>
      <w:r>
        <w:rPr>
          <w:rFonts w:hint="eastAsia" w:ascii="宋体" w:hAnsi="宋体"/>
          <w:szCs w:val="21"/>
        </w:rPr>
        <w:t>2.3运维方式</w:t>
      </w:r>
    </w:p>
    <w:p w14:paraId="2F574BAC">
      <w:pPr>
        <w:pStyle w:val="2"/>
        <w:spacing w:line="360" w:lineRule="auto"/>
        <w:ind w:firstLineChars="200"/>
        <w:rPr>
          <w:rFonts w:ascii="宋体" w:hAnsi="宋体"/>
          <w:szCs w:val="21"/>
        </w:rPr>
      </w:pPr>
      <w:r>
        <w:rPr>
          <w:rFonts w:hint="eastAsia" w:ascii="宋体" w:hAnsi="宋体"/>
          <w:szCs w:val="21"/>
        </w:rPr>
        <w:t>供应商应组织经验丰富的咨询、研发、工程、服务人员建立运维服务团队，对系统运维工作进行远程指导及现场运维。</w:t>
      </w:r>
    </w:p>
    <w:p w14:paraId="15485407">
      <w:pPr>
        <w:pStyle w:val="2"/>
        <w:spacing w:line="360" w:lineRule="auto"/>
        <w:ind w:firstLineChars="200"/>
        <w:rPr>
          <w:rFonts w:ascii="宋体" w:hAnsi="宋体"/>
          <w:szCs w:val="21"/>
        </w:rPr>
      </w:pPr>
      <w:r>
        <w:rPr>
          <w:rFonts w:hint="eastAsia" w:ascii="宋体" w:hAnsi="宋体"/>
          <w:szCs w:val="21"/>
        </w:rPr>
        <w:t>供应商提供的运维方式为远程指导与现场运维相结合的方式。</w:t>
      </w:r>
    </w:p>
    <w:p w14:paraId="6B60BF7F">
      <w:pPr>
        <w:pStyle w:val="2"/>
        <w:spacing w:line="360" w:lineRule="auto"/>
        <w:ind w:firstLineChars="200"/>
        <w:rPr>
          <w:rFonts w:ascii="宋体" w:hAnsi="宋体"/>
          <w:szCs w:val="21"/>
        </w:rPr>
      </w:pPr>
      <w:r>
        <w:rPr>
          <w:rFonts w:hint="eastAsia" w:ascii="宋体" w:hAnsi="宋体"/>
          <w:szCs w:val="21"/>
        </w:rPr>
        <w:t>现场运维在本地设立常驻运维服务机构并派驻本地服务人员，本合同期内派遣2人（含）在西安市生态环境局进行驻场服务。</w:t>
      </w:r>
    </w:p>
    <w:p w14:paraId="0659AA3E">
      <w:pPr>
        <w:pStyle w:val="2"/>
        <w:spacing w:line="360" w:lineRule="auto"/>
        <w:ind w:firstLineChars="200"/>
        <w:rPr>
          <w:rFonts w:ascii="宋体" w:hAnsi="宋体"/>
          <w:color w:val="000000"/>
          <w:szCs w:val="21"/>
        </w:rPr>
      </w:pPr>
      <w:r>
        <w:rPr>
          <w:rFonts w:hint="eastAsia" w:ascii="宋体" w:hAnsi="宋体"/>
          <w:color w:val="000000"/>
          <w:szCs w:val="21"/>
        </w:rPr>
        <w:t>2.4服务承诺</w:t>
      </w:r>
    </w:p>
    <w:p w14:paraId="37532B40">
      <w:pPr>
        <w:pStyle w:val="2"/>
        <w:spacing w:line="360" w:lineRule="auto"/>
        <w:ind w:firstLineChars="200"/>
        <w:rPr>
          <w:rFonts w:ascii="宋体" w:hAnsi="宋体"/>
          <w:color w:val="000000"/>
          <w:szCs w:val="21"/>
        </w:rPr>
      </w:pPr>
      <w:r>
        <w:rPr>
          <w:rFonts w:hint="eastAsia" w:ascii="宋体" w:hAnsi="宋体"/>
          <w:color w:val="000000"/>
          <w:szCs w:val="21"/>
        </w:rPr>
        <w:t>在采购单位提出服务要求后，供应商单位应解答用户在系统使用中遇到的问题，提出排除故障的建议和操作方法。如有些问题驻场工作人员无法解决，则供应商将通过电话支持进行解决；如电话支持无法解决，乙方必须在报修48小时内派工程师到用户方现场解决故障。故障修复完成后，乙方应进行详细的测试与验收，确保故障彻底解决，并向甲方提交测试报告。若故障修复后15天内再次出现相同问题，乙方应承担全部责任并免费重新修复。</w:t>
      </w:r>
    </w:p>
    <w:p w14:paraId="3D7FFA6A">
      <w:pPr>
        <w:pStyle w:val="2"/>
        <w:spacing w:line="360" w:lineRule="auto"/>
        <w:ind w:firstLineChars="200"/>
        <w:rPr>
          <w:rFonts w:ascii="宋体" w:hAnsi="宋体"/>
          <w:color w:val="000000"/>
          <w:szCs w:val="21"/>
        </w:rPr>
      </w:pPr>
      <w:r>
        <w:rPr>
          <w:rFonts w:hint="eastAsia" w:ascii="宋体" w:hAnsi="宋体"/>
          <w:color w:val="000000"/>
          <w:szCs w:val="21"/>
        </w:rPr>
        <w:t>三、项目团队要求</w:t>
      </w:r>
    </w:p>
    <w:p w14:paraId="1E1449DE">
      <w:pPr>
        <w:pStyle w:val="2"/>
        <w:spacing w:line="360" w:lineRule="auto"/>
        <w:ind w:firstLineChars="200"/>
        <w:rPr>
          <w:rFonts w:ascii="宋体" w:hAnsi="宋体"/>
          <w:color w:val="000000"/>
          <w:szCs w:val="21"/>
          <w:lang w:val="zh-CN"/>
        </w:rPr>
      </w:pPr>
      <w:r>
        <w:rPr>
          <w:rFonts w:ascii="宋体" w:hAnsi="宋体"/>
          <w:color w:val="000000"/>
          <w:szCs w:val="21"/>
          <w:lang w:val="zh-CN"/>
        </w:rPr>
        <w:t>3</w:t>
      </w:r>
      <w:r>
        <w:rPr>
          <w:rFonts w:hint="eastAsia" w:ascii="宋体" w:hAnsi="宋体"/>
          <w:color w:val="000000"/>
          <w:szCs w:val="21"/>
          <w:lang w:val="zh-CN"/>
        </w:rPr>
        <w:t>.1为保障运维项目的顺利实施，供应商须建设后方支撑运维团队及现场驻场运维团队。供应商</w:t>
      </w:r>
      <w:r>
        <w:rPr>
          <w:rFonts w:hint="eastAsia" w:ascii="宋体" w:hAnsi="宋体"/>
          <w:color w:val="000000"/>
          <w:szCs w:val="21"/>
          <w:lang w:val="en-US" w:eastAsia="zh-CN"/>
        </w:rPr>
        <w:t>应</w:t>
      </w:r>
      <w:r>
        <w:rPr>
          <w:rFonts w:hint="eastAsia" w:ascii="宋体" w:hAnsi="宋体"/>
          <w:color w:val="000000"/>
          <w:szCs w:val="21"/>
          <w:lang w:val="zh-CN"/>
        </w:rPr>
        <w:t>安排具备丰富项目管理经验和</w:t>
      </w:r>
      <w:r>
        <w:rPr>
          <w:rFonts w:hint="eastAsia" w:ascii="宋体" w:hAnsi="宋体"/>
          <w:color w:val="000000"/>
          <w:szCs w:val="21"/>
          <w:lang w:val="en-US" w:eastAsia="zh-CN"/>
        </w:rPr>
        <w:t>专业技能的</w:t>
      </w:r>
      <w:r>
        <w:rPr>
          <w:rFonts w:hint="eastAsia" w:ascii="宋体" w:hAnsi="宋体"/>
          <w:color w:val="000000"/>
          <w:szCs w:val="21"/>
          <w:lang w:val="zh-CN"/>
        </w:rPr>
        <w:t>专职项目经理，</w:t>
      </w:r>
      <w:r>
        <w:rPr>
          <w:rFonts w:hint="eastAsia" w:ascii="宋体" w:hAnsi="宋体"/>
          <w:color w:val="000000"/>
          <w:szCs w:val="21"/>
          <w:lang w:val="en-US" w:eastAsia="zh-CN"/>
        </w:rPr>
        <w:t>并配备</w:t>
      </w:r>
      <w:r>
        <w:rPr>
          <w:rFonts w:hint="eastAsia" w:ascii="宋体" w:hAnsi="宋体"/>
          <w:color w:val="000000"/>
          <w:szCs w:val="21"/>
          <w:lang w:val="zh-CN"/>
        </w:rPr>
        <w:t>足够</w:t>
      </w:r>
      <w:r>
        <w:rPr>
          <w:rFonts w:hint="eastAsia" w:ascii="宋体" w:hAnsi="宋体"/>
          <w:color w:val="000000"/>
          <w:szCs w:val="21"/>
          <w:lang w:val="en-US" w:eastAsia="zh-CN"/>
        </w:rPr>
        <w:t>数量</w:t>
      </w:r>
      <w:r>
        <w:rPr>
          <w:rFonts w:hint="eastAsia" w:ascii="宋体" w:hAnsi="宋体"/>
          <w:color w:val="000000"/>
          <w:szCs w:val="21"/>
          <w:lang w:val="zh-CN"/>
        </w:rPr>
        <w:t>的高素质专业技术人员参</w:t>
      </w:r>
      <w:r>
        <w:rPr>
          <w:rFonts w:hint="eastAsia" w:ascii="宋体" w:hAnsi="宋体"/>
          <w:color w:val="000000"/>
          <w:szCs w:val="21"/>
          <w:lang w:val="en-US" w:eastAsia="zh-CN"/>
        </w:rPr>
        <w:t>与</w:t>
      </w:r>
      <w:r>
        <w:rPr>
          <w:rFonts w:hint="eastAsia" w:ascii="宋体" w:hAnsi="宋体"/>
          <w:color w:val="000000"/>
          <w:szCs w:val="21"/>
          <w:lang w:val="zh-CN"/>
        </w:rPr>
        <w:t>本项目运维工作。项目团队人员配置合理，从组织和管理上保证整个项目统一规划，统一管理，统一标准。</w:t>
      </w:r>
    </w:p>
    <w:p w14:paraId="7952A55E">
      <w:pPr>
        <w:pStyle w:val="2"/>
        <w:spacing w:line="360" w:lineRule="auto"/>
        <w:ind w:firstLineChars="200"/>
        <w:rPr>
          <w:rFonts w:ascii="宋体" w:hAnsi="宋体"/>
          <w:color w:val="000000"/>
          <w:szCs w:val="21"/>
          <w:lang w:val="zh-CN"/>
        </w:rPr>
      </w:pPr>
      <w:r>
        <w:rPr>
          <w:rFonts w:ascii="宋体" w:hAnsi="宋体"/>
          <w:color w:val="000000"/>
          <w:szCs w:val="21"/>
          <w:lang w:val="zh-CN"/>
        </w:rPr>
        <w:t>3</w:t>
      </w:r>
      <w:r>
        <w:rPr>
          <w:rFonts w:hint="eastAsia" w:ascii="宋体" w:hAnsi="宋体"/>
          <w:color w:val="000000"/>
          <w:szCs w:val="21"/>
          <w:lang w:val="zh-CN"/>
        </w:rPr>
        <w:t>.2后方支撑运维团队由经验丰富的咨询、研发、工程人员组成，以便能更好地进行项目管理。</w:t>
      </w:r>
    </w:p>
    <w:p w14:paraId="1EFDC86B">
      <w:pPr>
        <w:pStyle w:val="2"/>
        <w:spacing w:line="360" w:lineRule="auto"/>
        <w:ind w:firstLineChars="200"/>
        <w:rPr>
          <w:rFonts w:ascii="宋体" w:hAnsi="宋体"/>
          <w:color w:val="000000"/>
          <w:szCs w:val="21"/>
          <w:lang w:val="zh-CN"/>
        </w:rPr>
      </w:pPr>
      <w:r>
        <w:rPr>
          <w:rFonts w:ascii="宋体" w:hAnsi="宋体"/>
          <w:color w:val="000000"/>
          <w:szCs w:val="21"/>
          <w:lang w:val="zh-CN"/>
        </w:rPr>
        <w:t>3</w:t>
      </w:r>
      <w:r>
        <w:rPr>
          <w:rFonts w:hint="eastAsia" w:ascii="宋体" w:hAnsi="宋体"/>
          <w:color w:val="000000"/>
          <w:szCs w:val="21"/>
          <w:lang w:val="zh-CN"/>
        </w:rPr>
        <w:t>.3项目经理须具有丰富的项目管理及运营服务工作经验，项目经理全程负责本项目工作，不得无故更换,项目组成员一经确认，如需变更需征得采购人批准。</w:t>
      </w:r>
    </w:p>
    <w:p w14:paraId="1C11459A">
      <w:pPr>
        <w:pStyle w:val="2"/>
        <w:spacing w:line="360" w:lineRule="auto"/>
        <w:ind w:firstLineChars="200"/>
        <w:rPr>
          <w:rFonts w:ascii="宋体" w:hAnsi="宋体"/>
          <w:color w:val="000000"/>
          <w:szCs w:val="21"/>
          <w:lang w:val="zh-CN"/>
        </w:rPr>
      </w:pPr>
      <w:r>
        <w:rPr>
          <w:rFonts w:ascii="宋体" w:hAnsi="宋体"/>
          <w:color w:val="000000"/>
          <w:szCs w:val="21"/>
          <w:lang w:val="zh-CN"/>
        </w:rPr>
        <w:t>3</w:t>
      </w:r>
      <w:r>
        <w:rPr>
          <w:rFonts w:hint="eastAsia" w:ascii="宋体" w:hAnsi="宋体"/>
          <w:color w:val="000000"/>
          <w:szCs w:val="21"/>
          <w:lang w:val="zh-CN"/>
        </w:rPr>
        <w:t>.4供应商应具有较强的本地化服务能力，能在本地提供持续的服务，非本地成交供应商须在本地配有较强的技术队伍，并配备足够数量的高素质专业技术人员，以确保运维服务的质量和可靠性。</w:t>
      </w:r>
    </w:p>
    <w:p w14:paraId="039CBC5A">
      <w:pPr>
        <w:pStyle w:val="2"/>
        <w:spacing w:line="360" w:lineRule="auto"/>
        <w:ind w:firstLineChars="200"/>
        <w:rPr>
          <w:rFonts w:ascii="宋体" w:hAnsi="宋体"/>
          <w:color w:val="000000"/>
          <w:szCs w:val="21"/>
          <w:lang w:val="zh-CN"/>
        </w:rPr>
      </w:pPr>
      <w:r>
        <w:rPr>
          <w:rFonts w:ascii="宋体" w:hAnsi="宋体"/>
          <w:color w:val="000000"/>
          <w:szCs w:val="21"/>
          <w:lang w:val="zh-CN"/>
        </w:rPr>
        <w:t>3</w:t>
      </w:r>
      <w:r>
        <w:rPr>
          <w:rFonts w:hint="eastAsia" w:ascii="宋体" w:hAnsi="宋体"/>
          <w:color w:val="000000"/>
          <w:szCs w:val="21"/>
          <w:lang w:val="zh-CN"/>
        </w:rPr>
        <w:t>.5驻场运维人员组织</w:t>
      </w:r>
    </w:p>
    <w:p w14:paraId="0B78A1B1">
      <w:pPr>
        <w:pStyle w:val="2"/>
        <w:spacing w:line="360" w:lineRule="auto"/>
        <w:ind w:firstLineChars="200"/>
        <w:rPr>
          <w:rFonts w:ascii="宋体" w:hAnsi="宋体"/>
          <w:color w:val="000000"/>
          <w:szCs w:val="21"/>
          <w:highlight w:val="yellow"/>
          <w:lang w:val="zh-CN"/>
        </w:rPr>
      </w:pPr>
      <w:r>
        <w:rPr>
          <w:rFonts w:ascii="宋体" w:hAnsi="宋体"/>
          <w:color w:val="000000"/>
          <w:szCs w:val="21"/>
          <w:lang w:val="zh-CN"/>
        </w:rPr>
        <w:t>3</w:t>
      </w:r>
      <w:r>
        <w:rPr>
          <w:rFonts w:hint="eastAsia" w:ascii="宋体" w:hAnsi="宋体"/>
          <w:color w:val="000000"/>
          <w:szCs w:val="21"/>
          <w:lang w:val="zh-CN"/>
        </w:rPr>
        <w:t>.5.1岗位设置</w:t>
      </w:r>
    </w:p>
    <w:p w14:paraId="24E28262">
      <w:pPr>
        <w:pStyle w:val="2"/>
        <w:spacing w:line="360" w:lineRule="auto"/>
        <w:ind w:firstLineChars="200"/>
        <w:rPr>
          <w:rFonts w:ascii="宋体" w:hAnsi="宋体"/>
          <w:color w:val="000000"/>
          <w:szCs w:val="21"/>
          <w:lang w:val="zh-CN"/>
        </w:rPr>
      </w:pPr>
      <w:r>
        <w:rPr>
          <w:rFonts w:hint="eastAsia" w:ascii="宋体" w:hAnsi="宋体"/>
          <w:color w:val="000000"/>
          <w:szCs w:val="21"/>
          <w:lang w:val="zh-CN"/>
        </w:rPr>
        <w:t>驻场运维人员设置运维负责人岗位1人和业务运维岗1人。2个岗位的岗位职责、岗位标准及岗位纪律如下所示：</w:t>
      </w:r>
    </w:p>
    <w:p w14:paraId="6F70DB24">
      <w:pPr>
        <w:pStyle w:val="2"/>
        <w:spacing w:line="360" w:lineRule="auto"/>
        <w:ind w:firstLineChars="200"/>
        <w:rPr>
          <w:rFonts w:ascii="宋体" w:hAnsi="宋体"/>
          <w:color w:val="000000"/>
          <w:szCs w:val="21"/>
          <w:lang w:val="zh-CN"/>
        </w:rPr>
      </w:pPr>
      <w:r>
        <w:rPr>
          <w:rFonts w:ascii="宋体" w:hAnsi="宋体"/>
          <w:color w:val="000000"/>
          <w:szCs w:val="21"/>
          <w:lang w:val="zh-CN"/>
        </w:rPr>
        <w:t>3</w:t>
      </w:r>
      <w:r>
        <w:rPr>
          <w:rFonts w:hint="eastAsia" w:ascii="宋体" w:hAnsi="宋体"/>
          <w:color w:val="000000"/>
          <w:szCs w:val="21"/>
          <w:lang w:val="zh-CN"/>
        </w:rPr>
        <w:t>.5.2岗位职责</w:t>
      </w:r>
    </w:p>
    <w:p w14:paraId="3373B0B0">
      <w:pPr>
        <w:pStyle w:val="2"/>
        <w:numPr>
          <w:ilvl w:val="0"/>
          <w:numId w:val="1"/>
        </w:numPr>
        <w:spacing w:line="360" w:lineRule="auto"/>
        <w:rPr>
          <w:rFonts w:ascii="宋体" w:hAnsi="宋体"/>
          <w:color w:val="000000"/>
          <w:szCs w:val="21"/>
          <w:lang w:val="zh-CN"/>
        </w:rPr>
      </w:pPr>
      <w:r>
        <w:rPr>
          <w:rFonts w:hint="eastAsia" w:ascii="宋体" w:hAnsi="宋体"/>
          <w:color w:val="000000"/>
          <w:szCs w:val="21"/>
          <w:lang w:val="zh-CN"/>
        </w:rPr>
        <w:t>运维负责人：</w:t>
      </w:r>
    </w:p>
    <w:p w14:paraId="17744B22">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全面负责驻场运维团队的管理，代表服务商与业主方进行沟通协调；</w:t>
      </w:r>
    </w:p>
    <w:p w14:paraId="75C9A0D2">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制定现场运维实施计划，组织编写定期报告；</w:t>
      </w:r>
    </w:p>
    <w:p w14:paraId="714143DE">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精通用电监控系统，并能进行各项资源配置；</w:t>
      </w:r>
    </w:p>
    <w:p w14:paraId="43B8BD76">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对突发运维事件进行响应并及时处理。</w:t>
      </w:r>
    </w:p>
    <w:p w14:paraId="289CE1E5">
      <w:pPr>
        <w:pStyle w:val="2"/>
        <w:numPr>
          <w:ilvl w:val="0"/>
          <w:numId w:val="1"/>
        </w:numPr>
        <w:spacing w:line="360" w:lineRule="auto"/>
        <w:rPr>
          <w:rFonts w:ascii="宋体" w:hAnsi="宋体"/>
          <w:color w:val="000000"/>
          <w:szCs w:val="21"/>
          <w:lang w:val="zh-CN"/>
        </w:rPr>
      </w:pPr>
      <w:r>
        <w:rPr>
          <w:rFonts w:hint="eastAsia" w:ascii="宋体" w:hAnsi="宋体"/>
          <w:color w:val="000000"/>
          <w:szCs w:val="21"/>
          <w:lang w:val="zh-CN"/>
        </w:rPr>
        <w:t>业务运维岗：</w:t>
      </w:r>
    </w:p>
    <w:p w14:paraId="666300FB">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熟悉用电监控系统，能够对业务人员进行指导和培训；</w:t>
      </w:r>
    </w:p>
    <w:p w14:paraId="5940C3A0">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保障系统日常运行，对系统日常运行过程中的常见问题进行分析及进行处理；</w:t>
      </w:r>
    </w:p>
    <w:p w14:paraId="3FA51A0C">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对系统中的数据进行统计分析，协助用户进行环保监管；</w:t>
      </w:r>
    </w:p>
    <w:p w14:paraId="13E8837F">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对不能处理的系统问题，及时将问题向后台支撑服务团队反映并跟踪解决。</w:t>
      </w:r>
    </w:p>
    <w:p w14:paraId="703341DF">
      <w:pPr>
        <w:pStyle w:val="2"/>
        <w:spacing w:line="360" w:lineRule="auto"/>
        <w:ind w:firstLineChars="200"/>
        <w:rPr>
          <w:rFonts w:ascii="宋体" w:hAnsi="宋体"/>
          <w:color w:val="000000"/>
          <w:szCs w:val="21"/>
          <w:lang w:val="zh-CN"/>
        </w:rPr>
      </w:pPr>
      <w:r>
        <w:rPr>
          <w:rFonts w:ascii="宋体" w:hAnsi="宋体"/>
          <w:color w:val="000000"/>
          <w:szCs w:val="21"/>
          <w:lang w:val="zh-CN"/>
        </w:rPr>
        <w:t>3</w:t>
      </w:r>
      <w:r>
        <w:rPr>
          <w:rFonts w:hint="eastAsia" w:ascii="宋体" w:hAnsi="宋体"/>
          <w:color w:val="000000"/>
          <w:szCs w:val="21"/>
          <w:lang w:val="zh-CN"/>
        </w:rPr>
        <w:t>.5.3岗位标准</w:t>
      </w:r>
    </w:p>
    <w:p w14:paraId="0F9C2059">
      <w:pPr>
        <w:pStyle w:val="2"/>
        <w:numPr>
          <w:ilvl w:val="0"/>
          <w:numId w:val="1"/>
        </w:numPr>
        <w:spacing w:line="360" w:lineRule="auto"/>
        <w:rPr>
          <w:rFonts w:ascii="宋体" w:hAnsi="宋体"/>
          <w:color w:val="000000"/>
          <w:szCs w:val="21"/>
          <w:lang w:val="zh-CN"/>
        </w:rPr>
      </w:pPr>
      <w:r>
        <w:rPr>
          <w:rFonts w:hint="eastAsia" w:ascii="宋体" w:hAnsi="宋体"/>
          <w:color w:val="000000"/>
          <w:szCs w:val="21"/>
          <w:lang w:val="zh-CN"/>
        </w:rPr>
        <w:t>运维负责人：</w:t>
      </w:r>
    </w:p>
    <w:p w14:paraId="063BA71A">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具有全面的综合素质和协调沟通能力；</w:t>
      </w:r>
    </w:p>
    <w:p w14:paraId="167806E5">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具有处理突发事件的经验和能力；</w:t>
      </w:r>
    </w:p>
    <w:p w14:paraId="56B7707D">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熟悉系统的软硬件体系结构及部署，具备总结及分析能力。</w:t>
      </w:r>
    </w:p>
    <w:p w14:paraId="4500F316">
      <w:pPr>
        <w:pStyle w:val="2"/>
        <w:numPr>
          <w:ilvl w:val="0"/>
          <w:numId w:val="1"/>
        </w:numPr>
        <w:spacing w:line="360" w:lineRule="auto"/>
        <w:rPr>
          <w:rFonts w:ascii="宋体" w:hAnsi="宋体"/>
          <w:color w:val="000000"/>
          <w:szCs w:val="21"/>
          <w:lang w:val="zh-CN"/>
        </w:rPr>
      </w:pPr>
      <w:r>
        <w:rPr>
          <w:rFonts w:hint="eastAsia" w:ascii="宋体" w:hAnsi="宋体"/>
          <w:color w:val="000000"/>
          <w:szCs w:val="21"/>
          <w:lang w:val="zh-CN"/>
        </w:rPr>
        <w:t>业务运维岗：</w:t>
      </w:r>
    </w:p>
    <w:p w14:paraId="6399DEC3">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熟悉应用系统的操作、软件功能及业务流程；</w:t>
      </w:r>
    </w:p>
    <w:p w14:paraId="4D3C957E">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具备系统数据统计及分析能力；</w:t>
      </w:r>
    </w:p>
    <w:p w14:paraId="281E8949">
      <w:pPr>
        <w:pStyle w:val="2"/>
        <w:spacing w:line="360" w:lineRule="auto"/>
        <w:ind w:firstLine="840" w:firstLineChars="400"/>
        <w:rPr>
          <w:rFonts w:ascii="宋体" w:hAnsi="宋体"/>
          <w:color w:val="000000"/>
          <w:szCs w:val="21"/>
          <w:lang w:val="zh-CN"/>
        </w:rPr>
      </w:pPr>
      <w:r>
        <w:rPr>
          <w:rFonts w:hint="eastAsia" w:ascii="宋体" w:hAnsi="宋体"/>
          <w:color w:val="000000"/>
          <w:szCs w:val="21"/>
          <w:lang w:val="zh-CN"/>
        </w:rPr>
        <w:t>良好的沟通能力。</w:t>
      </w:r>
    </w:p>
    <w:p w14:paraId="12E801CC">
      <w:pPr>
        <w:pStyle w:val="2"/>
        <w:spacing w:line="360" w:lineRule="auto"/>
        <w:ind w:firstLineChars="200"/>
        <w:rPr>
          <w:rFonts w:ascii="宋体" w:hAnsi="宋体"/>
          <w:color w:val="000000"/>
          <w:szCs w:val="21"/>
          <w:lang w:val="zh-CN"/>
        </w:rPr>
      </w:pPr>
      <w:r>
        <w:rPr>
          <w:rFonts w:ascii="宋体" w:hAnsi="宋体"/>
          <w:color w:val="000000"/>
          <w:szCs w:val="21"/>
          <w:lang w:val="zh-CN"/>
        </w:rPr>
        <w:t>3</w:t>
      </w:r>
      <w:r>
        <w:rPr>
          <w:rFonts w:hint="eastAsia" w:ascii="宋体" w:hAnsi="宋体"/>
          <w:color w:val="000000"/>
          <w:szCs w:val="21"/>
          <w:lang w:val="zh-CN"/>
        </w:rPr>
        <w:t>.5.4岗位</w:t>
      </w:r>
      <w:r>
        <w:rPr>
          <w:rFonts w:hint="eastAsia" w:ascii="宋体" w:hAnsi="宋体"/>
          <w:color w:val="000000"/>
          <w:szCs w:val="21"/>
        </w:rPr>
        <w:t>要求</w:t>
      </w:r>
    </w:p>
    <w:p w14:paraId="21FE8CB6">
      <w:pPr>
        <w:spacing w:line="360" w:lineRule="auto"/>
        <w:ind w:firstLine="420" w:firstLineChars="200"/>
        <w:rPr>
          <w:rFonts w:ascii="宋体" w:hAnsi="宋体"/>
          <w:color w:val="000000"/>
          <w:szCs w:val="21"/>
          <w:lang w:val="zh-CN"/>
        </w:rPr>
      </w:pPr>
      <w:r>
        <w:rPr>
          <w:rFonts w:hint="eastAsia" w:ascii="宋体" w:hAnsi="宋体"/>
          <w:color w:val="000000"/>
          <w:szCs w:val="21"/>
          <w:lang w:val="zh-CN"/>
        </w:rPr>
        <w:t>驻场运维人员正常作息时间与局方保持一致，服从局方日常工作管理，由局方统一安排开展运行维护及技术支持工作。供应商应确保驻场运维人员的稳定性，避免频繁更换人员，以确保运维服务的质量和连续性。</w:t>
      </w:r>
    </w:p>
    <w:p w14:paraId="2A383405">
      <w:pPr>
        <w:pStyle w:val="2"/>
        <w:spacing w:line="360" w:lineRule="auto"/>
        <w:ind w:firstLineChars="200"/>
        <w:rPr>
          <w:rFonts w:ascii="宋体" w:hAnsi="宋体"/>
          <w:color w:val="000000"/>
          <w:szCs w:val="21"/>
          <w:lang w:val="zh-CN"/>
        </w:rPr>
      </w:pPr>
      <w:r>
        <w:rPr>
          <w:rFonts w:hint="eastAsia" w:ascii="宋体" w:hAnsi="宋体"/>
          <w:color w:val="000000"/>
          <w:szCs w:val="21"/>
          <w:lang w:val="zh-CN"/>
        </w:rPr>
        <w:t>根据</w:t>
      </w:r>
      <w:r>
        <w:rPr>
          <w:rFonts w:hint="eastAsia" w:ascii="宋体" w:hAnsi="宋体"/>
          <w:color w:val="000000"/>
          <w:szCs w:val="21"/>
          <w:lang w:val="en-US" w:eastAsia="zh-CN"/>
        </w:rPr>
        <w:t>甲</w:t>
      </w:r>
      <w:r>
        <w:rPr>
          <w:rFonts w:hint="eastAsia" w:ascii="宋体" w:hAnsi="宋体"/>
          <w:color w:val="000000"/>
          <w:szCs w:val="21"/>
          <w:lang w:val="zh-CN"/>
        </w:rPr>
        <w:t>方实际工作需要，参与包括节假日在内的必要加班和值班。</w:t>
      </w:r>
    </w:p>
    <w:p w14:paraId="18E40E33">
      <w:pPr>
        <w:pStyle w:val="2"/>
        <w:spacing w:line="360" w:lineRule="auto"/>
        <w:ind w:firstLineChars="200"/>
        <w:rPr>
          <w:rFonts w:ascii="宋体" w:hAnsi="宋体"/>
          <w:color w:val="000000"/>
          <w:szCs w:val="21"/>
          <w:lang w:val="zh-CN"/>
        </w:rPr>
      </w:pPr>
      <w:r>
        <w:rPr>
          <w:rFonts w:hint="eastAsia" w:ascii="宋体" w:hAnsi="宋体"/>
          <w:color w:val="000000"/>
          <w:szCs w:val="21"/>
          <w:lang w:val="zh-CN"/>
        </w:rPr>
        <w:t>3.5.5乙方承诺依法与驻场运维人员建立并妥善处理劳动关系，为驻场运维人员缴纳社会保险，驻场人员工作期间自身遭受损害或提起劳动争议等纠纷的，由乙方负责处理并承担责任，若因乙方或乙方工作人员原因造成甲方、甲方工作人员或第三人人身财产损害的，应由乙方承担赔偿责任。</w:t>
      </w:r>
    </w:p>
    <w:p w14:paraId="0CE9007E">
      <w:pPr>
        <w:pStyle w:val="2"/>
        <w:spacing w:line="360" w:lineRule="auto"/>
        <w:ind w:firstLineChars="200"/>
        <w:rPr>
          <w:rFonts w:ascii="宋体" w:hAnsi="宋体"/>
          <w:color w:val="000000"/>
          <w:szCs w:val="21"/>
          <w:lang w:val="zh-CN"/>
        </w:rPr>
      </w:pPr>
      <w:r>
        <w:rPr>
          <w:rFonts w:ascii="宋体" w:hAnsi="宋体"/>
          <w:color w:val="000000"/>
          <w:szCs w:val="21"/>
          <w:lang w:val="zh-CN"/>
        </w:rPr>
        <w:t>3</w:t>
      </w:r>
      <w:r>
        <w:rPr>
          <w:rFonts w:hint="eastAsia" w:ascii="宋体" w:hAnsi="宋体"/>
          <w:color w:val="000000"/>
          <w:szCs w:val="21"/>
          <w:lang w:val="zh-CN"/>
        </w:rPr>
        <w:t>.6人员变动要求</w:t>
      </w:r>
    </w:p>
    <w:p w14:paraId="510677C2">
      <w:pPr>
        <w:pStyle w:val="2"/>
        <w:spacing w:line="360" w:lineRule="auto"/>
        <w:ind w:firstLineChars="200"/>
        <w:rPr>
          <w:rFonts w:ascii="宋体" w:hAnsi="宋体"/>
          <w:szCs w:val="21"/>
        </w:rPr>
      </w:pPr>
      <w:r>
        <w:rPr>
          <w:rFonts w:hint="eastAsia" w:ascii="宋体" w:hAnsi="宋体"/>
          <w:color w:val="000000"/>
          <w:szCs w:val="21"/>
        </w:rPr>
        <w:t>供应方合同期内，运维人员如有调整，需提前一个月向用户提出《人员变更申请》，并详细说明更换原因及新人员的资质和经验。替换人员应具备与原驻场运维人员相同的资质和能力，以确保服务质量不受影响。供应商每年更换驻场运维人员不得超过</w:t>
      </w:r>
      <w:r>
        <w:rPr>
          <w:rFonts w:hint="eastAsia" w:ascii="宋体" w:hAnsi="宋体"/>
          <w:color w:val="000000"/>
          <w:szCs w:val="21"/>
          <w:lang w:val="en-US" w:eastAsia="zh-CN"/>
        </w:rPr>
        <w:t>两</w:t>
      </w:r>
      <w:r>
        <w:rPr>
          <w:rFonts w:hint="eastAsia" w:ascii="宋体" w:hAnsi="宋体"/>
          <w:color w:val="000000"/>
          <w:szCs w:val="21"/>
        </w:rPr>
        <w:t>次，且更换人员需具备同等或更高级别的专业技能和经验。在确认不影响运维工作的情况下，经采购方书面许可后，方可调换人员。</w:t>
      </w:r>
    </w:p>
    <w:p w14:paraId="5E221F0A">
      <w:pPr>
        <w:pStyle w:val="2"/>
        <w:spacing w:line="360" w:lineRule="auto"/>
        <w:ind w:firstLineChars="200"/>
        <w:rPr>
          <w:rFonts w:ascii="宋体" w:hAnsi="宋体"/>
          <w:szCs w:val="21"/>
        </w:rPr>
      </w:pPr>
      <w:r>
        <w:rPr>
          <w:rFonts w:hint="eastAsia" w:ascii="宋体" w:hAnsi="宋体"/>
          <w:szCs w:val="21"/>
        </w:rPr>
        <w:t>四、运维责任</w:t>
      </w:r>
    </w:p>
    <w:p w14:paraId="30DFE2E7">
      <w:pPr>
        <w:pStyle w:val="2"/>
        <w:spacing w:line="360" w:lineRule="auto"/>
        <w:ind w:firstLineChars="200"/>
        <w:rPr>
          <w:rFonts w:ascii="宋体" w:hAnsi="宋体"/>
          <w:szCs w:val="21"/>
        </w:rPr>
      </w:pPr>
      <w:r>
        <w:rPr>
          <w:rFonts w:hint="eastAsia" w:ascii="宋体" w:hAnsi="宋体"/>
          <w:szCs w:val="21"/>
        </w:rPr>
        <w:t>项目合同期内，供应商要严格遵守采购方的各项运维管理规章制度，做好数据保密和信息安全工作，严禁私自保存或获取、非法修改和外泄数据，因供应商工作人员人为造成数据和技术文档泄密的，供应商应承担全部责任。因工作失误造成重要故障损失的，或者对事故处理不当、不及时等给采购人造成损失的，应由供应商全部承担，包括但不限于直接损失、间接损失，为减少损失而产生的诉讼费用、保全费、鉴定费、律师费、差旅费等。</w:t>
      </w:r>
    </w:p>
    <w:p w14:paraId="0B86571C">
      <w:pPr>
        <w:pStyle w:val="2"/>
        <w:spacing w:line="360" w:lineRule="auto"/>
        <w:ind w:firstLineChars="200"/>
        <w:rPr>
          <w:rFonts w:ascii="宋体" w:hAnsi="宋体"/>
          <w:szCs w:val="21"/>
        </w:rPr>
      </w:pPr>
      <w:r>
        <w:rPr>
          <w:rFonts w:hint="eastAsia" w:ascii="宋体" w:hAnsi="宋体"/>
          <w:szCs w:val="21"/>
        </w:rPr>
        <w:t>五、运维响应时间要求</w:t>
      </w:r>
    </w:p>
    <w:p w14:paraId="0D1C3916">
      <w:pPr>
        <w:pStyle w:val="2"/>
        <w:spacing w:line="360" w:lineRule="auto"/>
        <w:ind w:firstLineChars="200"/>
        <w:rPr>
          <w:rFonts w:hint="eastAsia" w:ascii="宋体" w:hAnsi="宋体"/>
          <w:szCs w:val="21"/>
        </w:rPr>
      </w:pPr>
      <w:r>
        <w:rPr>
          <w:rFonts w:ascii="宋体" w:hAnsi="宋体"/>
          <w:szCs w:val="21"/>
        </w:rPr>
        <w:t>5</w:t>
      </w:r>
      <w:r>
        <w:rPr>
          <w:rFonts w:hint="eastAsia" w:ascii="宋体" w:hAnsi="宋体"/>
          <w:szCs w:val="21"/>
        </w:rPr>
        <w:t>.1维护响应时间</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2551"/>
        <w:gridCol w:w="3736"/>
      </w:tblGrid>
      <w:tr w14:paraId="19386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noWrap w:val="0"/>
            <w:vAlign w:val="top"/>
          </w:tcPr>
          <w:p w14:paraId="6DF24F99">
            <w:pPr>
              <w:spacing w:line="360" w:lineRule="auto"/>
              <w:jc w:val="center"/>
              <w:rPr>
                <w:rFonts w:ascii="宋体" w:hAnsi="宋体"/>
                <w:szCs w:val="21"/>
              </w:rPr>
            </w:pPr>
            <w:r>
              <w:rPr>
                <w:rFonts w:hint="eastAsia" w:ascii="宋体" w:hAnsi="宋体"/>
                <w:szCs w:val="21"/>
              </w:rPr>
              <w:t>支持类型</w:t>
            </w:r>
          </w:p>
        </w:tc>
        <w:tc>
          <w:tcPr>
            <w:tcW w:w="2551" w:type="dxa"/>
            <w:noWrap w:val="0"/>
            <w:vAlign w:val="top"/>
          </w:tcPr>
          <w:p w14:paraId="0818ED5F">
            <w:pPr>
              <w:spacing w:line="360" w:lineRule="auto"/>
              <w:jc w:val="center"/>
              <w:rPr>
                <w:rFonts w:ascii="宋体" w:hAnsi="宋体"/>
                <w:szCs w:val="21"/>
              </w:rPr>
            </w:pPr>
            <w:r>
              <w:rPr>
                <w:rFonts w:hint="eastAsia" w:ascii="宋体" w:hAnsi="宋体"/>
                <w:szCs w:val="21"/>
              </w:rPr>
              <w:t>响应标准</w:t>
            </w:r>
          </w:p>
        </w:tc>
        <w:tc>
          <w:tcPr>
            <w:tcW w:w="3736" w:type="dxa"/>
            <w:noWrap w:val="0"/>
            <w:vAlign w:val="top"/>
          </w:tcPr>
          <w:p w14:paraId="03E9B08B">
            <w:pPr>
              <w:spacing w:line="360" w:lineRule="auto"/>
              <w:jc w:val="center"/>
              <w:rPr>
                <w:rFonts w:ascii="宋体" w:hAnsi="宋体"/>
                <w:szCs w:val="21"/>
              </w:rPr>
            </w:pPr>
            <w:r>
              <w:rPr>
                <w:rFonts w:hint="eastAsia" w:ascii="宋体" w:hAnsi="宋体"/>
                <w:szCs w:val="21"/>
              </w:rPr>
              <w:t>备注</w:t>
            </w:r>
          </w:p>
        </w:tc>
      </w:tr>
      <w:tr w14:paraId="2D12C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noWrap w:val="0"/>
            <w:vAlign w:val="top"/>
          </w:tcPr>
          <w:p w14:paraId="68CEF00D">
            <w:pPr>
              <w:spacing w:line="360" w:lineRule="auto"/>
              <w:jc w:val="center"/>
              <w:rPr>
                <w:rFonts w:hint="default" w:ascii="宋体" w:hAnsi="宋体" w:eastAsia="宋体"/>
                <w:szCs w:val="21"/>
                <w:lang w:val="en-US" w:eastAsia="zh-CN"/>
              </w:rPr>
            </w:pPr>
            <w:r>
              <w:rPr>
                <w:rFonts w:hint="eastAsia" w:ascii="宋体" w:hAnsi="宋体"/>
                <w:szCs w:val="21"/>
                <w:lang w:val="en-US" w:eastAsia="zh-CN"/>
              </w:rPr>
              <w:t>操作问题解答</w:t>
            </w:r>
          </w:p>
        </w:tc>
        <w:tc>
          <w:tcPr>
            <w:tcW w:w="2551" w:type="dxa"/>
            <w:noWrap w:val="0"/>
            <w:vAlign w:val="top"/>
          </w:tcPr>
          <w:p w14:paraId="33B63DA8">
            <w:pPr>
              <w:spacing w:line="360" w:lineRule="auto"/>
              <w:jc w:val="center"/>
              <w:rPr>
                <w:rFonts w:ascii="宋体" w:hAnsi="宋体"/>
                <w:szCs w:val="21"/>
              </w:rPr>
            </w:pPr>
            <w:r>
              <w:rPr>
                <w:rFonts w:hint="eastAsia" w:ascii="宋体" w:hAnsi="宋体"/>
                <w:szCs w:val="21"/>
              </w:rPr>
              <w:t>现场及时</w:t>
            </w:r>
            <w:r>
              <w:rPr>
                <w:rFonts w:hint="eastAsia" w:ascii="宋体" w:hAnsi="宋体"/>
                <w:szCs w:val="21"/>
                <w:lang w:val="en-US" w:eastAsia="zh-CN"/>
              </w:rPr>
              <w:t>答复</w:t>
            </w:r>
          </w:p>
        </w:tc>
        <w:tc>
          <w:tcPr>
            <w:tcW w:w="3736" w:type="dxa"/>
            <w:noWrap w:val="0"/>
            <w:vAlign w:val="top"/>
          </w:tcPr>
          <w:p w14:paraId="5C99A06D">
            <w:pPr>
              <w:spacing w:line="360" w:lineRule="auto"/>
              <w:jc w:val="center"/>
              <w:rPr>
                <w:rFonts w:ascii="宋体" w:hAnsi="宋体"/>
                <w:szCs w:val="21"/>
              </w:rPr>
            </w:pPr>
            <w:r>
              <w:rPr>
                <w:rFonts w:hint="eastAsia" w:ascii="宋体" w:hAnsi="宋体"/>
                <w:szCs w:val="21"/>
              </w:rPr>
              <w:t>30分钟以内</w:t>
            </w:r>
          </w:p>
        </w:tc>
      </w:tr>
      <w:tr w14:paraId="75876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noWrap w:val="0"/>
            <w:vAlign w:val="top"/>
          </w:tcPr>
          <w:p w14:paraId="1DCC6EB9">
            <w:pPr>
              <w:spacing w:line="360" w:lineRule="auto"/>
              <w:jc w:val="center"/>
              <w:rPr>
                <w:rFonts w:hint="eastAsia" w:ascii="宋体" w:hAnsi="宋体"/>
                <w:szCs w:val="21"/>
              </w:rPr>
            </w:pPr>
            <w:r>
              <w:rPr>
                <w:rFonts w:hint="eastAsia" w:ascii="宋体" w:hAnsi="宋体"/>
                <w:color w:val="000000"/>
                <w:szCs w:val="21"/>
              </w:rPr>
              <w:t>数据修改</w:t>
            </w:r>
          </w:p>
        </w:tc>
        <w:tc>
          <w:tcPr>
            <w:tcW w:w="2551" w:type="dxa"/>
            <w:noWrap w:val="0"/>
            <w:vAlign w:val="top"/>
          </w:tcPr>
          <w:p w14:paraId="3393E7DD">
            <w:pPr>
              <w:spacing w:line="360" w:lineRule="auto"/>
              <w:jc w:val="center"/>
              <w:rPr>
                <w:rFonts w:hint="eastAsia" w:ascii="宋体" w:hAnsi="宋体"/>
                <w:szCs w:val="21"/>
              </w:rPr>
            </w:pPr>
            <w:r>
              <w:rPr>
                <w:rFonts w:hint="eastAsia" w:ascii="宋体" w:hAnsi="宋体"/>
                <w:color w:val="000000"/>
                <w:szCs w:val="21"/>
              </w:rPr>
              <w:t>小于2个工作日</w:t>
            </w:r>
          </w:p>
        </w:tc>
        <w:tc>
          <w:tcPr>
            <w:tcW w:w="3736" w:type="dxa"/>
            <w:noWrap w:val="0"/>
            <w:vAlign w:val="top"/>
          </w:tcPr>
          <w:p w14:paraId="5F19F58F">
            <w:pPr>
              <w:spacing w:line="360" w:lineRule="auto"/>
              <w:jc w:val="center"/>
              <w:rPr>
                <w:rFonts w:hint="eastAsia" w:ascii="宋体" w:hAnsi="宋体"/>
                <w:szCs w:val="21"/>
              </w:rPr>
            </w:pPr>
            <w:r>
              <w:rPr>
                <w:rFonts w:hint="eastAsia" w:ascii="宋体" w:hAnsi="宋体"/>
                <w:color w:val="000000"/>
                <w:szCs w:val="21"/>
              </w:rPr>
              <w:t>从问题流转到供应商方开始计算</w:t>
            </w:r>
          </w:p>
        </w:tc>
      </w:tr>
    </w:tbl>
    <w:p w14:paraId="19B0744C">
      <w:pPr>
        <w:pStyle w:val="2"/>
        <w:spacing w:line="360" w:lineRule="auto"/>
        <w:ind w:firstLineChars="200"/>
        <w:rPr>
          <w:rFonts w:hint="eastAsia" w:ascii="宋体" w:hAnsi="宋体"/>
          <w:szCs w:val="21"/>
          <w:lang w:eastAsia="zh-CN"/>
        </w:rPr>
      </w:pPr>
    </w:p>
    <w:p w14:paraId="0EF2DC3B">
      <w:pPr>
        <w:pStyle w:val="5"/>
        <w:spacing w:line="360" w:lineRule="auto"/>
        <w:ind w:firstLineChars="200"/>
        <w:rPr>
          <w:rFonts w:hint="eastAsia"/>
        </w:rPr>
      </w:pPr>
      <w:r>
        <w:rPr>
          <w:rFonts w:hint="eastAsia" w:ascii="宋体" w:hAnsi="宋体" w:eastAsia="宋体" w:cs="宋体"/>
        </w:rPr>
        <w:t>5.2</w:t>
      </w:r>
      <w:r>
        <w:rPr>
          <w:rFonts w:hint="eastAsia"/>
        </w:rPr>
        <w:t>故障响应时间</w:t>
      </w:r>
    </w:p>
    <w:tbl>
      <w:tblPr>
        <w:tblStyle w:val="6"/>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2979"/>
        <w:gridCol w:w="4356"/>
      </w:tblGrid>
      <w:tr w14:paraId="1D105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tcPr>
          <w:p w14:paraId="3D908FEC">
            <w:pPr>
              <w:spacing w:line="360" w:lineRule="auto"/>
              <w:jc w:val="center"/>
              <w:rPr>
                <w:rFonts w:ascii="宋体" w:hAnsi="宋体"/>
                <w:szCs w:val="21"/>
              </w:rPr>
            </w:pPr>
            <w:r>
              <w:rPr>
                <w:rFonts w:hint="eastAsia" w:ascii="宋体" w:hAnsi="宋体"/>
                <w:szCs w:val="21"/>
              </w:rPr>
              <w:t>故障等级</w:t>
            </w:r>
          </w:p>
        </w:tc>
        <w:tc>
          <w:tcPr>
            <w:tcW w:w="2979" w:type="dxa"/>
          </w:tcPr>
          <w:p w14:paraId="5CBB50A7">
            <w:pPr>
              <w:spacing w:line="360" w:lineRule="auto"/>
              <w:jc w:val="center"/>
              <w:rPr>
                <w:rFonts w:ascii="宋体" w:hAnsi="宋体"/>
                <w:szCs w:val="21"/>
              </w:rPr>
            </w:pPr>
            <w:r>
              <w:rPr>
                <w:rFonts w:hint="eastAsia" w:ascii="宋体" w:hAnsi="宋体"/>
                <w:szCs w:val="21"/>
              </w:rPr>
              <w:t>现场描述</w:t>
            </w:r>
          </w:p>
        </w:tc>
        <w:tc>
          <w:tcPr>
            <w:tcW w:w="4356" w:type="dxa"/>
          </w:tcPr>
          <w:p w14:paraId="18E66712">
            <w:pPr>
              <w:spacing w:line="360" w:lineRule="auto"/>
              <w:jc w:val="center"/>
              <w:rPr>
                <w:rFonts w:ascii="宋体" w:hAnsi="宋体"/>
                <w:szCs w:val="21"/>
              </w:rPr>
            </w:pPr>
            <w:r>
              <w:rPr>
                <w:rFonts w:hint="eastAsia" w:ascii="宋体" w:hAnsi="宋体"/>
                <w:szCs w:val="21"/>
              </w:rPr>
              <w:t>响应时间</w:t>
            </w:r>
          </w:p>
        </w:tc>
      </w:tr>
      <w:tr w14:paraId="35B94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14:paraId="3B3AD99E">
            <w:pPr>
              <w:spacing w:line="360" w:lineRule="auto"/>
              <w:jc w:val="center"/>
              <w:rPr>
                <w:rFonts w:ascii="宋体" w:hAnsi="宋体"/>
                <w:szCs w:val="21"/>
              </w:rPr>
            </w:pPr>
            <w:r>
              <w:rPr>
                <w:rFonts w:hint="eastAsia" w:ascii="宋体" w:hAnsi="宋体"/>
                <w:szCs w:val="21"/>
              </w:rPr>
              <w:t>非常严重</w:t>
            </w:r>
          </w:p>
        </w:tc>
        <w:tc>
          <w:tcPr>
            <w:tcW w:w="2979" w:type="dxa"/>
            <w:vAlign w:val="center"/>
          </w:tcPr>
          <w:p w14:paraId="14E25A48">
            <w:pPr>
              <w:spacing w:line="360" w:lineRule="auto"/>
              <w:rPr>
                <w:rFonts w:ascii="宋体" w:hAnsi="宋体"/>
                <w:szCs w:val="21"/>
              </w:rPr>
            </w:pPr>
            <w:r>
              <w:rPr>
                <w:rFonts w:hint="eastAsia" w:ascii="宋体" w:hAnsi="宋体"/>
                <w:szCs w:val="21"/>
              </w:rPr>
              <w:t>业务系统完全丧失服务功能，重要业务工作无法继续进行，如数据库宕机等</w:t>
            </w:r>
            <w:r>
              <w:rPr>
                <w:rFonts w:hint="eastAsia" w:ascii="宋体" w:hAnsi="宋体"/>
                <w:color w:val="000000"/>
                <w:szCs w:val="21"/>
              </w:rPr>
              <w:t>。</w:t>
            </w:r>
          </w:p>
        </w:tc>
        <w:tc>
          <w:tcPr>
            <w:tcW w:w="4356" w:type="dxa"/>
            <w:vAlign w:val="center"/>
          </w:tcPr>
          <w:p w14:paraId="6728C0DC">
            <w:pPr>
              <w:spacing w:line="360" w:lineRule="auto"/>
              <w:rPr>
                <w:rFonts w:ascii="宋体" w:hAnsi="宋体"/>
                <w:szCs w:val="21"/>
              </w:rPr>
            </w:pPr>
            <w:r>
              <w:rPr>
                <w:rFonts w:hint="eastAsia" w:ascii="宋体" w:hAnsi="宋体"/>
                <w:color w:val="000000"/>
                <w:szCs w:val="21"/>
              </w:rPr>
              <w:t>立即响应。</w:t>
            </w:r>
            <w:r>
              <w:rPr>
                <w:rFonts w:hint="eastAsia" w:ascii="宋体" w:hAnsi="宋体"/>
                <w:szCs w:val="21"/>
              </w:rPr>
              <w:t>非硬件故障和非系统软件本身故障引起的宕机40分钟内恢复系统运行。硬件故障和系统软件故障30分钟内通知厂商，主机故障解决时间要视厂商的解决时间，24小时内解决问题。</w:t>
            </w:r>
          </w:p>
        </w:tc>
      </w:tr>
      <w:tr w14:paraId="7351B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14:paraId="5D27FAF8">
            <w:pPr>
              <w:spacing w:line="360" w:lineRule="auto"/>
              <w:jc w:val="center"/>
              <w:rPr>
                <w:rFonts w:ascii="宋体" w:hAnsi="宋体"/>
                <w:szCs w:val="21"/>
              </w:rPr>
            </w:pPr>
            <w:r>
              <w:rPr>
                <w:rFonts w:hint="eastAsia" w:ascii="宋体" w:hAnsi="宋体"/>
                <w:szCs w:val="21"/>
              </w:rPr>
              <w:t>严重故障</w:t>
            </w:r>
          </w:p>
        </w:tc>
        <w:tc>
          <w:tcPr>
            <w:tcW w:w="2979" w:type="dxa"/>
            <w:vAlign w:val="center"/>
          </w:tcPr>
          <w:p w14:paraId="0BB855B7">
            <w:pPr>
              <w:spacing w:line="360" w:lineRule="auto"/>
              <w:rPr>
                <w:rFonts w:ascii="宋体" w:hAnsi="宋体"/>
                <w:szCs w:val="21"/>
              </w:rPr>
            </w:pPr>
            <w:r>
              <w:rPr>
                <w:rFonts w:hint="eastAsia" w:ascii="宋体" w:hAnsi="宋体"/>
                <w:szCs w:val="21"/>
              </w:rPr>
              <w:t>系统中关键功能实现错误，直接导致业务无法正常进行，并且无补救措施</w:t>
            </w:r>
            <w:r>
              <w:rPr>
                <w:rFonts w:hint="eastAsia" w:ascii="宋体" w:hAnsi="宋体"/>
                <w:color w:val="000000"/>
                <w:szCs w:val="21"/>
              </w:rPr>
              <w:t>。</w:t>
            </w:r>
          </w:p>
        </w:tc>
        <w:tc>
          <w:tcPr>
            <w:tcW w:w="4356" w:type="dxa"/>
            <w:vAlign w:val="center"/>
          </w:tcPr>
          <w:p w14:paraId="4A3F2440">
            <w:pPr>
              <w:spacing w:line="360" w:lineRule="auto"/>
              <w:rPr>
                <w:rFonts w:ascii="宋体" w:hAnsi="宋体"/>
                <w:szCs w:val="21"/>
              </w:rPr>
            </w:pPr>
            <w:r>
              <w:rPr>
                <w:rFonts w:hint="eastAsia" w:ascii="宋体" w:hAnsi="宋体"/>
                <w:szCs w:val="21"/>
              </w:rPr>
              <w:t>30分钟内响应，24小时内解决问题</w:t>
            </w:r>
            <w:r>
              <w:rPr>
                <w:rFonts w:hint="eastAsia" w:ascii="宋体" w:hAnsi="宋体"/>
                <w:color w:val="000000"/>
                <w:szCs w:val="21"/>
              </w:rPr>
              <w:t>。</w:t>
            </w:r>
          </w:p>
        </w:tc>
      </w:tr>
      <w:tr w14:paraId="3E0B1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14:paraId="40B31F69">
            <w:pPr>
              <w:spacing w:line="360" w:lineRule="auto"/>
              <w:jc w:val="center"/>
              <w:rPr>
                <w:rFonts w:ascii="宋体" w:hAnsi="宋体"/>
                <w:szCs w:val="21"/>
              </w:rPr>
            </w:pPr>
            <w:r>
              <w:rPr>
                <w:rFonts w:hint="eastAsia" w:ascii="宋体" w:hAnsi="宋体"/>
                <w:szCs w:val="21"/>
              </w:rPr>
              <w:t>中等故障</w:t>
            </w:r>
          </w:p>
        </w:tc>
        <w:tc>
          <w:tcPr>
            <w:tcW w:w="2979" w:type="dxa"/>
            <w:vAlign w:val="center"/>
          </w:tcPr>
          <w:p w14:paraId="628643E3">
            <w:pPr>
              <w:spacing w:line="360" w:lineRule="auto"/>
              <w:rPr>
                <w:rFonts w:ascii="宋体" w:hAnsi="宋体"/>
                <w:szCs w:val="21"/>
              </w:rPr>
            </w:pPr>
            <w:r>
              <w:rPr>
                <w:rFonts w:hint="eastAsia" w:ascii="宋体" w:hAnsi="宋体"/>
                <w:szCs w:val="21"/>
              </w:rPr>
              <w:t>系统中非关键功能实现错误，单一模块不能继续运转实现错误，但不影响业务的正常运行</w:t>
            </w:r>
            <w:r>
              <w:rPr>
                <w:rFonts w:hint="eastAsia" w:ascii="宋体" w:hAnsi="宋体"/>
                <w:color w:val="000000"/>
                <w:szCs w:val="21"/>
              </w:rPr>
              <w:t>。</w:t>
            </w:r>
          </w:p>
        </w:tc>
        <w:tc>
          <w:tcPr>
            <w:tcW w:w="4356" w:type="dxa"/>
            <w:vAlign w:val="center"/>
          </w:tcPr>
          <w:p w14:paraId="3C13E701">
            <w:pPr>
              <w:spacing w:line="360" w:lineRule="auto"/>
              <w:rPr>
                <w:rFonts w:ascii="宋体" w:hAnsi="宋体"/>
                <w:szCs w:val="21"/>
              </w:rPr>
            </w:pPr>
            <w:r>
              <w:rPr>
                <w:rFonts w:hint="eastAsia" w:ascii="宋体" w:hAnsi="宋体"/>
                <w:szCs w:val="21"/>
              </w:rPr>
              <w:t>30分钟内响应，12小时内解决问题</w:t>
            </w:r>
            <w:r>
              <w:rPr>
                <w:rFonts w:hint="eastAsia" w:ascii="宋体" w:hAnsi="宋体"/>
                <w:color w:val="000000"/>
                <w:szCs w:val="21"/>
              </w:rPr>
              <w:t>。</w:t>
            </w:r>
          </w:p>
        </w:tc>
      </w:tr>
      <w:tr w14:paraId="0C6B6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14:paraId="450E05D9">
            <w:pPr>
              <w:spacing w:line="360" w:lineRule="auto"/>
              <w:jc w:val="center"/>
              <w:rPr>
                <w:rFonts w:ascii="宋体" w:hAnsi="宋体"/>
                <w:szCs w:val="21"/>
              </w:rPr>
            </w:pPr>
            <w:r>
              <w:rPr>
                <w:rFonts w:hint="eastAsia" w:ascii="宋体" w:hAnsi="宋体"/>
                <w:szCs w:val="21"/>
              </w:rPr>
              <w:t>一般故障</w:t>
            </w:r>
          </w:p>
        </w:tc>
        <w:tc>
          <w:tcPr>
            <w:tcW w:w="2979" w:type="dxa"/>
            <w:vAlign w:val="center"/>
          </w:tcPr>
          <w:p w14:paraId="325E686A">
            <w:pPr>
              <w:spacing w:line="360" w:lineRule="auto"/>
              <w:rPr>
                <w:rFonts w:ascii="宋体" w:hAnsi="宋体"/>
                <w:szCs w:val="21"/>
              </w:rPr>
            </w:pPr>
            <w:r>
              <w:rPr>
                <w:rFonts w:hint="eastAsia" w:ascii="宋体" w:hAnsi="宋体"/>
                <w:szCs w:val="21"/>
              </w:rPr>
              <w:t>系统中非关键功能实现错误，如系统操作时间过程、界面需要改进等，但不影响系统正常运转</w:t>
            </w:r>
            <w:r>
              <w:rPr>
                <w:rFonts w:hint="eastAsia" w:ascii="宋体" w:hAnsi="宋体"/>
                <w:color w:val="000000"/>
                <w:szCs w:val="21"/>
              </w:rPr>
              <w:t>。</w:t>
            </w:r>
          </w:p>
        </w:tc>
        <w:tc>
          <w:tcPr>
            <w:tcW w:w="4356" w:type="dxa"/>
            <w:vAlign w:val="center"/>
          </w:tcPr>
          <w:p w14:paraId="22ABEC37">
            <w:pPr>
              <w:spacing w:line="360" w:lineRule="auto"/>
              <w:rPr>
                <w:rFonts w:ascii="宋体" w:hAnsi="宋体"/>
                <w:szCs w:val="21"/>
              </w:rPr>
            </w:pPr>
            <w:r>
              <w:rPr>
                <w:rFonts w:hint="eastAsia" w:ascii="宋体" w:hAnsi="宋体"/>
                <w:szCs w:val="21"/>
              </w:rPr>
              <w:t>30分钟内响应，6小时内解决问题。</w:t>
            </w:r>
          </w:p>
        </w:tc>
      </w:tr>
    </w:tbl>
    <w:p w14:paraId="41AA7654">
      <w:pPr>
        <w:pStyle w:val="2"/>
        <w:spacing w:line="360" w:lineRule="auto"/>
        <w:ind w:firstLineChars="200"/>
        <w:rPr>
          <w:rFonts w:ascii="宋体" w:hAnsi="宋体"/>
          <w:szCs w:val="21"/>
        </w:rPr>
      </w:pPr>
      <w:r>
        <w:rPr>
          <w:rFonts w:hint="eastAsia" w:ascii="宋体" w:hAnsi="宋体"/>
          <w:szCs w:val="21"/>
        </w:rPr>
        <w:t>六、服务指标要求</w:t>
      </w:r>
    </w:p>
    <w:p w14:paraId="5CA15C66">
      <w:pPr>
        <w:spacing w:line="360" w:lineRule="auto"/>
        <w:ind w:firstLine="420" w:firstLineChars="200"/>
        <w:rPr>
          <w:rFonts w:ascii="宋体" w:hAnsi="宋体"/>
          <w:szCs w:val="21"/>
        </w:rPr>
      </w:pPr>
      <w:r>
        <w:rPr>
          <w:rFonts w:hint="eastAsia" w:ascii="宋体" w:hAnsi="宋体"/>
          <w:szCs w:val="21"/>
        </w:rPr>
        <w:t>运维服务指标主要包括安全指标、服务质量要求、运行指标、用户满意度指标几个方面。</w:t>
      </w:r>
    </w:p>
    <w:p w14:paraId="4A5F4B2E">
      <w:pPr>
        <w:spacing w:line="360" w:lineRule="auto"/>
        <w:ind w:firstLine="420" w:firstLineChars="200"/>
        <w:rPr>
          <w:rFonts w:ascii="宋体" w:hAnsi="宋体"/>
          <w:szCs w:val="21"/>
        </w:rPr>
      </w:pPr>
      <w:r>
        <w:rPr>
          <w:rFonts w:hint="eastAsia" w:ascii="宋体" w:hAnsi="宋体"/>
          <w:color w:val="000000"/>
          <w:szCs w:val="21"/>
        </w:rPr>
        <w:t>6.1</w:t>
      </w:r>
      <w:r>
        <w:rPr>
          <w:rFonts w:hint="eastAsia" w:ascii="宋体" w:hAnsi="宋体"/>
          <w:szCs w:val="21"/>
        </w:rPr>
        <w:t>安全指标</w:t>
      </w:r>
    </w:p>
    <w:p w14:paraId="780B1742">
      <w:pPr>
        <w:spacing w:line="360" w:lineRule="auto"/>
        <w:ind w:firstLine="420" w:firstLineChars="200"/>
        <w:rPr>
          <w:rFonts w:ascii="宋体" w:hAnsi="宋体"/>
          <w:szCs w:val="21"/>
        </w:rPr>
      </w:pPr>
      <w:r>
        <w:rPr>
          <w:rFonts w:hint="eastAsia" w:ascii="宋体" w:hAnsi="宋体"/>
          <w:szCs w:val="21"/>
        </w:rPr>
        <w:t>（1）不发生被上级主管单位、部门考核的安全事件；</w:t>
      </w:r>
    </w:p>
    <w:p w14:paraId="69ADFD3A">
      <w:pPr>
        <w:spacing w:line="360" w:lineRule="auto"/>
        <w:ind w:firstLine="420" w:firstLineChars="200"/>
        <w:rPr>
          <w:rFonts w:ascii="宋体" w:hAnsi="宋体"/>
          <w:szCs w:val="21"/>
        </w:rPr>
      </w:pPr>
      <w:r>
        <w:rPr>
          <w:rFonts w:hint="eastAsia" w:ascii="宋体" w:hAnsi="宋体"/>
          <w:szCs w:val="21"/>
        </w:rPr>
        <w:t>（2）不发生数据丢失、泄密等重大安全事件。</w:t>
      </w:r>
    </w:p>
    <w:p w14:paraId="51B055CF">
      <w:pPr>
        <w:spacing w:line="360" w:lineRule="auto"/>
        <w:ind w:firstLine="420" w:firstLineChars="200"/>
        <w:rPr>
          <w:rFonts w:ascii="宋体" w:hAnsi="宋体"/>
          <w:szCs w:val="21"/>
        </w:rPr>
      </w:pPr>
      <w:r>
        <w:rPr>
          <w:rFonts w:hint="eastAsia" w:ascii="宋体" w:hAnsi="宋体"/>
          <w:color w:val="000000"/>
          <w:szCs w:val="21"/>
        </w:rPr>
        <w:t>6.2</w:t>
      </w:r>
      <w:r>
        <w:rPr>
          <w:rFonts w:hint="eastAsia" w:ascii="宋体" w:hAnsi="宋体"/>
          <w:szCs w:val="21"/>
        </w:rPr>
        <w:t>服务质量指标</w:t>
      </w:r>
    </w:p>
    <w:tbl>
      <w:tblPr>
        <w:tblStyle w:val="6"/>
        <w:tblW w:w="80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755"/>
        <w:gridCol w:w="2374"/>
        <w:gridCol w:w="1250"/>
        <w:gridCol w:w="1884"/>
      </w:tblGrid>
      <w:tr w14:paraId="6989D7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02" w:type="dxa"/>
            <w:tcBorders>
              <w:top w:val="single" w:color="auto" w:sz="12" w:space="0"/>
              <w:left w:val="single" w:color="auto" w:sz="12" w:space="0"/>
              <w:bottom w:val="single" w:color="auto" w:sz="4" w:space="0"/>
              <w:right w:val="single" w:color="auto" w:sz="4" w:space="0"/>
            </w:tcBorders>
            <w:shd w:val="clear" w:color="auto" w:fill="F3F3F3"/>
            <w:vAlign w:val="center"/>
          </w:tcPr>
          <w:p w14:paraId="73A935B4">
            <w:pPr>
              <w:jc w:val="center"/>
              <w:rPr>
                <w:rFonts w:ascii="宋体" w:hAnsi="宋体"/>
                <w:szCs w:val="21"/>
              </w:rPr>
            </w:pPr>
            <w:r>
              <w:rPr>
                <w:rFonts w:hint="eastAsia" w:ascii="宋体" w:hAnsi="宋体"/>
                <w:szCs w:val="21"/>
              </w:rPr>
              <w:t>序号</w:t>
            </w:r>
          </w:p>
        </w:tc>
        <w:tc>
          <w:tcPr>
            <w:tcW w:w="1755" w:type="dxa"/>
            <w:tcBorders>
              <w:top w:val="single" w:color="auto" w:sz="12" w:space="0"/>
              <w:left w:val="single" w:color="auto" w:sz="4" w:space="0"/>
              <w:bottom w:val="single" w:color="auto" w:sz="4" w:space="0"/>
              <w:right w:val="single" w:color="auto" w:sz="4" w:space="0"/>
            </w:tcBorders>
            <w:shd w:val="clear" w:color="auto" w:fill="F3F3F3"/>
            <w:vAlign w:val="center"/>
          </w:tcPr>
          <w:p w14:paraId="68D347FB">
            <w:pPr>
              <w:jc w:val="center"/>
              <w:rPr>
                <w:rFonts w:ascii="宋体" w:hAnsi="宋体"/>
                <w:szCs w:val="21"/>
              </w:rPr>
            </w:pPr>
            <w:r>
              <w:rPr>
                <w:rFonts w:hint="eastAsia" w:ascii="宋体" w:hAnsi="宋体"/>
                <w:szCs w:val="21"/>
              </w:rPr>
              <w:t>服务项目</w:t>
            </w:r>
          </w:p>
        </w:tc>
        <w:tc>
          <w:tcPr>
            <w:tcW w:w="2374" w:type="dxa"/>
            <w:tcBorders>
              <w:top w:val="single" w:color="auto" w:sz="12" w:space="0"/>
              <w:left w:val="single" w:color="auto" w:sz="4" w:space="0"/>
              <w:bottom w:val="single" w:color="auto" w:sz="4" w:space="0"/>
              <w:right w:val="single" w:color="auto" w:sz="4" w:space="0"/>
            </w:tcBorders>
            <w:shd w:val="clear" w:color="auto" w:fill="F3F3F3"/>
            <w:vAlign w:val="center"/>
          </w:tcPr>
          <w:p w14:paraId="1E7A08D7">
            <w:pPr>
              <w:jc w:val="center"/>
              <w:rPr>
                <w:rFonts w:ascii="宋体" w:hAnsi="宋体"/>
                <w:szCs w:val="21"/>
              </w:rPr>
            </w:pPr>
            <w:r>
              <w:rPr>
                <w:rFonts w:hint="eastAsia" w:ascii="宋体" w:hAnsi="宋体"/>
                <w:szCs w:val="21"/>
              </w:rPr>
              <w:t>服务度量指标</w:t>
            </w:r>
          </w:p>
        </w:tc>
        <w:tc>
          <w:tcPr>
            <w:tcW w:w="1250" w:type="dxa"/>
            <w:tcBorders>
              <w:top w:val="single" w:color="auto" w:sz="12" w:space="0"/>
              <w:left w:val="single" w:color="auto" w:sz="4" w:space="0"/>
              <w:bottom w:val="single" w:color="auto" w:sz="4" w:space="0"/>
              <w:right w:val="single" w:color="auto" w:sz="4" w:space="0"/>
            </w:tcBorders>
            <w:shd w:val="clear" w:color="auto" w:fill="F3F3F3"/>
            <w:vAlign w:val="center"/>
          </w:tcPr>
          <w:p w14:paraId="3C45A07F">
            <w:pPr>
              <w:jc w:val="center"/>
              <w:rPr>
                <w:rFonts w:ascii="宋体" w:hAnsi="宋体"/>
                <w:szCs w:val="21"/>
              </w:rPr>
            </w:pPr>
            <w:r>
              <w:rPr>
                <w:rFonts w:hint="eastAsia" w:ascii="宋体" w:hAnsi="宋体"/>
                <w:szCs w:val="21"/>
              </w:rPr>
              <w:t>标准</w:t>
            </w:r>
          </w:p>
        </w:tc>
        <w:tc>
          <w:tcPr>
            <w:tcW w:w="1884" w:type="dxa"/>
            <w:tcBorders>
              <w:top w:val="single" w:color="auto" w:sz="12" w:space="0"/>
              <w:left w:val="single" w:color="auto" w:sz="4" w:space="0"/>
              <w:bottom w:val="single" w:color="auto" w:sz="4" w:space="0"/>
              <w:right w:val="single" w:color="auto" w:sz="12" w:space="0"/>
            </w:tcBorders>
            <w:shd w:val="clear" w:color="auto" w:fill="F3F3F3"/>
            <w:vAlign w:val="center"/>
          </w:tcPr>
          <w:p w14:paraId="3AC3F0B4">
            <w:pPr>
              <w:jc w:val="center"/>
              <w:rPr>
                <w:rFonts w:ascii="宋体" w:hAnsi="宋体"/>
                <w:szCs w:val="21"/>
              </w:rPr>
            </w:pPr>
            <w:r>
              <w:rPr>
                <w:rFonts w:hint="eastAsia" w:ascii="宋体" w:hAnsi="宋体"/>
                <w:szCs w:val="21"/>
              </w:rPr>
              <w:t>说明</w:t>
            </w:r>
          </w:p>
        </w:tc>
      </w:tr>
      <w:tr w14:paraId="120FF9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02" w:type="dxa"/>
            <w:tcBorders>
              <w:top w:val="single" w:color="auto" w:sz="4" w:space="0"/>
              <w:left w:val="single" w:color="auto" w:sz="12" w:space="0"/>
              <w:right w:val="single" w:color="auto" w:sz="4" w:space="0"/>
            </w:tcBorders>
            <w:vAlign w:val="center"/>
          </w:tcPr>
          <w:p w14:paraId="0995D309">
            <w:pPr>
              <w:jc w:val="center"/>
              <w:rPr>
                <w:rFonts w:ascii="宋体" w:hAnsi="宋体"/>
                <w:szCs w:val="21"/>
              </w:rPr>
            </w:pPr>
            <w:r>
              <w:rPr>
                <w:rFonts w:hint="eastAsia" w:ascii="宋体" w:hAnsi="宋体"/>
                <w:szCs w:val="21"/>
              </w:rPr>
              <w:t>1</w:t>
            </w:r>
          </w:p>
        </w:tc>
        <w:tc>
          <w:tcPr>
            <w:tcW w:w="1755" w:type="dxa"/>
            <w:tcBorders>
              <w:top w:val="single" w:color="auto" w:sz="4" w:space="0"/>
              <w:left w:val="single" w:color="auto" w:sz="4" w:space="0"/>
              <w:right w:val="single" w:color="auto" w:sz="4" w:space="0"/>
            </w:tcBorders>
            <w:vAlign w:val="center"/>
          </w:tcPr>
          <w:p w14:paraId="7C2D73E6">
            <w:pPr>
              <w:jc w:val="center"/>
              <w:rPr>
                <w:rFonts w:ascii="宋体" w:hAnsi="宋体"/>
                <w:szCs w:val="21"/>
              </w:rPr>
            </w:pPr>
            <w:r>
              <w:rPr>
                <w:rFonts w:hint="eastAsia" w:ascii="宋体" w:hAnsi="宋体"/>
                <w:szCs w:val="21"/>
              </w:rPr>
              <w:t>服务响应</w:t>
            </w:r>
          </w:p>
        </w:tc>
        <w:tc>
          <w:tcPr>
            <w:tcW w:w="2374" w:type="dxa"/>
            <w:tcBorders>
              <w:top w:val="single" w:color="auto" w:sz="4" w:space="0"/>
              <w:left w:val="single" w:color="auto" w:sz="4" w:space="0"/>
              <w:bottom w:val="single" w:color="auto" w:sz="4" w:space="0"/>
              <w:right w:val="single" w:color="auto" w:sz="4" w:space="0"/>
            </w:tcBorders>
          </w:tcPr>
          <w:p w14:paraId="45D03752">
            <w:pPr>
              <w:rPr>
                <w:rFonts w:ascii="宋体" w:hAnsi="宋体"/>
                <w:szCs w:val="21"/>
              </w:rPr>
            </w:pPr>
            <w:r>
              <w:rPr>
                <w:rFonts w:hint="eastAsia" w:ascii="宋体" w:hAnsi="宋体"/>
                <w:szCs w:val="21"/>
              </w:rPr>
              <w:t>服务响应时间</w:t>
            </w:r>
          </w:p>
        </w:tc>
        <w:tc>
          <w:tcPr>
            <w:tcW w:w="1250" w:type="dxa"/>
            <w:tcBorders>
              <w:top w:val="single" w:color="auto" w:sz="4" w:space="0"/>
              <w:left w:val="single" w:color="auto" w:sz="4" w:space="0"/>
              <w:bottom w:val="single" w:color="auto" w:sz="4" w:space="0"/>
              <w:right w:val="single" w:color="auto" w:sz="4" w:space="0"/>
            </w:tcBorders>
            <w:vAlign w:val="center"/>
          </w:tcPr>
          <w:p w14:paraId="5AB0123A">
            <w:pPr>
              <w:rPr>
                <w:rFonts w:ascii="宋体" w:hAnsi="宋体"/>
                <w:szCs w:val="21"/>
              </w:rPr>
            </w:pPr>
            <w:r>
              <w:rPr>
                <w:rFonts w:hint="eastAsia" w:ascii="宋体" w:hAnsi="宋体"/>
                <w:szCs w:val="21"/>
              </w:rPr>
              <w:t>30分钟</w:t>
            </w:r>
          </w:p>
        </w:tc>
        <w:tc>
          <w:tcPr>
            <w:tcW w:w="1884" w:type="dxa"/>
            <w:tcBorders>
              <w:top w:val="single" w:color="auto" w:sz="4" w:space="0"/>
              <w:left w:val="single" w:color="auto" w:sz="4" w:space="0"/>
              <w:bottom w:val="single" w:color="auto" w:sz="4" w:space="0"/>
              <w:right w:val="single" w:color="auto" w:sz="12" w:space="0"/>
            </w:tcBorders>
            <w:vAlign w:val="center"/>
          </w:tcPr>
          <w:p w14:paraId="42ADBBE6">
            <w:pPr>
              <w:rPr>
                <w:rFonts w:ascii="宋体" w:hAnsi="宋体"/>
                <w:szCs w:val="21"/>
              </w:rPr>
            </w:pPr>
          </w:p>
        </w:tc>
      </w:tr>
      <w:tr w14:paraId="2EA055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02" w:type="dxa"/>
            <w:vMerge w:val="restart"/>
            <w:tcBorders>
              <w:top w:val="single" w:color="auto" w:sz="4" w:space="0"/>
              <w:left w:val="single" w:color="auto" w:sz="12" w:space="0"/>
              <w:right w:val="single" w:color="auto" w:sz="4" w:space="0"/>
            </w:tcBorders>
            <w:vAlign w:val="center"/>
          </w:tcPr>
          <w:p w14:paraId="31F5E318">
            <w:pPr>
              <w:jc w:val="center"/>
              <w:rPr>
                <w:rFonts w:ascii="宋体" w:hAnsi="宋体"/>
                <w:szCs w:val="21"/>
              </w:rPr>
            </w:pPr>
            <w:r>
              <w:rPr>
                <w:rFonts w:hint="eastAsia" w:ascii="宋体" w:hAnsi="宋体"/>
                <w:szCs w:val="21"/>
              </w:rPr>
              <w:t>2</w:t>
            </w:r>
          </w:p>
        </w:tc>
        <w:tc>
          <w:tcPr>
            <w:tcW w:w="1755" w:type="dxa"/>
            <w:vMerge w:val="restart"/>
            <w:tcBorders>
              <w:top w:val="single" w:color="auto" w:sz="4" w:space="0"/>
              <w:left w:val="single" w:color="auto" w:sz="4" w:space="0"/>
              <w:right w:val="single" w:color="auto" w:sz="4" w:space="0"/>
            </w:tcBorders>
            <w:vAlign w:val="center"/>
          </w:tcPr>
          <w:p w14:paraId="7B76C627">
            <w:pPr>
              <w:jc w:val="center"/>
              <w:rPr>
                <w:rFonts w:ascii="宋体" w:hAnsi="宋体"/>
                <w:szCs w:val="21"/>
              </w:rPr>
            </w:pPr>
            <w:r>
              <w:rPr>
                <w:rFonts w:hint="eastAsia" w:ascii="宋体" w:hAnsi="宋体"/>
                <w:szCs w:val="21"/>
              </w:rPr>
              <w:t>故障处理</w:t>
            </w:r>
          </w:p>
        </w:tc>
        <w:tc>
          <w:tcPr>
            <w:tcW w:w="2374" w:type="dxa"/>
            <w:tcBorders>
              <w:top w:val="single" w:color="auto" w:sz="4" w:space="0"/>
              <w:left w:val="single" w:color="auto" w:sz="4" w:space="0"/>
              <w:bottom w:val="single" w:color="auto" w:sz="4" w:space="0"/>
              <w:right w:val="single" w:color="auto" w:sz="4" w:space="0"/>
            </w:tcBorders>
          </w:tcPr>
          <w:p w14:paraId="7C905B4A">
            <w:pPr>
              <w:rPr>
                <w:rFonts w:ascii="宋体" w:hAnsi="宋体"/>
                <w:szCs w:val="21"/>
              </w:rPr>
            </w:pPr>
            <w:r>
              <w:rPr>
                <w:rFonts w:hint="eastAsia" w:ascii="宋体" w:hAnsi="宋体"/>
                <w:szCs w:val="21"/>
              </w:rPr>
              <w:t>故障次数</w:t>
            </w:r>
          </w:p>
        </w:tc>
        <w:tc>
          <w:tcPr>
            <w:tcW w:w="1250" w:type="dxa"/>
            <w:tcBorders>
              <w:top w:val="single" w:color="auto" w:sz="4" w:space="0"/>
              <w:left w:val="single" w:color="auto" w:sz="4" w:space="0"/>
              <w:bottom w:val="single" w:color="auto" w:sz="4" w:space="0"/>
              <w:right w:val="single" w:color="auto" w:sz="4" w:space="0"/>
            </w:tcBorders>
            <w:vAlign w:val="center"/>
          </w:tcPr>
          <w:p w14:paraId="0080C5BF">
            <w:pPr>
              <w:rPr>
                <w:rFonts w:ascii="宋体" w:hAnsi="宋体"/>
                <w:szCs w:val="21"/>
              </w:rPr>
            </w:pPr>
          </w:p>
        </w:tc>
        <w:tc>
          <w:tcPr>
            <w:tcW w:w="1884" w:type="dxa"/>
            <w:tcBorders>
              <w:top w:val="single" w:color="auto" w:sz="4" w:space="0"/>
              <w:left w:val="single" w:color="auto" w:sz="4" w:space="0"/>
              <w:bottom w:val="single" w:color="auto" w:sz="4" w:space="0"/>
              <w:right w:val="single" w:color="auto" w:sz="12" w:space="0"/>
            </w:tcBorders>
            <w:vAlign w:val="center"/>
          </w:tcPr>
          <w:p w14:paraId="070E4C7E">
            <w:pPr>
              <w:rPr>
                <w:rFonts w:ascii="宋体" w:hAnsi="宋体"/>
                <w:szCs w:val="21"/>
              </w:rPr>
            </w:pPr>
          </w:p>
        </w:tc>
      </w:tr>
      <w:tr w14:paraId="5B86FF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02" w:type="dxa"/>
            <w:vMerge w:val="continue"/>
            <w:tcBorders>
              <w:left w:val="single" w:color="auto" w:sz="12" w:space="0"/>
              <w:right w:val="single" w:color="auto" w:sz="4" w:space="0"/>
            </w:tcBorders>
            <w:vAlign w:val="center"/>
          </w:tcPr>
          <w:p w14:paraId="4C5545C8">
            <w:pPr>
              <w:rPr>
                <w:rFonts w:ascii="宋体" w:hAnsi="宋体"/>
                <w:szCs w:val="21"/>
              </w:rPr>
            </w:pPr>
          </w:p>
        </w:tc>
        <w:tc>
          <w:tcPr>
            <w:tcW w:w="1755" w:type="dxa"/>
            <w:vMerge w:val="continue"/>
            <w:tcBorders>
              <w:left w:val="single" w:color="auto" w:sz="4" w:space="0"/>
              <w:right w:val="single" w:color="auto" w:sz="4" w:space="0"/>
            </w:tcBorders>
            <w:vAlign w:val="center"/>
          </w:tcPr>
          <w:p w14:paraId="30ED953D">
            <w:pPr>
              <w:rPr>
                <w:rFonts w:ascii="宋体" w:hAnsi="宋体"/>
                <w:szCs w:val="21"/>
              </w:rPr>
            </w:pPr>
          </w:p>
        </w:tc>
        <w:tc>
          <w:tcPr>
            <w:tcW w:w="2374" w:type="dxa"/>
            <w:tcBorders>
              <w:top w:val="single" w:color="auto" w:sz="4" w:space="0"/>
              <w:left w:val="single" w:color="auto" w:sz="4" w:space="0"/>
              <w:bottom w:val="single" w:color="auto" w:sz="4" w:space="0"/>
              <w:right w:val="single" w:color="auto" w:sz="4" w:space="0"/>
            </w:tcBorders>
            <w:vAlign w:val="center"/>
          </w:tcPr>
          <w:p w14:paraId="3629CC0C">
            <w:pPr>
              <w:rPr>
                <w:rFonts w:ascii="宋体" w:hAnsi="宋体"/>
                <w:szCs w:val="21"/>
              </w:rPr>
            </w:pPr>
            <w:r>
              <w:rPr>
                <w:rFonts w:hint="eastAsia" w:ascii="宋体" w:hAnsi="宋体"/>
                <w:szCs w:val="21"/>
              </w:rPr>
              <w:t>故障解决超出时限</w:t>
            </w:r>
          </w:p>
        </w:tc>
        <w:tc>
          <w:tcPr>
            <w:tcW w:w="1250" w:type="dxa"/>
            <w:tcBorders>
              <w:top w:val="single" w:color="auto" w:sz="4" w:space="0"/>
              <w:left w:val="single" w:color="auto" w:sz="4" w:space="0"/>
              <w:bottom w:val="single" w:color="auto" w:sz="4" w:space="0"/>
              <w:right w:val="single" w:color="auto" w:sz="4" w:space="0"/>
            </w:tcBorders>
            <w:vAlign w:val="center"/>
          </w:tcPr>
          <w:p w14:paraId="70572C01">
            <w:pPr>
              <w:rPr>
                <w:rFonts w:ascii="宋体" w:hAnsi="宋体"/>
                <w:szCs w:val="21"/>
              </w:rPr>
            </w:pPr>
          </w:p>
        </w:tc>
        <w:tc>
          <w:tcPr>
            <w:tcW w:w="1884" w:type="dxa"/>
            <w:tcBorders>
              <w:top w:val="single" w:color="auto" w:sz="4" w:space="0"/>
              <w:left w:val="single" w:color="auto" w:sz="4" w:space="0"/>
              <w:bottom w:val="single" w:color="auto" w:sz="4" w:space="0"/>
              <w:right w:val="single" w:color="auto" w:sz="12" w:space="0"/>
            </w:tcBorders>
            <w:vAlign w:val="center"/>
          </w:tcPr>
          <w:p w14:paraId="1142758C">
            <w:pPr>
              <w:pStyle w:val="2"/>
              <w:spacing w:line="360" w:lineRule="auto"/>
              <w:ind w:firstLine="0"/>
              <w:rPr>
                <w:rFonts w:ascii="宋体" w:hAnsi="宋体"/>
                <w:szCs w:val="21"/>
              </w:rPr>
            </w:pPr>
            <w:r>
              <w:rPr>
                <w:rFonts w:hint="eastAsia" w:ascii="宋体" w:hAnsi="宋体"/>
                <w:szCs w:val="21"/>
              </w:rPr>
              <w:t>详见5.2故障响应时间要求</w:t>
            </w:r>
          </w:p>
        </w:tc>
      </w:tr>
      <w:tr w14:paraId="45592B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02" w:type="dxa"/>
            <w:vMerge w:val="continue"/>
            <w:tcBorders>
              <w:left w:val="single" w:color="auto" w:sz="12" w:space="0"/>
              <w:bottom w:val="single" w:color="auto" w:sz="4" w:space="0"/>
              <w:right w:val="single" w:color="auto" w:sz="4" w:space="0"/>
            </w:tcBorders>
            <w:vAlign w:val="center"/>
          </w:tcPr>
          <w:p w14:paraId="420E8AC6">
            <w:pPr>
              <w:rPr>
                <w:rFonts w:ascii="宋体" w:hAnsi="宋体"/>
                <w:szCs w:val="21"/>
              </w:rPr>
            </w:pPr>
          </w:p>
        </w:tc>
        <w:tc>
          <w:tcPr>
            <w:tcW w:w="1755" w:type="dxa"/>
            <w:vMerge w:val="continue"/>
            <w:tcBorders>
              <w:left w:val="single" w:color="auto" w:sz="4" w:space="0"/>
              <w:bottom w:val="single" w:color="auto" w:sz="4" w:space="0"/>
              <w:right w:val="single" w:color="auto" w:sz="4" w:space="0"/>
            </w:tcBorders>
            <w:vAlign w:val="center"/>
          </w:tcPr>
          <w:p w14:paraId="6A5F704A">
            <w:pPr>
              <w:rPr>
                <w:rFonts w:ascii="宋体" w:hAnsi="宋体"/>
                <w:szCs w:val="21"/>
              </w:rPr>
            </w:pPr>
          </w:p>
        </w:tc>
        <w:tc>
          <w:tcPr>
            <w:tcW w:w="2374" w:type="dxa"/>
            <w:tcBorders>
              <w:top w:val="single" w:color="auto" w:sz="4" w:space="0"/>
              <w:left w:val="single" w:color="auto" w:sz="4" w:space="0"/>
              <w:bottom w:val="single" w:color="auto" w:sz="4" w:space="0"/>
              <w:right w:val="single" w:color="auto" w:sz="4" w:space="0"/>
            </w:tcBorders>
          </w:tcPr>
          <w:p w14:paraId="0153BC46">
            <w:pPr>
              <w:rPr>
                <w:rFonts w:ascii="宋体" w:hAnsi="宋体"/>
                <w:szCs w:val="21"/>
              </w:rPr>
            </w:pPr>
            <w:r>
              <w:rPr>
                <w:rFonts w:hint="eastAsia" w:ascii="宋体" w:hAnsi="宋体"/>
                <w:szCs w:val="21"/>
              </w:rPr>
              <w:t>故障解决率</w:t>
            </w:r>
          </w:p>
        </w:tc>
        <w:tc>
          <w:tcPr>
            <w:tcW w:w="1250" w:type="dxa"/>
            <w:tcBorders>
              <w:top w:val="single" w:color="auto" w:sz="4" w:space="0"/>
              <w:left w:val="single" w:color="auto" w:sz="4" w:space="0"/>
              <w:bottom w:val="single" w:color="auto" w:sz="4" w:space="0"/>
              <w:right w:val="single" w:color="auto" w:sz="4" w:space="0"/>
            </w:tcBorders>
            <w:vAlign w:val="center"/>
          </w:tcPr>
          <w:p w14:paraId="6E195BAE">
            <w:pPr>
              <w:rPr>
                <w:rFonts w:ascii="宋体" w:hAnsi="宋体"/>
                <w:szCs w:val="21"/>
              </w:rPr>
            </w:pPr>
            <w:r>
              <w:rPr>
                <w:rFonts w:hint="eastAsia" w:ascii="宋体" w:hAnsi="宋体"/>
                <w:szCs w:val="21"/>
              </w:rPr>
              <w:t>100%</w:t>
            </w:r>
          </w:p>
        </w:tc>
        <w:tc>
          <w:tcPr>
            <w:tcW w:w="1884" w:type="dxa"/>
            <w:tcBorders>
              <w:top w:val="single" w:color="auto" w:sz="4" w:space="0"/>
              <w:left w:val="single" w:color="auto" w:sz="4" w:space="0"/>
              <w:bottom w:val="single" w:color="auto" w:sz="4" w:space="0"/>
              <w:right w:val="single" w:color="auto" w:sz="12" w:space="0"/>
            </w:tcBorders>
            <w:vAlign w:val="center"/>
          </w:tcPr>
          <w:p w14:paraId="3FF50FED">
            <w:pPr>
              <w:rPr>
                <w:rFonts w:ascii="宋体" w:hAnsi="宋体"/>
                <w:szCs w:val="21"/>
              </w:rPr>
            </w:pPr>
          </w:p>
        </w:tc>
      </w:tr>
      <w:tr w14:paraId="7A11B0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802" w:type="dxa"/>
            <w:vMerge w:val="restart"/>
            <w:tcBorders>
              <w:top w:val="single" w:color="auto" w:sz="4" w:space="0"/>
              <w:left w:val="single" w:color="auto" w:sz="12" w:space="0"/>
              <w:right w:val="single" w:color="auto" w:sz="4" w:space="0"/>
            </w:tcBorders>
            <w:vAlign w:val="center"/>
          </w:tcPr>
          <w:p w14:paraId="42879BF0">
            <w:pPr>
              <w:jc w:val="center"/>
              <w:rPr>
                <w:rFonts w:ascii="宋体" w:hAnsi="宋体"/>
                <w:szCs w:val="21"/>
              </w:rPr>
            </w:pPr>
            <w:r>
              <w:rPr>
                <w:rFonts w:hint="eastAsia" w:ascii="宋体" w:hAnsi="宋体"/>
                <w:szCs w:val="21"/>
              </w:rPr>
              <w:t>3</w:t>
            </w:r>
          </w:p>
        </w:tc>
        <w:tc>
          <w:tcPr>
            <w:tcW w:w="1755" w:type="dxa"/>
            <w:vMerge w:val="restart"/>
            <w:tcBorders>
              <w:top w:val="single" w:color="auto" w:sz="4" w:space="0"/>
              <w:left w:val="single" w:color="auto" w:sz="4" w:space="0"/>
              <w:right w:val="single" w:color="auto" w:sz="4" w:space="0"/>
            </w:tcBorders>
            <w:vAlign w:val="center"/>
          </w:tcPr>
          <w:p w14:paraId="14F72F60">
            <w:pPr>
              <w:jc w:val="center"/>
              <w:rPr>
                <w:rFonts w:ascii="宋体" w:hAnsi="宋体"/>
                <w:szCs w:val="21"/>
              </w:rPr>
            </w:pPr>
            <w:r>
              <w:rPr>
                <w:rFonts w:hint="eastAsia" w:ascii="宋体" w:hAnsi="宋体"/>
                <w:szCs w:val="21"/>
              </w:rPr>
              <w:t>培训服务</w:t>
            </w:r>
          </w:p>
        </w:tc>
        <w:tc>
          <w:tcPr>
            <w:tcW w:w="2374" w:type="dxa"/>
            <w:tcBorders>
              <w:top w:val="single" w:color="auto" w:sz="4" w:space="0"/>
              <w:left w:val="single" w:color="auto" w:sz="4" w:space="0"/>
              <w:bottom w:val="single" w:color="auto" w:sz="4" w:space="0"/>
              <w:right w:val="single" w:color="auto" w:sz="4" w:space="0"/>
            </w:tcBorders>
            <w:vAlign w:val="center"/>
          </w:tcPr>
          <w:p w14:paraId="7142FB85">
            <w:pPr>
              <w:rPr>
                <w:rFonts w:ascii="宋体" w:hAnsi="宋体"/>
                <w:szCs w:val="21"/>
              </w:rPr>
            </w:pPr>
            <w:r>
              <w:rPr>
                <w:rFonts w:hint="eastAsia" w:ascii="宋体" w:hAnsi="宋体"/>
                <w:szCs w:val="21"/>
              </w:rPr>
              <w:t>培训次数</w:t>
            </w:r>
          </w:p>
        </w:tc>
        <w:tc>
          <w:tcPr>
            <w:tcW w:w="1250" w:type="dxa"/>
            <w:tcBorders>
              <w:top w:val="single" w:color="auto" w:sz="4" w:space="0"/>
              <w:left w:val="single" w:color="auto" w:sz="4" w:space="0"/>
              <w:bottom w:val="single" w:color="auto" w:sz="4" w:space="0"/>
              <w:right w:val="single" w:color="auto" w:sz="4" w:space="0"/>
            </w:tcBorders>
            <w:vAlign w:val="center"/>
          </w:tcPr>
          <w:p w14:paraId="0EF477C1">
            <w:pPr>
              <w:rPr>
                <w:rFonts w:ascii="宋体" w:hAnsi="宋体"/>
                <w:szCs w:val="21"/>
              </w:rPr>
            </w:pPr>
            <w:r>
              <w:rPr>
                <w:rFonts w:hint="eastAsia" w:ascii="宋体" w:hAnsi="宋体"/>
                <w:szCs w:val="21"/>
              </w:rPr>
              <w:t>2次以上</w:t>
            </w:r>
          </w:p>
        </w:tc>
        <w:tc>
          <w:tcPr>
            <w:tcW w:w="1884" w:type="dxa"/>
            <w:tcBorders>
              <w:top w:val="single" w:color="auto" w:sz="4" w:space="0"/>
              <w:left w:val="single" w:color="auto" w:sz="4" w:space="0"/>
              <w:bottom w:val="single" w:color="auto" w:sz="4" w:space="0"/>
              <w:right w:val="single" w:color="auto" w:sz="12" w:space="0"/>
            </w:tcBorders>
            <w:vAlign w:val="center"/>
          </w:tcPr>
          <w:p w14:paraId="6B121903">
            <w:pPr>
              <w:rPr>
                <w:rFonts w:ascii="宋体" w:hAnsi="宋体"/>
                <w:szCs w:val="21"/>
              </w:rPr>
            </w:pPr>
            <w:r>
              <w:rPr>
                <w:rFonts w:hint="eastAsia" w:ascii="宋体" w:hAnsi="宋体"/>
                <w:szCs w:val="21"/>
              </w:rPr>
              <w:t>如遇特殊情况按照实际情况增加相关培训场次。</w:t>
            </w:r>
          </w:p>
        </w:tc>
      </w:tr>
      <w:tr w14:paraId="06664A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802" w:type="dxa"/>
            <w:vMerge w:val="continue"/>
            <w:tcBorders>
              <w:left w:val="single" w:color="auto" w:sz="12" w:space="0"/>
              <w:bottom w:val="single" w:color="auto" w:sz="4" w:space="0"/>
              <w:right w:val="single" w:color="auto" w:sz="4" w:space="0"/>
            </w:tcBorders>
            <w:vAlign w:val="center"/>
          </w:tcPr>
          <w:p w14:paraId="22AB0227">
            <w:pPr>
              <w:jc w:val="center"/>
              <w:rPr>
                <w:rFonts w:ascii="宋体" w:hAnsi="宋体"/>
                <w:szCs w:val="21"/>
              </w:rPr>
            </w:pPr>
          </w:p>
        </w:tc>
        <w:tc>
          <w:tcPr>
            <w:tcW w:w="1755" w:type="dxa"/>
            <w:vMerge w:val="continue"/>
            <w:tcBorders>
              <w:left w:val="single" w:color="auto" w:sz="4" w:space="0"/>
              <w:bottom w:val="single" w:color="auto" w:sz="4" w:space="0"/>
              <w:right w:val="single" w:color="auto" w:sz="4" w:space="0"/>
            </w:tcBorders>
            <w:vAlign w:val="center"/>
          </w:tcPr>
          <w:p w14:paraId="11FBA379">
            <w:pPr>
              <w:jc w:val="center"/>
              <w:rPr>
                <w:rFonts w:ascii="宋体" w:hAnsi="宋体"/>
                <w:szCs w:val="21"/>
              </w:rPr>
            </w:pPr>
          </w:p>
        </w:tc>
        <w:tc>
          <w:tcPr>
            <w:tcW w:w="2374" w:type="dxa"/>
            <w:tcBorders>
              <w:top w:val="single" w:color="auto" w:sz="4" w:space="0"/>
              <w:left w:val="single" w:color="auto" w:sz="4" w:space="0"/>
              <w:bottom w:val="single" w:color="auto" w:sz="4" w:space="0"/>
              <w:right w:val="single" w:color="auto" w:sz="4" w:space="0"/>
            </w:tcBorders>
          </w:tcPr>
          <w:p w14:paraId="47380FDA">
            <w:pPr>
              <w:rPr>
                <w:rFonts w:ascii="宋体" w:hAnsi="宋体"/>
                <w:szCs w:val="21"/>
              </w:rPr>
            </w:pPr>
            <w:r>
              <w:rPr>
                <w:rFonts w:hint="eastAsia" w:ascii="宋体" w:hAnsi="宋体"/>
                <w:szCs w:val="21"/>
              </w:rPr>
              <w:t>客户培训满意度</w:t>
            </w:r>
          </w:p>
        </w:tc>
        <w:tc>
          <w:tcPr>
            <w:tcW w:w="1250" w:type="dxa"/>
            <w:tcBorders>
              <w:top w:val="single" w:color="auto" w:sz="4" w:space="0"/>
              <w:left w:val="single" w:color="auto" w:sz="4" w:space="0"/>
              <w:bottom w:val="single" w:color="auto" w:sz="4" w:space="0"/>
              <w:right w:val="single" w:color="auto" w:sz="4" w:space="0"/>
            </w:tcBorders>
            <w:vAlign w:val="center"/>
          </w:tcPr>
          <w:p w14:paraId="54736E18">
            <w:pPr>
              <w:rPr>
                <w:rFonts w:ascii="宋体" w:hAnsi="宋体"/>
                <w:szCs w:val="21"/>
              </w:rPr>
            </w:pPr>
            <w:r>
              <w:rPr>
                <w:rFonts w:hint="eastAsia" w:ascii="宋体" w:hAnsi="宋体"/>
                <w:szCs w:val="21"/>
              </w:rPr>
              <w:t>合格</w:t>
            </w:r>
          </w:p>
        </w:tc>
        <w:tc>
          <w:tcPr>
            <w:tcW w:w="1884" w:type="dxa"/>
            <w:tcBorders>
              <w:top w:val="single" w:color="auto" w:sz="4" w:space="0"/>
              <w:left w:val="single" w:color="auto" w:sz="4" w:space="0"/>
              <w:bottom w:val="single" w:color="auto" w:sz="4" w:space="0"/>
              <w:right w:val="single" w:color="auto" w:sz="12" w:space="0"/>
            </w:tcBorders>
            <w:vAlign w:val="center"/>
          </w:tcPr>
          <w:p w14:paraId="6EAF95BB">
            <w:pPr>
              <w:rPr>
                <w:rFonts w:ascii="宋体" w:hAnsi="宋体"/>
                <w:szCs w:val="21"/>
              </w:rPr>
            </w:pPr>
          </w:p>
        </w:tc>
      </w:tr>
    </w:tbl>
    <w:p w14:paraId="78B0948D">
      <w:pPr>
        <w:spacing w:line="360" w:lineRule="auto"/>
        <w:rPr>
          <w:rFonts w:ascii="宋体" w:hAnsi="宋体"/>
          <w:szCs w:val="21"/>
        </w:rPr>
      </w:pPr>
    </w:p>
    <w:p w14:paraId="3DB6BE7A">
      <w:pPr>
        <w:spacing w:line="360" w:lineRule="auto"/>
        <w:ind w:firstLine="420" w:firstLineChars="200"/>
        <w:rPr>
          <w:rFonts w:ascii="宋体" w:hAnsi="宋体"/>
          <w:szCs w:val="21"/>
        </w:rPr>
      </w:pPr>
      <w:r>
        <w:rPr>
          <w:rFonts w:hint="eastAsia" w:ascii="宋体" w:hAnsi="宋体"/>
          <w:color w:val="000000"/>
          <w:szCs w:val="21"/>
        </w:rPr>
        <w:t>6.3</w:t>
      </w:r>
      <w:r>
        <w:rPr>
          <w:rFonts w:hint="eastAsia" w:ascii="宋体" w:hAnsi="宋体"/>
          <w:szCs w:val="21"/>
        </w:rPr>
        <w:t>系统运行指标</w:t>
      </w:r>
    </w:p>
    <w:p w14:paraId="0520E0E2">
      <w:pPr>
        <w:spacing w:line="360" w:lineRule="auto"/>
        <w:ind w:firstLine="420" w:firstLineChars="200"/>
        <w:rPr>
          <w:rFonts w:ascii="宋体" w:hAnsi="宋体"/>
          <w:szCs w:val="21"/>
        </w:rPr>
      </w:pPr>
      <w:r>
        <w:rPr>
          <w:rFonts w:hint="eastAsia" w:ascii="宋体" w:hAnsi="宋体"/>
          <w:szCs w:val="21"/>
        </w:rPr>
        <w:t>（1）系统服务可用率≥95%。计算公式为： 1-（系统用户服务非计划中断时长/统计期间小时）*100%，服务可用率按月、半年及全年作为统计，统计期间小时数按24小时*统计期间天数计。</w:t>
      </w:r>
    </w:p>
    <w:p w14:paraId="3418BAF5">
      <w:pPr>
        <w:spacing w:line="360" w:lineRule="auto"/>
        <w:ind w:firstLine="420" w:firstLineChars="200"/>
        <w:rPr>
          <w:rFonts w:ascii="宋体" w:hAnsi="宋体"/>
          <w:szCs w:val="21"/>
        </w:rPr>
      </w:pPr>
      <w:r>
        <w:rPr>
          <w:rFonts w:hint="eastAsia" w:ascii="宋体" w:hAnsi="宋体"/>
          <w:szCs w:val="21"/>
        </w:rPr>
        <w:t>（2）系统运行可靠率≥95%。计算公式为： 1-[（系统配置项数*系统配置项非计划停运时长）/（系统配置项数总数*统计期间小时）]*100%，系统配置项指系统主机、数据库、中间件平台及应用服务器等）。</w:t>
      </w:r>
    </w:p>
    <w:p w14:paraId="676F4181">
      <w:pPr>
        <w:spacing w:line="360" w:lineRule="auto"/>
        <w:ind w:firstLine="420" w:firstLineChars="200"/>
        <w:rPr>
          <w:rFonts w:ascii="宋体" w:hAnsi="宋体"/>
          <w:szCs w:val="21"/>
        </w:rPr>
      </w:pPr>
      <w:r>
        <w:rPr>
          <w:rFonts w:hint="eastAsia" w:ascii="宋体" w:hAnsi="宋体"/>
          <w:color w:val="000000"/>
          <w:szCs w:val="21"/>
        </w:rPr>
        <w:t>6.4</w:t>
      </w:r>
      <w:r>
        <w:rPr>
          <w:rFonts w:hint="eastAsia" w:ascii="宋体" w:hAnsi="宋体"/>
          <w:szCs w:val="21"/>
        </w:rPr>
        <w:t>用户满意度指标</w:t>
      </w:r>
    </w:p>
    <w:p w14:paraId="7C47C49B">
      <w:pPr>
        <w:spacing w:line="360" w:lineRule="auto"/>
        <w:ind w:firstLine="420" w:firstLineChars="200"/>
        <w:rPr>
          <w:rFonts w:ascii="宋体" w:hAnsi="宋体"/>
          <w:szCs w:val="21"/>
        </w:rPr>
      </w:pPr>
      <w:r>
        <w:rPr>
          <w:rFonts w:hint="eastAsia" w:ascii="宋体" w:hAnsi="宋体"/>
          <w:szCs w:val="21"/>
        </w:rPr>
        <w:t>（1）用户服务满意率≥</w:t>
      </w:r>
      <w:r>
        <w:rPr>
          <w:rFonts w:hint="eastAsia" w:ascii="宋体" w:hAnsi="宋体"/>
          <w:szCs w:val="21"/>
          <w:lang w:val="en-US" w:eastAsia="zh-CN"/>
        </w:rPr>
        <w:t>90</w:t>
      </w:r>
      <w:r>
        <w:rPr>
          <w:rFonts w:hint="eastAsia" w:ascii="宋体" w:hAnsi="宋体"/>
          <w:szCs w:val="21"/>
        </w:rPr>
        <w:t>%，不发生用户投诉事件；</w:t>
      </w:r>
    </w:p>
    <w:p w14:paraId="61CA6194">
      <w:pPr>
        <w:spacing w:line="360" w:lineRule="auto"/>
        <w:ind w:firstLine="420" w:firstLineChars="200"/>
        <w:rPr>
          <w:rFonts w:ascii="宋体" w:hAnsi="宋体"/>
          <w:szCs w:val="21"/>
        </w:rPr>
      </w:pPr>
      <w:r>
        <w:rPr>
          <w:rFonts w:hint="eastAsia" w:ascii="宋体" w:hAnsi="宋体"/>
          <w:color w:val="000000"/>
          <w:szCs w:val="21"/>
        </w:rPr>
        <w:t>上述指标为系统关键考核指标，服务期结束后，即进行项目验收，还将对运行服务考核指标进行评分，</w:t>
      </w:r>
      <w:r>
        <w:rPr>
          <w:rFonts w:hint="eastAsia" w:ascii="宋体" w:hAnsi="宋体"/>
          <w:color w:val="000000"/>
          <w:szCs w:val="21"/>
          <w:lang w:val="en-US" w:eastAsia="zh-CN"/>
        </w:rPr>
        <w:t>并</w:t>
      </w:r>
      <w:r>
        <w:rPr>
          <w:rFonts w:hint="eastAsia" w:ascii="宋体" w:hAnsi="宋体"/>
          <w:color w:val="000000"/>
          <w:szCs w:val="21"/>
        </w:rPr>
        <w:t>根据评分结果进行合同验收款的支付。服务周期结束后评分，90分以上全额付款，70分—90分按得分比例付款，70分以下付款50％。</w:t>
      </w:r>
      <w:r>
        <w:rPr>
          <w:rFonts w:hint="eastAsia" w:ascii="宋体" w:hAnsi="宋体"/>
          <w:szCs w:val="21"/>
        </w:rPr>
        <w:t>评分标准如下：</w:t>
      </w:r>
    </w:p>
    <w:tbl>
      <w:tblPr>
        <w:tblStyle w:val="6"/>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4342"/>
        <w:gridCol w:w="2745"/>
      </w:tblGrid>
      <w:tr w14:paraId="55BA1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ign w:val="center"/>
          </w:tcPr>
          <w:p w14:paraId="199DF073">
            <w:pPr>
              <w:jc w:val="center"/>
              <w:rPr>
                <w:rFonts w:ascii="宋体" w:hAnsi="宋体"/>
                <w:szCs w:val="21"/>
              </w:rPr>
            </w:pPr>
            <w:r>
              <w:rPr>
                <w:rFonts w:hint="eastAsia" w:ascii="宋体" w:hAnsi="宋体"/>
                <w:szCs w:val="21"/>
              </w:rPr>
              <w:t>指标类别</w:t>
            </w:r>
          </w:p>
        </w:tc>
        <w:tc>
          <w:tcPr>
            <w:tcW w:w="709" w:type="dxa"/>
            <w:tcBorders>
              <w:top w:val="single" w:color="auto" w:sz="4" w:space="0"/>
              <w:left w:val="single" w:color="auto" w:sz="4" w:space="0"/>
              <w:bottom w:val="single" w:color="auto" w:sz="4" w:space="0"/>
              <w:right w:val="single" w:color="auto" w:sz="4" w:space="0"/>
            </w:tcBorders>
            <w:noWrap/>
            <w:vAlign w:val="center"/>
          </w:tcPr>
          <w:p w14:paraId="22D79507">
            <w:pPr>
              <w:jc w:val="center"/>
              <w:rPr>
                <w:rFonts w:ascii="宋体" w:hAnsi="宋体"/>
                <w:szCs w:val="21"/>
              </w:rPr>
            </w:pPr>
            <w:r>
              <w:rPr>
                <w:rFonts w:hint="eastAsia" w:ascii="宋体" w:hAnsi="宋体"/>
                <w:szCs w:val="21"/>
              </w:rPr>
              <w:t>分值</w:t>
            </w:r>
          </w:p>
        </w:tc>
        <w:tc>
          <w:tcPr>
            <w:tcW w:w="4342" w:type="dxa"/>
            <w:tcBorders>
              <w:top w:val="single" w:color="auto" w:sz="4" w:space="0"/>
              <w:left w:val="single" w:color="auto" w:sz="4" w:space="0"/>
              <w:bottom w:val="single" w:color="auto" w:sz="4" w:space="0"/>
              <w:right w:val="single" w:color="auto" w:sz="4" w:space="0"/>
            </w:tcBorders>
            <w:noWrap/>
            <w:vAlign w:val="center"/>
          </w:tcPr>
          <w:p w14:paraId="5CA53581">
            <w:pPr>
              <w:jc w:val="center"/>
              <w:rPr>
                <w:rFonts w:ascii="宋体" w:hAnsi="宋体"/>
                <w:szCs w:val="21"/>
              </w:rPr>
            </w:pPr>
            <w:r>
              <w:rPr>
                <w:rFonts w:hint="eastAsia" w:ascii="宋体" w:hAnsi="宋体"/>
                <w:szCs w:val="21"/>
              </w:rPr>
              <w:t>指标项</w:t>
            </w:r>
          </w:p>
        </w:tc>
        <w:tc>
          <w:tcPr>
            <w:tcW w:w="2745" w:type="dxa"/>
            <w:tcBorders>
              <w:top w:val="single" w:color="auto" w:sz="4" w:space="0"/>
              <w:left w:val="single" w:color="auto" w:sz="4" w:space="0"/>
              <w:bottom w:val="single" w:color="auto" w:sz="4" w:space="0"/>
              <w:right w:val="single" w:color="auto" w:sz="4" w:space="0"/>
            </w:tcBorders>
            <w:noWrap/>
            <w:vAlign w:val="center"/>
          </w:tcPr>
          <w:p w14:paraId="2FE8DF8B">
            <w:pPr>
              <w:jc w:val="center"/>
              <w:rPr>
                <w:rFonts w:ascii="宋体" w:hAnsi="宋体"/>
                <w:szCs w:val="21"/>
              </w:rPr>
            </w:pPr>
            <w:r>
              <w:rPr>
                <w:rFonts w:hint="eastAsia" w:ascii="宋体" w:hAnsi="宋体"/>
                <w:szCs w:val="21"/>
              </w:rPr>
              <w:t>评分规则</w:t>
            </w:r>
          </w:p>
        </w:tc>
      </w:tr>
      <w:tr w14:paraId="22FCD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817" w:type="dxa"/>
            <w:tcBorders>
              <w:top w:val="single" w:color="auto" w:sz="4" w:space="0"/>
              <w:left w:val="single" w:color="auto" w:sz="4" w:space="0"/>
              <w:bottom w:val="single" w:color="auto" w:sz="4" w:space="0"/>
              <w:right w:val="single" w:color="auto" w:sz="4" w:space="0"/>
            </w:tcBorders>
            <w:noWrap/>
            <w:vAlign w:val="center"/>
          </w:tcPr>
          <w:p w14:paraId="29D6AD8C">
            <w:pPr>
              <w:jc w:val="center"/>
              <w:rPr>
                <w:rFonts w:ascii="宋体" w:hAnsi="宋体"/>
                <w:szCs w:val="21"/>
              </w:rPr>
            </w:pPr>
            <w:r>
              <w:rPr>
                <w:rFonts w:ascii="宋体" w:hAnsi="宋体"/>
                <w:szCs w:val="21"/>
              </w:rPr>
              <w:t>安全</w:t>
            </w:r>
          </w:p>
        </w:tc>
        <w:tc>
          <w:tcPr>
            <w:tcW w:w="709" w:type="dxa"/>
            <w:tcBorders>
              <w:top w:val="single" w:color="auto" w:sz="4" w:space="0"/>
              <w:left w:val="single" w:color="auto" w:sz="4" w:space="0"/>
              <w:bottom w:val="single" w:color="auto" w:sz="4" w:space="0"/>
              <w:right w:val="single" w:color="auto" w:sz="4" w:space="0"/>
            </w:tcBorders>
            <w:noWrap/>
            <w:vAlign w:val="center"/>
          </w:tcPr>
          <w:p w14:paraId="05F47703">
            <w:pPr>
              <w:jc w:val="center"/>
              <w:rPr>
                <w:rFonts w:ascii="宋体" w:hAnsi="宋体"/>
                <w:szCs w:val="21"/>
              </w:rPr>
            </w:pPr>
            <w:r>
              <w:rPr>
                <w:rFonts w:hint="eastAsia" w:ascii="宋体" w:hAnsi="宋体"/>
                <w:szCs w:val="21"/>
              </w:rPr>
              <w:t>30</w:t>
            </w:r>
          </w:p>
        </w:tc>
        <w:tc>
          <w:tcPr>
            <w:tcW w:w="4342" w:type="dxa"/>
            <w:tcBorders>
              <w:top w:val="single" w:color="auto" w:sz="4" w:space="0"/>
              <w:left w:val="single" w:color="auto" w:sz="4" w:space="0"/>
              <w:right w:val="single" w:color="auto" w:sz="4" w:space="0"/>
            </w:tcBorders>
            <w:noWrap/>
          </w:tcPr>
          <w:p w14:paraId="03ED4113">
            <w:pPr>
              <w:rPr>
                <w:rFonts w:ascii="宋体" w:hAnsi="宋体"/>
                <w:szCs w:val="21"/>
              </w:rPr>
            </w:pPr>
            <w:r>
              <w:rPr>
                <w:rFonts w:hint="eastAsia" w:ascii="宋体" w:hAnsi="宋体"/>
                <w:szCs w:val="21"/>
              </w:rPr>
              <w:t>不发生网络安全事故</w:t>
            </w:r>
          </w:p>
        </w:tc>
        <w:tc>
          <w:tcPr>
            <w:tcW w:w="2745" w:type="dxa"/>
            <w:tcBorders>
              <w:top w:val="single" w:color="auto" w:sz="4" w:space="0"/>
              <w:left w:val="single" w:color="auto" w:sz="4" w:space="0"/>
              <w:bottom w:val="single" w:color="auto" w:sz="4" w:space="0"/>
              <w:right w:val="single" w:color="auto" w:sz="4" w:space="0"/>
            </w:tcBorders>
            <w:noWrap/>
            <w:vAlign w:val="center"/>
          </w:tcPr>
          <w:p w14:paraId="270C1315">
            <w:pPr>
              <w:rPr>
                <w:rFonts w:ascii="宋体" w:hAnsi="宋体"/>
                <w:szCs w:val="21"/>
              </w:rPr>
            </w:pPr>
            <w:r>
              <w:rPr>
                <w:rFonts w:hint="eastAsia" w:ascii="宋体" w:hAnsi="宋体"/>
                <w:szCs w:val="21"/>
              </w:rPr>
              <w:t>发生一次扣10分</w:t>
            </w:r>
          </w:p>
        </w:tc>
      </w:tr>
      <w:tr w14:paraId="1FE0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tcBorders>
              <w:top w:val="single" w:color="auto" w:sz="4" w:space="0"/>
              <w:left w:val="single" w:color="auto" w:sz="4" w:space="0"/>
              <w:right w:val="single" w:color="auto" w:sz="4" w:space="0"/>
            </w:tcBorders>
            <w:noWrap/>
            <w:vAlign w:val="center"/>
          </w:tcPr>
          <w:p w14:paraId="631AC00A">
            <w:pPr>
              <w:jc w:val="center"/>
              <w:rPr>
                <w:rFonts w:ascii="宋体" w:hAnsi="宋体"/>
                <w:szCs w:val="21"/>
              </w:rPr>
            </w:pPr>
            <w:r>
              <w:rPr>
                <w:rFonts w:hint="eastAsia" w:ascii="宋体" w:hAnsi="宋体"/>
                <w:szCs w:val="21"/>
              </w:rPr>
              <w:t>运行</w:t>
            </w:r>
          </w:p>
        </w:tc>
        <w:tc>
          <w:tcPr>
            <w:tcW w:w="709" w:type="dxa"/>
            <w:vMerge w:val="restart"/>
            <w:tcBorders>
              <w:top w:val="single" w:color="auto" w:sz="4" w:space="0"/>
              <w:left w:val="single" w:color="auto" w:sz="4" w:space="0"/>
              <w:right w:val="single" w:color="auto" w:sz="4" w:space="0"/>
            </w:tcBorders>
            <w:noWrap/>
            <w:vAlign w:val="center"/>
          </w:tcPr>
          <w:p w14:paraId="33791AE5">
            <w:pPr>
              <w:jc w:val="center"/>
              <w:rPr>
                <w:rFonts w:ascii="宋体" w:hAnsi="宋体"/>
                <w:szCs w:val="21"/>
              </w:rPr>
            </w:pPr>
            <w:r>
              <w:rPr>
                <w:rFonts w:hint="eastAsia" w:ascii="宋体" w:hAnsi="宋体"/>
                <w:szCs w:val="21"/>
              </w:rPr>
              <w:t>20</w:t>
            </w:r>
          </w:p>
        </w:tc>
        <w:tc>
          <w:tcPr>
            <w:tcW w:w="4342" w:type="dxa"/>
            <w:tcBorders>
              <w:top w:val="single" w:color="auto" w:sz="4" w:space="0"/>
              <w:left w:val="single" w:color="auto" w:sz="4" w:space="0"/>
              <w:bottom w:val="single" w:color="auto" w:sz="4" w:space="0"/>
              <w:right w:val="single" w:color="auto" w:sz="4" w:space="0"/>
            </w:tcBorders>
            <w:noWrap/>
          </w:tcPr>
          <w:p w14:paraId="12D60B42">
            <w:pPr>
              <w:rPr>
                <w:rFonts w:ascii="宋体" w:hAnsi="宋体"/>
                <w:szCs w:val="21"/>
              </w:rPr>
            </w:pPr>
            <w:r>
              <w:rPr>
                <w:rFonts w:hint="eastAsia" w:ascii="宋体" w:hAnsi="宋体"/>
                <w:szCs w:val="21"/>
              </w:rPr>
              <w:t>系统服务可用率≥95%</w:t>
            </w:r>
          </w:p>
        </w:tc>
        <w:tc>
          <w:tcPr>
            <w:tcW w:w="2745" w:type="dxa"/>
            <w:tcBorders>
              <w:top w:val="single" w:color="auto" w:sz="4" w:space="0"/>
              <w:left w:val="single" w:color="auto" w:sz="4" w:space="0"/>
              <w:bottom w:val="single" w:color="auto" w:sz="4" w:space="0"/>
              <w:right w:val="single" w:color="auto" w:sz="4" w:space="0"/>
            </w:tcBorders>
            <w:noWrap/>
          </w:tcPr>
          <w:p w14:paraId="45573941">
            <w:pPr>
              <w:rPr>
                <w:rFonts w:ascii="宋体" w:hAnsi="宋体"/>
                <w:szCs w:val="21"/>
              </w:rPr>
            </w:pPr>
            <w:r>
              <w:rPr>
                <w:rFonts w:hint="eastAsia" w:ascii="宋体" w:hAnsi="宋体"/>
                <w:szCs w:val="21"/>
              </w:rPr>
              <w:t>低于95%扣2分</w:t>
            </w:r>
          </w:p>
        </w:tc>
      </w:tr>
      <w:tr w14:paraId="45AA5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tcBorders>
              <w:left w:val="single" w:color="auto" w:sz="4" w:space="0"/>
              <w:bottom w:val="single" w:color="auto" w:sz="4" w:space="0"/>
              <w:right w:val="single" w:color="auto" w:sz="4" w:space="0"/>
            </w:tcBorders>
            <w:noWrap/>
            <w:vAlign w:val="center"/>
          </w:tcPr>
          <w:p w14:paraId="7C0F92F7">
            <w:pPr>
              <w:jc w:val="center"/>
              <w:rPr>
                <w:rFonts w:ascii="宋体" w:hAnsi="宋体"/>
                <w:szCs w:val="21"/>
              </w:rPr>
            </w:pPr>
          </w:p>
        </w:tc>
        <w:tc>
          <w:tcPr>
            <w:tcW w:w="709" w:type="dxa"/>
            <w:vMerge w:val="continue"/>
            <w:tcBorders>
              <w:left w:val="single" w:color="auto" w:sz="4" w:space="0"/>
              <w:bottom w:val="single" w:color="auto" w:sz="4" w:space="0"/>
              <w:right w:val="single" w:color="auto" w:sz="4" w:space="0"/>
            </w:tcBorders>
            <w:noWrap/>
            <w:vAlign w:val="center"/>
          </w:tcPr>
          <w:p w14:paraId="7A19EED1">
            <w:pPr>
              <w:jc w:val="center"/>
              <w:rPr>
                <w:rFonts w:ascii="宋体" w:hAnsi="宋体"/>
                <w:szCs w:val="21"/>
              </w:rPr>
            </w:pPr>
          </w:p>
        </w:tc>
        <w:tc>
          <w:tcPr>
            <w:tcW w:w="4342" w:type="dxa"/>
            <w:tcBorders>
              <w:top w:val="single" w:color="auto" w:sz="4" w:space="0"/>
              <w:left w:val="single" w:color="auto" w:sz="4" w:space="0"/>
              <w:bottom w:val="single" w:color="auto" w:sz="4" w:space="0"/>
              <w:right w:val="single" w:color="auto" w:sz="4" w:space="0"/>
            </w:tcBorders>
            <w:noWrap/>
          </w:tcPr>
          <w:p w14:paraId="0BD6F986">
            <w:pPr>
              <w:rPr>
                <w:rFonts w:ascii="宋体" w:hAnsi="宋体"/>
                <w:szCs w:val="21"/>
              </w:rPr>
            </w:pPr>
            <w:r>
              <w:rPr>
                <w:rFonts w:hint="eastAsia" w:ascii="宋体" w:hAnsi="宋体"/>
                <w:szCs w:val="21"/>
              </w:rPr>
              <w:t>系统运行可靠率≥95%</w:t>
            </w:r>
          </w:p>
        </w:tc>
        <w:tc>
          <w:tcPr>
            <w:tcW w:w="2745" w:type="dxa"/>
            <w:tcBorders>
              <w:top w:val="single" w:color="auto" w:sz="4" w:space="0"/>
              <w:left w:val="single" w:color="auto" w:sz="4" w:space="0"/>
              <w:bottom w:val="single" w:color="auto" w:sz="4" w:space="0"/>
              <w:right w:val="single" w:color="auto" w:sz="4" w:space="0"/>
            </w:tcBorders>
            <w:noWrap/>
          </w:tcPr>
          <w:p w14:paraId="50E53058">
            <w:pPr>
              <w:rPr>
                <w:rFonts w:ascii="宋体" w:hAnsi="宋体"/>
                <w:szCs w:val="21"/>
              </w:rPr>
            </w:pPr>
            <w:r>
              <w:rPr>
                <w:rFonts w:hint="eastAsia" w:ascii="宋体" w:hAnsi="宋体"/>
                <w:szCs w:val="21"/>
              </w:rPr>
              <w:t>低于95%扣2分</w:t>
            </w:r>
          </w:p>
        </w:tc>
      </w:tr>
      <w:tr w14:paraId="01225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tcBorders>
              <w:top w:val="single" w:color="auto" w:sz="4" w:space="0"/>
              <w:left w:val="single" w:color="auto" w:sz="4" w:space="0"/>
              <w:right w:val="single" w:color="auto" w:sz="4" w:space="0"/>
            </w:tcBorders>
            <w:noWrap/>
            <w:vAlign w:val="center"/>
          </w:tcPr>
          <w:p w14:paraId="724C6330">
            <w:pPr>
              <w:jc w:val="center"/>
              <w:rPr>
                <w:rFonts w:ascii="宋体" w:hAnsi="宋体"/>
                <w:szCs w:val="21"/>
              </w:rPr>
            </w:pPr>
            <w:r>
              <w:rPr>
                <w:rFonts w:hint="eastAsia" w:ascii="宋体" w:hAnsi="宋体"/>
                <w:szCs w:val="21"/>
              </w:rPr>
              <w:t>服务</w:t>
            </w:r>
          </w:p>
        </w:tc>
        <w:tc>
          <w:tcPr>
            <w:tcW w:w="709" w:type="dxa"/>
            <w:tcBorders>
              <w:top w:val="single" w:color="auto" w:sz="4" w:space="0"/>
              <w:left w:val="single" w:color="auto" w:sz="4" w:space="0"/>
              <w:bottom w:val="single" w:color="auto" w:sz="4" w:space="0"/>
              <w:right w:val="single" w:color="auto" w:sz="4" w:space="0"/>
            </w:tcBorders>
            <w:noWrap/>
            <w:vAlign w:val="center"/>
          </w:tcPr>
          <w:p w14:paraId="186C55AA">
            <w:pPr>
              <w:jc w:val="center"/>
              <w:rPr>
                <w:rFonts w:ascii="宋体" w:hAnsi="宋体"/>
                <w:szCs w:val="21"/>
              </w:rPr>
            </w:pPr>
            <w:r>
              <w:rPr>
                <w:rFonts w:hint="eastAsia" w:ascii="宋体" w:hAnsi="宋体"/>
                <w:szCs w:val="21"/>
              </w:rPr>
              <w:t>5</w:t>
            </w:r>
          </w:p>
        </w:tc>
        <w:tc>
          <w:tcPr>
            <w:tcW w:w="4342" w:type="dxa"/>
            <w:tcBorders>
              <w:top w:val="single" w:color="auto" w:sz="4" w:space="0"/>
              <w:left w:val="single" w:color="auto" w:sz="4" w:space="0"/>
              <w:bottom w:val="single" w:color="auto" w:sz="4" w:space="0"/>
              <w:right w:val="single" w:color="auto" w:sz="4" w:space="0"/>
            </w:tcBorders>
            <w:noWrap/>
          </w:tcPr>
          <w:p w14:paraId="330744F0">
            <w:pPr>
              <w:rPr>
                <w:rFonts w:ascii="宋体" w:hAnsi="宋体"/>
                <w:szCs w:val="21"/>
              </w:rPr>
            </w:pPr>
            <w:r>
              <w:rPr>
                <w:rFonts w:hint="eastAsia" w:ascii="宋体" w:hAnsi="宋体"/>
                <w:szCs w:val="21"/>
              </w:rPr>
              <w:t>服务响应时间</w:t>
            </w:r>
          </w:p>
        </w:tc>
        <w:tc>
          <w:tcPr>
            <w:tcW w:w="2745" w:type="dxa"/>
            <w:tcBorders>
              <w:top w:val="single" w:color="auto" w:sz="4" w:space="0"/>
              <w:left w:val="single" w:color="auto" w:sz="4" w:space="0"/>
              <w:bottom w:val="single" w:color="auto" w:sz="4" w:space="0"/>
              <w:right w:val="single" w:color="auto" w:sz="4" w:space="0"/>
            </w:tcBorders>
            <w:noWrap/>
          </w:tcPr>
          <w:p w14:paraId="35755185">
            <w:pPr>
              <w:rPr>
                <w:rFonts w:ascii="宋体" w:hAnsi="宋体"/>
                <w:szCs w:val="21"/>
              </w:rPr>
            </w:pPr>
            <w:r>
              <w:rPr>
                <w:rFonts w:hint="eastAsia" w:ascii="宋体" w:hAnsi="宋体"/>
                <w:szCs w:val="21"/>
              </w:rPr>
              <w:t>每超出30分钟扣0.5分</w:t>
            </w:r>
          </w:p>
        </w:tc>
      </w:tr>
      <w:tr w14:paraId="0C79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tcBorders>
              <w:left w:val="single" w:color="auto" w:sz="4" w:space="0"/>
              <w:right w:val="single" w:color="auto" w:sz="4" w:space="0"/>
            </w:tcBorders>
            <w:noWrap/>
            <w:vAlign w:val="center"/>
          </w:tcPr>
          <w:p w14:paraId="40D1976E">
            <w:pPr>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14:paraId="6DFA8EC3">
            <w:pPr>
              <w:jc w:val="center"/>
              <w:rPr>
                <w:rFonts w:ascii="宋体" w:hAnsi="宋体"/>
                <w:szCs w:val="21"/>
              </w:rPr>
            </w:pPr>
            <w:r>
              <w:rPr>
                <w:rFonts w:hint="eastAsia" w:ascii="宋体" w:hAnsi="宋体"/>
                <w:szCs w:val="21"/>
              </w:rPr>
              <w:t>5</w:t>
            </w:r>
          </w:p>
        </w:tc>
        <w:tc>
          <w:tcPr>
            <w:tcW w:w="4342" w:type="dxa"/>
            <w:tcBorders>
              <w:top w:val="single" w:color="auto" w:sz="4" w:space="0"/>
              <w:left w:val="single" w:color="auto" w:sz="4" w:space="0"/>
              <w:bottom w:val="single" w:color="auto" w:sz="4" w:space="0"/>
              <w:right w:val="single" w:color="auto" w:sz="4" w:space="0"/>
            </w:tcBorders>
            <w:noWrap/>
            <w:vAlign w:val="center"/>
          </w:tcPr>
          <w:p w14:paraId="57B048C9">
            <w:pPr>
              <w:rPr>
                <w:rFonts w:ascii="宋体" w:hAnsi="宋体"/>
                <w:szCs w:val="21"/>
              </w:rPr>
            </w:pPr>
            <w:r>
              <w:rPr>
                <w:rFonts w:hint="eastAsia" w:ascii="宋体" w:hAnsi="宋体"/>
                <w:szCs w:val="21"/>
              </w:rPr>
              <w:t>故障解决超出时限</w:t>
            </w:r>
          </w:p>
        </w:tc>
        <w:tc>
          <w:tcPr>
            <w:tcW w:w="2745" w:type="dxa"/>
            <w:tcBorders>
              <w:top w:val="single" w:color="auto" w:sz="4" w:space="0"/>
              <w:left w:val="single" w:color="auto" w:sz="4" w:space="0"/>
              <w:bottom w:val="single" w:color="auto" w:sz="4" w:space="0"/>
              <w:right w:val="single" w:color="auto" w:sz="4" w:space="0"/>
            </w:tcBorders>
            <w:noWrap/>
          </w:tcPr>
          <w:p w14:paraId="30960750">
            <w:pPr>
              <w:rPr>
                <w:rFonts w:ascii="宋体" w:hAnsi="宋体"/>
                <w:szCs w:val="21"/>
              </w:rPr>
            </w:pPr>
            <w:r>
              <w:rPr>
                <w:rFonts w:hint="eastAsia" w:ascii="宋体" w:hAnsi="宋体"/>
                <w:szCs w:val="21"/>
              </w:rPr>
              <w:t>每次扣0.5分</w:t>
            </w:r>
          </w:p>
        </w:tc>
      </w:tr>
      <w:tr w14:paraId="634BD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tcBorders>
              <w:left w:val="single" w:color="auto" w:sz="4" w:space="0"/>
              <w:right w:val="single" w:color="auto" w:sz="4" w:space="0"/>
            </w:tcBorders>
            <w:noWrap/>
            <w:vAlign w:val="center"/>
          </w:tcPr>
          <w:p w14:paraId="7C11888D">
            <w:pPr>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14:paraId="40C20C2A">
            <w:pPr>
              <w:jc w:val="center"/>
              <w:rPr>
                <w:rFonts w:ascii="宋体" w:hAnsi="宋体"/>
                <w:szCs w:val="21"/>
              </w:rPr>
            </w:pPr>
            <w:r>
              <w:rPr>
                <w:rFonts w:hint="eastAsia" w:ascii="宋体" w:hAnsi="宋体"/>
                <w:szCs w:val="21"/>
              </w:rPr>
              <w:t>10</w:t>
            </w:r>
          </w:p>
        </w:tc>
        <w:tc>
          <w:tcPr>
            <w:tcW w:w="4342" w:type="dxa"/>
            <w:tcBorders>
              <w:top w:val="single" w:color="auto" w:sz="4" w:space="0"/>
              <w:left w:val="single" w:color="auto" w:sz="4" w:space="0"/>
              <w:bottom w:val="single" w:color="auto" w:sz="4" w:space="0"/>
              <w:right w:val="single" w:color="auto" w:sz="4" w:space="0"/>
            </w:tcBorders>
            <w:noWrap/>
          </w:tcPr>
          <w:p w14:paraId="7C44582A">
            <w:pPr>
              <w:rPr>
                <w:rFonts w:ascii="宋体" w:hAnsi="宋体"/>
                <w:szCs w:val="21"/>
              </w:rPr>
            </w:pPr>
            <w:r>
              <w:rPr>
                <w:rFonts w:hint="eastAsia" w:ascii="宋体" w:hAnsi="宋体"/>
                <w:szCs w:val="21"/>
              </w:rPr>
              <w:t>故障解决率</w:t>
            </w:r>
          </w:p>
        </w:tc>
        <w:tc>
          <w:tcPr>
            <w:tcW w:w="2745" w:type="dxa"/>
            <w:tcBorders>
              <w:top w:val="single" w:color="auto" w:sz="4" w:space="0"/>
              <w:left w:val="single" w:color="auto" w:sz="4" w:space="0"/>
              <w:bottom w:val="single" w:color="auto" w:sz="4" w:space="0"/>
              <w:right w:val="single" w:color="auto" w:sz="4" w:space="0"/>
            </w:tcBorders>
            <w:noWrap/>
          </w:tcPr>
          <w:p w14:paraId="1EFEB28A">
            <w:pPr>
              <w:rPr>
                <w:rFonts w:ascii="宋体" w:hAnsi="宋体"/>
                <w:szCs w:val="21"/>
              </w:rPr>
            </w:pPr>
            <w:r>
              <w:rPr>
                <w:rFonts w:ascii="宋体" w:hAnsi="宋体"/>
                <w:szCs w:val="21"/>
              </w:rPr>
              <w:t>未解决故障</w:t>
            </w:r>
            <w:r>
              <w:rPr>
                <w:rFonts w:hint="eastAsia" w:ascii="宋体" w:hAnsi="宋体"/>
                <w:szCs w:val="21"/>
              </w:rPr>
              <w:t>每次扣0.5分</w:t>
            </w:r>
          </w:p>
        </w:tc>
      </w:tr>
      <w:tr w14:paraId="3359D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tcBorders>
              <w:left w:val="single" w:color="auto" w:sz="4" w:space="0"/>
              <w:right w:val="single" w:color="auto" w:sz="4" w:space="0"/>
            </w:tcBorders>
            <w:noWrap/>
            <w:vAlign w:val="center"/>
          </w:tcPr>
          <w:p w14:paraId="3E148C60">
            <w:pP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14:paraId="3F8903C7">
            <w:pPr>
              <w:jc w:val="center"/>
              <w:rPr>
                <w:rFonts w:ascii="宋体" w:hAnsi="宋体"/>
                <w:szCs w:val="21"/>
              </w:rPr>
            </w:pPr>
            <w:r>
              <w:rPr>
                <w:rFonts w:hint="eastAsia" w:ascii="宋体" w:hAnsi="宋体"/>
                <w:szCs w:val="21"/>
              </w:rPr>
              <w:t>5</w:t>
            </w:r>
          </w:p>
        </w:tc>
        <w:tc>
          <w:tcPr>
            <w:tcW w:w="4342" w:type="dxa"/>
            <w:tcBorders>
              <w:top w:val="single" w:color="auto" w:sz="4" w:space="0"/>
              <w:left w:val="single" w:color="auto" w:sz="4" w:space="0"/>
              <w:bottom w:val="single" w:color="auto" w:sz="4" w:space="0"/>
              <w:right w:val="single" w:color="auto" w:sz="4" w:space="0"/>
            </w:tcBorders>
            <w:noWrap/>
          </w:tcPr>
          <w:p w14:paraId="3D7E8FBE">
            <w:pPr>
              <w:rPr>
                <w:rFonts w:ascii="宋体" w:hAnsi="宋体"/>
                <w:szCs w:val="21"/>
              </w:rPr>
            </w:pPr>
            <w:r>
              <w:rPr>
                <w:rFonts w:hint="eastAsia" w:ascii="宋体" w:hAnsi="宋体"/>
                <w:szCs w:val="21"/>
              </w:rPr>
              <w:t>培训</w:t>
            </w:r>
          </w:p>
        </w:tc>
        <w:tc>
          <w:tcPr>
            <w:tcW w:w="2745" w:type="dxa"/>
            <w:tcBorders>
              <w:top w:val="single" w:color="auto" w:sz="4" w:space="0"/>
              <w:left w:val="single" w:color="auto" w:sz="4" w:space="0"/>
              <w:bottom w:val="single" w:color="auto" w:sz="4" w:space="0"/>
              <w:right w:val="single" w:color="auto" w:sz="4" w:space="0"/>
            </w:tcBorders>
            <w:noWrap/>
          </w:tcPr>
          <w:p w14:paraId="0C0818EB">
            <w:pPr>
              <w:rPr>
                <w:rFonts w:ascii="宋体" w:hAnsi="宋体"/>
                <w:szCs w:val="21"/>
              </w:rPr>
            </w:pPr>
            <w:r>
              <w:rPr>
                <w:rFonts w:ascii="宋体" w:hAnsi="宋体"/>
                <w:szCs w:val="21"/>
              </w:rPr>
              <w:t>不满足要求每次扣</w:t>
            </w:r>
            <w:r>
              <w:rPr>
                <w:rFonts w:hint="eastAsia" w:ascii="宋体" w:hAnsi="宋体"/>
                <w:szCs w:val="21"/>
              </w:rPr>
              <w:t>1分</w:t>
            </w:r>
          </w:p>
        </w:tc>
      </w:tr>
      <w:tr w14:paraId="741AB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tcBorders>
              <w:left w:val="single" w:color="auto" w:sz="4" w:space="0"/>
              <w:bottom w:val="single" w:color="auto" w:sz="4" w:space="0"/>
              <w:right w:val="single" w:color="auto" w:sz="4" w:space="0"/>
            </w:tcBorders>
            <w:noWrap/>
            <w:vAlign w:val="center"/>
          </w:tcPr>
          <w:p w14:paraId="6AFFE7FC">
            <w:pP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14:paraId="09CD23CB">
            <w:pPr>
              <w:jc w:val="center"/>
              <w:rPr>
                <w:rFonts w:ascii="宋体" w:hAnsi="宋体"/>
                <w:szCs w:val="21"/>
              </w:rPr>
            </w:pPr>
            <w:r>
              <w:rPr>
                <w:rFonts w:hint="eastAsia" w:ascii="宋体" w:hAnsi="宋体"/>
                <w:szCs w:val="21"/>
              </w:rPr>
              <w:t>5</w:t>
            </w:r>
          </w:p>
        </w:tc>
        <w:tc>
          <w:tcPr>
            <w:tcW w:w="4342" w:type="dxa"/>
            <w:tcBorders>
              <w:top w:val="single" w:color="auto" w:sz="4" w:space="0"/>
              <w:left w:val="single" w:color="auto" w:sz="4" w:space="0"/>
              <w:bottom w:val="single" w:color="auto" w:sz="4" w:space="0"/>
              <w:right w:val="single" w:color="auto" w:sz="4" w:space="0"/>
            </w:tcBorders>
            <w:noWrap/>
          </w:tcPr>
          <w:p w14:paraId="4BDF1692">
            <w:pPr>
              <w:rPr>
                <w:rFonts w:ascii="宋体" w:hAnsi="宋体"/>
                <w:szCs w:val="21"/>
              </w:rPr>
            </w:pPr>
            <w:r>
              <w:rPr>
                <w:rFonts w:hint="eastAsia" w:ascii="宋体" w:hAnsi="宋体"/>
                <w:szCs w:val="21"/>
              </w:rPr>
              <w:t>客户培训满意度</w:t>
            </w:r>
          </w:p>
        </w:tc>
        <w:tc>
          <w:tcPr>
            <w:tcW w:w="2745" w:type="dxa"/>
            <w:tcBorders>
              <w:top w:val="single" w:color="auto" w:sz="4" w:space="0"/>
              <w:left w:val="single" w:color="auto" w:sz="4" w:space="0"/>
              <w:bottom w:val="single" w:color="auto" w:sz="4" w:space="0"/>
              <w:right w:val="single" w:color="auto" w:sz="4" w:space="0"/>
            </w:tcBorders>
            <w:noWrap/>
          </w:tcPr>
          <w:p w14:paraId="0DE34DE6">
            <w:pPr>
              <w:rPr>
                <w:rFonts w:ascii="宋体" w:hAnsi="宋体"/>
                <w:szCs w:val="21"/>
              </w:rPr>
            </w:pPr>
            <w:r>
              <w:rPr>
                <w:rFonts w:ascii="宋体" w:hAnsi="宋体"/>
                <w:szCs w:val="21"/>
              </w:rPr>
              <w:t>不合格扣</w:t>
            </w:r>
            <w:r>
              <w:rPr>
                <w:rFonts w:hint="eastAsia" w:ascii="宋体" w:hAnsi="宋体"/>
                <w:szCs w:val="21"/>
              </w:rPr>
              <w:t>1分</w:t>
            </w:r>
          </w:p>
        </w:tc>
      </w:tr>
      <w:tr w14:paraId="50A4D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noWrap/>
            <w:vAlign w:val="center"/>
          </w:tcPr>
          <w:p w14:paraId="4E30291B">
            <w:pPr>
              <w:jc w:val="center"/>
              <w:rPr>
                <w:rFonts w:ascii="宋体" w:hAnsi="宋体"/>
                <w:szCs w:val="21"/>
              </w:rPr>
            </w:pPr>
            <w:r>
              <w:rPr>
                <w:rFonts w:hint="eastAsia" w:ascii="宋体" w:hAnsi="宋体"/>
                <w:szCs w:val="21"/>
              </w:rPr>
              <w:t>用户满意度</w:t>
            </w:r>
          </w:p>
        </w:tc>
        <w:tc>
          <w:tcPr>
            <w:tcW w:w="709" w:type="dxa"/>
            <w:tcBorders>
              <w:top w:val="single" w:color="auto" w:sz="4" w:space="0"/>
              <w:left w:val="single" w:color="auto" w:sz="4" w:space="0"/>
              <w:bottom w:val="single" w:color="auto" w:sz="4" w:space="0"/>
              <w:right w:val="single" w:color="auto" w:sz="4" w:space="0"/>
            </w:tcBorders>
            <w:noWrap/>
            <w:vAlign w:val="center"/>
          </w:tcPr>
          <w:p w14:paraId="13583BC3">
            <w:pPr>
              <w:jc w:val="center"/>
              <w:rPr>
                <w:rFonts w:ascii="宋体" w:hAnsi="宋体"/>
                <w:szCs w:val="21"/>
              </w:rPr>
            </w:pPr>
            <w:r>
              <w:rPr>
                <w:rFonts w:hint="eastAsia" w:ascii="宋体" w:hAnsi="宋体"/>
                <w:szCs w:val="21"/>
              </w:rPr>
              <w:t>10</w:t>
            </w:r>
          </w:p>
        </w:tc>
        <w:tc>
          <w:tcPr>
            <w:tcW w:w="4342" w:type="dxa"/>
            <w:tcBorders>
              <w:top w:val="single" w:color="auto" w:sz="4" w:space="0"/>
              <w:left w:val="single" w:color="auto" w:sz="4" w:space="0"/>
              <w:bottom w:val="single" w:color="auto" w:sz="4" w:space="0"/>
              <w:right w:val="single" w:color="auto" w:sz="4" w:space="0"/>
            </w:tcBorders>
            <w:noWrap/>
            <w:vAlign w:val="center"/>
          </w:tcPr>
          <w:p w14:paraId="48DE9200">
            <w:pPr>
              <w:pStyle w:val="9"/>
              <w:tabs>
                <w:tab w:val="left" w:pos="900"/>
              </w:tabs>
              <w:adjustRightInd/>
              <w:spacing w:line="300" w:lineRule="auto"/>
              <w:ind w:firstLine="0"/>
              <w:rPr>
                <w:rFonts w:ascii="宋体" w:hAnsi="宋体"/>
                <w:kern w:val="2"/>
                <w:sz w:val="21"/>
                <w:szCs w:val="21"/>
              </w:rPr>
            </w:pPr>
            <w:r>
              <w:rPr>
                <w:rFonts w:hint="eastAsia" w:ascii="宋体" w:hAnsi="宋体"/>
                <w:kern w:val="2"/>
                <w:sz w:val="21"/>
                <w:szCs w:val="21"/>
              </w:rPr>
              <w:t>用户服务满意率≥90%，不发生用户投诉事件。</w:t>
            </w:r>
          </w:p>
        </w:tc>
        <w:tc>
          <w:tcPr>
            <w:tcW w:w="2745" w:type="dxa"/>
            <w:tcBorders>
              <w:top w:val="single" w:color="auto" w:sz="4" w:space="0"/>
              <w:left w:val="single" w:color="auto" w:sz="4" w:space="0"/>
              <w:bottom w:val="single" w:color="auto" w:sz="4" w:space="0"/>
              <w:right w:val="single" w:color="auto" w:sz="4" w:space="0"/>
            </w:tcBorders>
            <w:noWrap/>
            <w:vAlign w:val="center"/>
          </w:tcPr>
          <w:p w14:paraId="3B26C19F">
            <w:pPr>
              <w:pStyle w:val="9"/>
              <w:tabs>
                <w:tab w:val="left" w:pos="900"/>
              </w:tabs>
              <w:adjustRightInd/>
              <w:spacing w:line="300" w:lineRule="auto"/>
              <w:ind w:firstLine="0"/>
              <w:rPr>
                <w:rFonts w:ascii="宋体" w:hAnsi="宋体"/>
                <w:kern w:val="2"/>
                <w:sz w:val="21"/>
                <w:szCs w:val="21"/>
              </w:rPr>
            </w:pPr>
            <w:r>
              <w:rPr>
                <w:rFonts w:hint="eastAsia" w:ascii="宋体" w:hAnsi="宋体"/>
                <w:kern w:val="2"/>
                <w:sz w:val="21"/>
                <w:szCs w:val="21"/>
              </w:rPr>
              <w:t>低于90%扣2分，用户投诉发生一次扣1分。</w:t>
            </w:r>
          </w:p>
        </w:tc>
      </w:tr>
      <w:tr w14:paraId="57B96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tcBorders>
              <w:top w:val="single" w:color="auto" w:sz="4" w:space="0"/>
              <w:left w:val="single" w:color="auto" w:sz="4" w:space="0"/>
              <w:bottom w:val="single" w:color="auto" w:sz="4" w:space="0"/>
              <w:right w:val="single" w:color="auto" w:sz="4" w:space="0"/>
            </w:tcBorders>
            <w:noWrap/>
            <w:vAlign w:val="center"/>
          </w:tcPr>
          <w:p w14:paraId="77EA4D52">
            <w:pPr>
              <w:jc w:val="center"/>
              <w:rPr>
                <w:rFonts w:ascii="宋体" w:hAnsi="宋体"/>
                <w:szCs w:val="21"/>
              </w:rPr>
            </w:pPr>
            <w:r>
              <w:rPr>
                <w:rFonts w:hint="eastAsia" w:ascii="宋体" w:hAnsi="宋体"/>
                <w:szCs w:val="21"/>
              </w:rPr>
              <w:t>项目管理</w:t>
            </w:r>
          </w:p>
        </w:tc>
        <w:tc>
          <w:tcPr>
            <w:tcW w:w="709" w:type="dxa"/>
            <w:tcBorders>
              <w:top w:val="single" w:color="auto" w:sz="4" w:space="0"/>
              <w:left w:val="single" w:color="auto" w:sz="4" w:space="0"/>
              <w:bottom w:val="single" w:color="auto" w:sz="4" w:space="0"/>
              <w:right w:val="single" w:color="auto" w:sz="4" w:space="0"/>
            </w:tcBorders>
            <w:noWrap/>
            <w:vAlign w:val="center"/>
          </w:tcPr>
          <w:p w14:paraId="4900D40D">
            <w:pPr>
              <w:jc w:val="center"/>
              <w:rPr>
                <w:rFonts w:ascii="宋体" w:hAnsi="宋体"/>
                <w:szCs w:val="21"/>
              </w:rPr>
            </w:pPr>
            <w:r>
              <w:rPr>
                <w:rFonts w:hint="eastAsia" w:ascii="宋体" w:hAnsi="宋体"/>
                <w:szCs w:val="21"/>
              </w:rPr>
              <w:t>5</w:t>
            </w:r>
          </w:p>
        </w:tc>
        <w:tc>
          <w:tcPr>
            <w:tcW w:w="4342" w:type="dxa"/>
            <w:tcBorders>
              <w:top w:val="single" w:color="auto" w:sz="4" w:space="0"/>
              <w:left w:val="single" w:color="auto" w:sz="4" w:space="0"/>
              <w:bottom w:val="single" w:color="auto" w:sz="4" w:space="0"/>
              <w:right w:val="single" w:color="auto" w:sz="4" w:space="0"/>
            </w:tcBorders>
            <w:noWrap/>
            <w:vAlign w:val="center"/>
          </w:tcPr>
          <w:p w14:paraId="3D3AFE0D">
            <w:pPr>
              <w:pStyle w:val="9"/>
              <w:tabs>
                <w:tab w:val="left" w:pos="900"/>
              </w:tabs>
              <w:adjustRightInd/>
              <w:spacing w:line="300" w:lineRule="auto"/>
              <w:ind w:firstLine="0"/>
              <w:rPr>
                <w:rFonts w:ascii="宋体" w:hAnsi="宋体"/>
                <w:kern w:val="2"/>
                <w:sz w:val="21"/>
                <w:szCs w:val="21"/>
              </w:rPr>
            </w:pPr>
            <w:r>
              <w:rPr>
                <w:rFonts w:hint="eastAsia" w:ascii="宋体" w:hAnsi="宋体"/>
                <w:kern w:val="2"/>
                <w:sz w:val="21"/>
                <w:szCs w:val="21"/>
              </w:rPr>
              <w:t>运维方人员能力评价</w:t>
            </w:r>
          </w:p>
        </w:tc>
        <w:tc>
          <w:tcPr>
            <w:tcW w:w="2745" w:type="dxa"/>
            <w:tcBorders>
              <w:top w:val="single" w:color="auto" w:sz="4" w:space="0"/>
              <w:left w:val="single" w:color="auto" w:sz="4" w:space="0"/>
              <w:bottom w:val="single" w:color="auto" w:sz="4" w:space="0"/>
              <w:right w:val="single" w:color="auto" w:sz="4" w:space="0"/>
            </w:tcBorders>
            <w:noWrap/>
            <w:vAlign w:val="center"/>
          </w:tcPr>
          <w:p w14:paraId="53B25940">
            <w:pPr>
              <w:pStyle w:val="9"/>
              <w:tabs>
                <w:tab w:val="left" w:pos="900"/>
              </w:tabs>
              <w:adjustRightInd/>
              <w:spacing w:line="300" w:lineRule="auto"/>
              <w:ind w:firstLine="0"/>
              <w:rPr>
                <w:rFonts w:ascii="宋体" w:hAnsi="宋体"/>
                <w:kern w:val="2"/>
                <w:sz w:val="21"/>
                <w:szCs w:val="21"/>
              </w:rPr>
            </w:pPr>
            <w:r>
              <w:rPr>
                <w:rFonts w:hint="eastAsia" w:ascii="宋体" w:hAnsi="宋体"/>
                <w:kern w:val="2"/>
                <w:sz w:val="21"/>
                <w:szCs w:val="21"/>
              </w:rPr>
              <w:t>人员能力</w:t>
            </w:r>
            <w:r>
              <w:rPr>
                <w:rFonts w:hint="eastAsia" w:ascii="宋体" w:hAnsi="宋体"/>
                <w:color w:val="000000"/>
                <w:kern w:val="2"/>
                <w:sz w:val="21"/>
                <w:szCs w:val="21"/>
              </w:rPr>
              <w:t>或人数</w:t>
            </w:r>
            <w:r>
              <w:rPr>
                <w:rFonts w:hint="eastAsia" w:ascii="宋体" w:hAnsi="宋体"/>
                <w:kern w:val="2"/>
                <w:sz w:val="21"/>
                <w:szCs w:val="21"/>
              </w:rPr>
              <w:t>不满足</w:t>
            </w:r>
            <w:r>
              <w:rPr>
                <w:rFonts w:hint="eastAsia" w:ascii="宋体" w:hAnsi="宋体"/>
                <w:color w:val="000000"/>
                <w:kern w:val="2"/>
                <w:sz w:val="21"/>
                <w:szCs w:val="21"/>
              </w:rPr>
              <w:t>甲方</w:t>
            </w:r>
            <w:r>
              <w:rPr>
                <w:rFonts w:hint="eastAsia" w:ascii="宋体" w:hAnsi="宋体"/>
                <w:kern w:val="2"/>
                <w:sz w:val="21"/>
                <w:szCs w:val="21"/>
              </w:rPr>
              <w:t>要求</w:t>
            </w:r>
            <w:r>
              <w:rPr>
                <w:rFonts w:hint="eastAsia" w:ascii="宋体" w:hAnsi="宋体"/>
                <w:color w:val="000000"/>
                <w:kern w:val="2"/>
                <w:sz w:val="21"/>
                <w:szCs w:val="21"/>
              </w:rPr>
              <w:t>，</w:t>
            </w:r>
            <w:r>
              <w:rPr>
                <w:rFonts w:hint="eastAsia" w:ascii="宋体" w:hAnsi="宋体"/>
                <w:kern w:val="2"/>
                <w:sz w:val="21"/>
                <w:szCs w:val="21"/>
              </w:rPr>
              <w:t>扣1分/人。</w:t>
            </w:r>
          </w:p>
        </w:tc>
      </w:tr>
      <w:tr w14:paraId="0DD76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tcBorders>
              <w:top w:val="single" w:color="auto" w:sz="4" w:space="0"/>
              <w:left w:val="single" w:color="auto" w:sz="4" w:space="0"/>
              <w:bottom w:val="single" w:color="auto" w:sz="4" w:space="0"/>
              <w:right w:val="single" w:color="auto" w:sz="4" w:space="0"/>
            </w:tcBorders>
            <w:noWrap/>
            <w:vAlign w:val="center"/>
          </w:tcPr>
          <w:p w14:paraId="101398E5">
            <w:pP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14:paraId="6F350281">
            <w:pPr>
              <w:jc w:val="center"/>
              <w:rPr>
                <w:rFonts w:ascii="宋体" w:hAnsi="宋体"/>
                <w:szCs w:val="21"/>
              </w:rPr>
            </w:pPr>
            <w:r>
              <w:rPr>
                <w:rFonts w:hint="eastAsia" w:ascii="宋体" w:hAnsi="宋体"/>
                <w:szCs w:val="21"/>
              </w:rPr>
              <w:t>5</w:t>
            </w:r>
          </w:p>
        </w:tc>
        <w:tc>
          <w:tcPr>
            <w:tcW w:w="4342" w:type="dxa"/>
            <w:tcBorders>
              <w:top w:val="single" w:color="auto" w:sz="4" w:space="0"/>
              <w:left w:val="single" w:color="auto" w:sz="4" w:space="0"/>
              <w:bottom w:val="single" w:color="auto" w:sz="4" w:space="0"/>
              <w:right w:val="single" w:color="auto" w:sz="4" w:space="0"/>
            </w:tcBorders>
            <w:noWrap/>
            <w:vAlign w:val="center"/>
          </w:tcPr>
          <w:p w14:paraId="2B0E20BC">
            <w:pPr>
              <w:pStyle w:val="9"/>
              <w:tabs>
                <w:tab w:val="left" w:pos="900"/>
              </w:tabs>
              <w:adjustRightInd/>
              <w:spacing w:line="300" w:lineRule="auto"/>
              <w:ind w:firstLine="0"/>
              <w:rPr>
                <w:rFonts w:ascii="宋体" w:hAnsi="宋体"/>
                <w:kern w:val="2"/>
                <w:sz w:val="21"/>
                <w:szCs w:val="21"/>
              </w:rPr>
            </w:pPr>
            <w:r>
              <w:rPr>
                <w:rFonts w:hint="eastAsia" w:ascii="宋体" w:hAnsi="宋体"/>
                <w:kern w:val="2"/>
                <w:sz w:val="21"/>
                <w:szCs w:val="21"/>
              </w:rPr>
              <w:t>服务报告质量评价</w:t>
            </w:r>
          </w:p>
        </w:tc>
        <w:tc>
          <w:tcPr>
            <w:tcW w:w="2745" w:type="dxa"/>
            <w:tcBorders>
              <w:top w:val="single" w:color="auto" w:sz="4" w:space="0"/>
              <w:left w:val="single" w:color="auto" w:sz="4" w:space="0"/>
              <w:bottom w:val="single" w:color="auto" w:sz="4" w:space="0"/>
              <w:right w:val="single" w:color="auto" w:sz="4" w:space="0"/>
            </w:tcBorders>
            <w:noWrap/>
            <w:vAlign w:val="center"/>
          </w:tcPr>
          <w:p w14:paraId="1AA71843">
            <w:pPr>
              <w:pStyle w:val="9"/>
              <w:tabs>
                <w:tab w:val="left" w:pos="900"/>
              </w:tabs>
              <w:adjustRightInd/>
              <w:spacing w:line="300" w:lineRule="auto"/>
              <w:ind w:firstLine="0"/>
              <w:rPr>
                <w:rFonts w:ascii="宋体" w:hAnsi="宋体"/>
                <w:kern w:val="2"/>
                <w:sz w:val="21"/>
                <w:szCs w:val="21"/>
              </w:rPr>
            </w:pPr>
            <w:r>
              <w:rPr>
                <w:rFonts w:hint="eastAsia" w:ascii="宋体" w:hAnsi="宋体"/>
                <w:kern w:val="2"/>
                <w:sz w:val="21"/>
                <w:szCs w:val="21"/>
              </w:rPr>
              <w:t>服务报告质量不满足要求次数扣1分/次。</w:t>
            </w:r>
          </w:p>
        </w:tc>
      </w:tr>
      <w:tr w14:paraId="03DC9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3" w:type="dxa"/>
            <w:gridSpan w:val="4"/>
            <w:tcBorders>
              <w:top w:val="single" w:color="auto" w:sz="4" w:space="0"/>
              <w:left w:val="single" w:color="auto" w:sz="4" w:space="0"/>
              <w:bottom w:val="single" w:color="auto" w:sz="4" w:space="0"/>
              <w:right w:val="single" w:color="auto" w:sz="4" w:space="0"/>
            </w:tcBorders>
            <w:noWrap/>
            <w:vAlign w:val="center"/>
          </w:tcPr>
          <w:p w14:paraId="6358270B">
            <w:pPr>
              <w:rPr>
                <w:rFonts w:ascii="宋体" w:hAnsi="宋体"/>
                <w:szCs w:val="21"/>
              </w:rPr>
            </w:pPr>
            <w:r>
              <w:rPr>
                <w:rFonts w:hint="eastAsia" w:ascii="宋体" w:hAnsi="宋体"/>
                <w:szCs w:val="21"/>
              </w:rPr>
              <w:t>说明：同一事件，不同指标项不重复扣分，计扣分值最高项。</w:t>
            </w:r>
          </w:p>
        </w:tc>
      </w:tr>
    </w:tbl>
    <w:p w14:paraId="326D1993">
      <w:pPr>
        <w:tabs>
          <w:tab w:val="left" w:pos="1379"/>
        </w:tabs>
        <w:spacing w:before="156" w:beforeLines="50" w:after="156" w:afterLines="50" w:line="360" w:lineRule="auto"/>
        <w:ind w:left="1661" w:hanging="1094"/>
        <w:rPr>
          <w:rFonts w:ascii="宋体" w:hAnsi="宋体"/>
          <w:b/>
          <w:szCs w:val="21"/>
        </w:rPr>
      </w:pPr>
    </w:p>
    <w:p w14:paraId="2D5CA232">
      <w:pPr>
        <w:tabs>
          <w:tab w:val="left" w:pos="1379"/>
        </w:tabs>
        <w:spacing w:before="156" w:beforeLines="50" w:after="156" w:afterLines="50" w:line="360" w:lineRule="auto"/>
        <w:ind w:firstLine="440" w:firstLineChars="146"/>
        <w:rPr>
          <w:rFonts w:ascii="宋体" w:hAnsi="宋体"/>
          <w:b/>
          <w:sz w:val="30"/>
          <w:szCs w:val="30"/>
        </w:rPr>
      </w:pPr>
      <w:r>
        <w:rPr>
          <w:rFonts w:hint="eastAsia" w:ascii="宋体" w:hAnsi="宋体"/>
          <w:b/>
          <w:sz w:val="30"/>
          <w:szCs w:val="30"/>
        </w:rPr>
        <w:t>第四条  服务费用</w:t>
      </w:r>
    </w:p>
    <w:p w14:paraId="3E6AAB13">
      <w:pPr>
        <w:spacing w:line="360" w:lineRule="auto"/>
        <w:ind w:firstLine="422" w:firstLineChars="200"/>
        <w:rPr>
          <w:rFonts w:ascii="宋体" w:hAnsi="宋体"/>
          <w:b/>
          <w:szCs w:val="21"/>
        </w:rPr>
      </w:pPr>
      <w:r>
        <w:rPr>
          <w:rFonts w:hint="eastAsia" w:ascii="宋体" w:hAnsi="宋体"/>
          <w:b/>
          <w:szCs w:val="21"/>
        </w:rPr>
        <w:t>1.服务总费用为人民币（大写）：</w:t>
      </w:r>
      <w:r>
        <w:rPr>
          <w:rFonts w:hint="eastAsia" w:ascii="宋体" w:hAnsi="宋体"/>
          <w:b/>
          <w:szCs w:val="21"/>
          <w:highlight w:val="none"/>
          <w:u w:val="single"/>
          <w:lang w:val="en-US" w:eastAsia="zh-CN"/>
        </w:rPr>
        <w:t xml:space="preserve">      </w:t>
      </w:r>
      <w:r>
        <w:rPr>
          <w:rFonts w:hint="eastAsia" w:ascii="宋体" w:hAnsi="宋体"/>
          <w:b/>
          <w:szCs w:val="21"/>
        </w:rPr>
        <w:t>元</w:t>
      </w:r>
      <w:r>
        <w:rPr>
          <w:rFonts w:hint="eastAsia" w:ascii="宋体" w:hAnsi="宋体"/>
          <w:b/>
          <w:szCs w:val="21"/>
          <w:lang w:val="en-US" w:eastAsia="zh-CN"/>
        </w:rPr>
        <w:t>整</w:t>
      </w:r>
      <w:r>
        <w:rPr>
          <w:rFonts w:hint="eastAsia" w:ascii="宋体" w:hAnsi="宋体"/>
          <w:b/>
          <w:szCs w:val="21"/>
        </w:rPr>
        <w:t>，</w:t>
      </w:r>
      <w:r>
        <w:rPr>
          <w:rFonts w:hint="eastAsia" w:ascii="宋体" w:hAnsi="宋体"/>
          <w:b/>
          <w:sz w:val="24"/>
          <w:szCs w:val="24"/>
        </w:rPr>
        <w:t>¥</w:t>
      </w:r>
      <w:r>
        <w:rPr>
          <w:rFonts w:hint="eastAsia" w:ascii="宋体" w:hAnsi="宋体"/>
          <w:b/>
          <w:szCs w:val="21"/>
          <w:highlight w:val="none"/>
          <w:u w:val="single"/>
        </w:rPr>
        <w:t xml:space="preserve"> </w:t>
      </w:r>
      <w:r>
        <w:rPr>
          <w:rFonts w:hint="eastAsia" w:ascii="宋体" w:hAnsi="宋体"/>
          <w:b/>
          <w:szCs w:val="21"/>
          <w:highlight w:val="none"/>
          <w:u w:val="single"/>
          <w:lang w:val="en-US" w:eastAsia="zh-CN"/>
        </w:rPr>
        <w:t xml:space="preserve">     </w:t>
      </w:r>
      <w:r>
        <w:rPr>
          <w:rFonts w:hint="eastAsia" w:ascii="宋体" w:hAnsi="宋体"/>
          <w:b/>
          <w:szCs w:val="21"/>
        </w:rPr>
        <w:t>元。</w:t>
      </w:r>
    </w:p>
    <w:p w14:paraId="79AAB405">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.本合同执行期间服务总费用不变，甲方无须另向乙方支付本合同规定之外的其他任何费用。</w:t>
      </w:r>
    </w:p>
    <w:p w14:paraId="4F92DC77">
      <w:pPr>
        <w:spacing w:line="360" w:lineRule="auto"/>
        <w:ind w:firstLine="420" w:firstLineChars="200"/>
        <w:rPr>
          <w:rFonts w:ascii="宋体" w:hAnsi="宋体"/>
          <w:szCs w:val="21"/>
        </w:rPr>
      </w:pPr>
      <w:r>
        <w:rPr>
          <w:rFonts w:hint="eastAsia" w:ascii="宋体" w:hAnsi="宋体"/>
          <w:szCs w:val="21"/>
          <w:lang w:val="en-US" w:eastAsia="zh-CN"/>
        </w:rPr>
        <w:t>3</w:t>
      </w:r>
      <w:r>
        <w:rPr>
          <w:rFonts w:hint="eastAsia" w:ascii="宋体" w:hAnsi="宋体"/>
          <w:szCs w:val="21"/>
        </w:rPr>
        <w:t>.服务费用包含：乙方为履行合同义务所需的全部费用，包括但不限于：系统升级费用、软件故障所需费用（包括但不限于所需器件设备费、运输费、包装费、保险费等）、税费等，</w:t>
      </w:r>
      <w:r>
        <w:rPr>
          <w:rFonts w:hint="eastAsia"/>
          <w:szCs w:val="28"/>
        </w:rPr>
        <w:t>此外，甲方不再另行向乙方支付其他任何款项</w:t>
      </w:r>
      <w:r>
        <w:rPr>
          <w:rFonts w:hint="eastAsia" w:ascii="宋体" w:hAnsi="宋体"/>
          <w:szCs w:val="21"/>
        </w:rPr>
        <w:t>。</w:t>
      </w:r>
    </w:p>
    <w:p w14:paraId="0AA2F2FD">
      <w:pPr>
        <w:spacing w:before="156" w:beforeLines="50" w:after="156" w:afterLines="50" w:line="360" w:lineRule="auto"/>
        <w:ind w:firstLine="440" w:firstLineChars="146"/>
        <w:rPr>
          <w:rFonts w:ascii="宋体" w:hAnsi="宋体"/>
          <w:b/>
          <w:sz w:val="30"/>
          <w:szCs w:val="30"/>
        </w:rPr>
      </w:pPr>
      <w:r>
        <w:rPr>
          <w:rFonts w:hint="eastAsia" w:ascii="宋体" w:hAnsi="宋体"/>
          <w:b/>
          <w:sz w:val="30"/>
          <w:szCs w:val="30"/>
        </w:rPr>
        <w:t xml:space="preserve">第五条 </w:t>
      </w:r>
      <w:r>
        <w:rPr>
          <w:rFonts w:hint="eastAsia" w:ascii="宋体" w:hAnsi="宋体"/>
          <w:b/>
          <w:szCs w:val="21"/>
        </w:rPr>
        <w:t xml:space="preserve"> </w:t>
      </w:r>
      <w:r>
        <w:rPr>
          <w:rFonts w:hint="eastAsia" w:ascii="宋体" w:hAnsi="宋体"/>
          <w:b/>
          <w:sz w:val="30"/>
          <w:szCs w:val="30"/>
        </w:rPr>
        <w:t>服务费支付方式</w:t>
      </w:r>
    </w:p>
    <w:p w14:paraId="5FD6F4D1">
      <w:pPr>
        <w:spacing w:line="360" w:lineRule="auto"/>
        <w:ind w:firstLine="420" w:firstLineChars="200"/>
        <w:rPr>
          <w:rFonts w:hint="eastAsia" w:ascii="宋体" w:hAnsi="宋体" w:eastAsia="宋体"/>
          <w:szCs w:val="21"/>
          <w:lang w:eastAsia="zh-CN"/>
        </w:rPr>
      </w:pPr>
      <w:r>
        <w:rPr>
          <w:rFonts w:hint="eastAsia" w:ascii="宋体" w:hAnsi="宋体"/>
          <w:szCs w:val="21"/>
        </w:rPr>
        <w:t>合同签订</w:t>
      </w:r>
      <w:r>
        <w:rPr>
          <w:rFonts w:hint="eastAsia" w:ascii="宋体" w:hAnsi="宋体"/>
          <w:szCs w:val="21"/>
          <w:lang w:val="en-US" w:eastAsia="zh-CN"/>
        </w:rPr>
        <w:t>生效</w:t>
      </w:r>
      <w:r>
        <w:rPr>
          <w:rFonts w:hint="eastAsia" w:ascii="宋体" w:hAnsi="宋体"/>
          <w:szCs w:val="21"/>
        </w:rPr>
        <w:t>后</w:t>
      </w:r>
      <w:r>
        <w:rPr>
          <w:rFonts w:hint="eastAsia" w:ascii="宋体" w:hAnsi="宋体"/>
          <w:szCs w:val="21"/>
          <w:lang w:val="en-US" w:eastAsia="zh-CN"/>
        </w:rPr>
        <w:t>，</w:t>
      </w:r>
      <w:r>
        <w:rPr>
          <w:rFonts w:hint="eastAsia" w:ascii="宋体" w:hAnsi="宋体"/>
          <w:szCs w:val="21"/>
        </w:rPr>
        <w:t>采购人向成交供应商支付合同额的45%</w:t>
      </w:r>
      <w:r>
        <w:rPr>
          <w:rFonts w:hint="eastAsia" w:ascii="宋体" w:hAnsi="宋体"/>
          <w:szCs w:val="21"/>
          <w:lang w:eastAsia="zh-CN"/>
        </w:rPr>
        <w:t>，</w:t>
      </w:r>
      <w:r>
        <w:rPr>
          <w:rFonts w:hint="eastAsia" w:ascii="宋体" w:hAnsi="宋体"/>
          <w:color w:val="000000"/>
          <w:szCs w:val="21"/>
        </w:rPr>
        <w:t>即人民币（大写）</w:t>
      </w:r>
      <w:r>
        <w:rPr>
          <w:rFonts w:hint="eastAsia" w:ascii="宋体" w:hAnsi="宋体"/>
          <w:color w:val="000000"/>
          <w:szCs w:val="21"/>
          <w:lang w:val="en-US" w:eastAsia="zh-CN"/>
        </w:rPr>
        <w:t xml:space="preserve">      </w:t>
      </w:r>
      <w:r>
        <w:rPr>
          <w:rFonts w:hint="eastAsia" w:ascii="宋体" w:hAnsi="宋体"/>
          <w:color w:val="000000"/>
          <w:szCs w:val="21"/>
        </w:rPr>
        <w:t>元</w:t>
      </w:r>
      <w:r>
        <w:rPr>
          <w:rFonts w:hint="eastAsia" w:ascii="宋体" w:hAnsi="宋体"/>
          <w:color w:val="000000"/>
          <w:szCs w:val="21"/>
          <w:lang w:val="en-US" w:eastAsia="zh-CN"/>
        </w:rPr>
        <w:t>整</w:t>
      </w:r>
      <w:r>
        <w:rPr>
          <w:rFonts w:hint="eastAsia" w:ascii="宋体" w:hAnsi="宋体"/>
          <w:color w:val="000000"/>
          <w:szCs w:val="21"/>
        </w:rPr>
        <w:t>（</w:t>
      </w:r>
      <w:r>
        <w:rPr>
          <w:rFonts w:hint="eastAsia" w:ascii="宋体" w:hAnsi="宋体"/>
          <w:color w:val="000000"/>
          <w:sz w:val="24"/>
          <w:szCs w:val="24"/>
        </w:rPr>
        <w:t>¥</w:t>
      </w:r>
      <w:r>
        <w:rPr>
          <w:rFonts w:hint="eastAsia" w:ascii="宋体" w:hAnsi="宋体"/>
          <w:color w:val="000000"/>
          <w:sz w:val="24"/>
          <w:szCs w:val="24"/>
          <w:lang w:val="en-US" w:eastAsia="zh-CN"/>
        </w:rPr>
        <w:t xml:space="preserve">      </w:t>
      </w:r>
      <w:r>
        <w:rPr>
          <w:rFonts w:hint="eastAsia" w:ascii="宋体" w:hAnsi="宋体"/>
          <w:color w:val="000000"/>
          <w:szCs w:val="21"/>
        </w:rPr>
        <w:t>元）。乙方应在合同签订生效后30个工作日内向甲方提供符合甲方要求的足额正规的增值税专用发票及所需资料。甲方在收到乙方提供的发票及资料并确认无误后的30个工作日内支付上述款项。剩余款项在服务期满，项目通过甲方验收后，根据考核结果按比例</w:t>
      </w:r>
      <w:r>
        <w:rPr>
          <w:rFonts w:hint="eastAsia" w:ascii="宋体" w:hAnsi="宋体"/>
          <w:color w:val="000000"/>
          <w:szCs w:val="21"/>
          <w:lang w:val="en-US" w:eastAsia="zh-CN"/>
        </w:rPr>
        <w:t>在60个工作日内</w:t>
      </w:r>
      <w:r>
        <w:rPr>
          <w:rFonts w:hint="eastAsia" w:ascii="宋体" w:hAnsi="宋体"/>
          <w:color w:val="000000"/>
          <w:szCs w:val="21"/>
        </w:rPr>
        <w:t>支付剩余合同金额，支付上限为合同金额的55%</w:t>
      </w:r>
      <w:r>
        <w:rPr>
          <w:rFonts w:hint="eastAsia" w:ascii="宋体" w:hAnsi="宋体"/>
          <w:color w:val="000000"/>
          <w:szCs w:val="21"/>
          <w:lang w:eastAsia="zh-CN"/>
        </w:rPr>
        <w:t>，</w:t>
      </w:r>
      <w:r>
        <w:rPr>
          <w:rFonts w:hint="eastAsia" w:ascii="宋体" w:hAnsi="宋体"/>
          <w:color w:val="000000"/>
          <w:szCs w:val="21"/>
        </w:rPr>
        <w:t>即人民币（大写）</w:t>
      </w:r>
      <w:r>
        <w:rPr>
          <w:rFonts w:hint="eastAsia" w:ascii="宋体" w:hAnsi="宋体"/>
          <w:color w:val="000000"/>
          <w:szCs w:val="21"/>
          <w:lang w:val="en-US" w:eastAsia="zh-CN"/>
        </w:rPr>
        <w:t xml:space="preserve">      </w:t>
      </w:r>
      <w:r>
        <w:rPr>
          <w:rFonts w:hint="eastAsia" w:ascii="宋体" w:hAnsi="宋体"/>
          <w:color w:val="000000"/>
          <w:szCs w:val="21"/>
        </w:rPr>
        <w:t>元</w:t>
      </w:r>
      <w:r>
        <w:rPr>
          <w:rFonts w:hint="eastAsia" w:ascii="宋体" w:hAnsi="宋体"/>
          <w:color w:val="000000"/>
          <w:szCs w:val="21"/>
          <w:lang w:val="en-US" w:eastAsia="zh-CN"/>
        </w:rPr>
        <w:t>整</w:t>
      </w:r>
      <w:r>
        <w:rPr>
          <w:rFonts w:hint="eastAsia" w:ascii="宋体" w:hAnsi="宋体"/>
          <w:color w:val="000000"/>
          <w:szCs w:val="21"/>
        </w:rPr>
        <w:t>（</w:t>
      </w:r>
      <w:r>
        <w:rPr>
          <w:rFonts w:hint="eastAsia" w:ascii="宋体" w:hAnsi="宋体"/>
          <w:color w:val="000000"/>
          <w:sz w:val="24"/>
          <w:szCs w:val="24"/>
        </w:rPr>
        <w:t>¥</w:t>
      </w:r>
      <w:r>
        <w:rPr>
          <w:rFonts w:hint="eastAsia" w:ascii="宋体" w:hAnsi="宋体"/>
          <w:color w:val="000000"/>
          <w:sz w:val="24"/>
          <w:szCs w:val="24"/>
          <w:lang w:val="en-US" w:eastAsia="zh-CN"/>
        </w:rPr>
        <w:t xml:space="preserve">      </w:t>
      </w:r>
      <w:r>
        <w:rPr>
          <w:rFonts w:hint="eastAsia" w:ascii="宋体" w:hAnsi="宋体"/>
          <w:color w:val="000000"/>
          <w:szCs w:val="21"/>
        </w:rPr>
        <w:t>元）。（</w:t>
      </w:r>
      <w:r>
        <w:rPr>
          <w:rFonts w:hint="eastAsia" w:ascii="宋体" w:hAnsi="宋体"/>
          <w:szCs w:val="21"/>
        </w:rPr>
        <w:t>乙方指定收款账户信息见签字盖章页）在甲方向乙方支付</w:t>
      </w:r>
      <w:r>
        <w:rPr>
          <w:rFonts w:hint="eastAsia" w:ascii="宋体" w:hAnsi="宋体"/>
          <w:szCs w:val="21"/>
          <w:lang w:val="en-US" w:eastAsia="zh-CN"/>
        </w:rPr>
        <w:t>尾款</w:t>
      </w:r>
      <w:r>
        <w:rPr>
          <w:rFonts w:hint="eastAsia" w:ascii="宋体" w:hAnsi="宋体"/>
          <w:szCs w:val="21"/>
        </w:rPr>
        <w:t>前，按甲方确认的当期结算金额，乙方应向甲方提供</w:t>
      </w:r>
      <w:r>
        <w:rPr>
          <w:rFonts w:hint="eastAsia" w:ascii="宋体" w:hAnsi="宋体"/>
          <w:szCs w:val="21"/>
          <w:lang w:val="en-US" w:eastAsia="zh-CN"/>
        </w:rPr>
        <w:t>符合甲方要求的</w:t>
      </w:r>
      <w:r>
        <w:rPr>
          <w:rFonts w:hint="eastAsia" w:ascii="宋体" w:hAnsi="宋体"/>
          <w:szCs w:val="21"/>
        </w:rPr>
        <w:t>足额正规的增值税专用发票及所需资料，经甲方确认无误后</w:t>
      </w:r>
      <w:r>
        <w:rPr>
          <w:rFonts w:hint="eastAsia" w:ascii="宋体" w:hAnsi="宋体"/>
          <w:szCs w:val="21"/>
          <w:lang w:val="en-US" w:eastAsia="zh-CN"/>
        </w:rPr>
        <w:t>按照约定</w:t>
      </w:r>
      <w:r>
        <w:rPr>
          <w:rFonts w:hint="eastAsia" w:ascii="宋体" w:hAnsi="宋体"/>
          <w:szCs w:val="21"/>
        </w:rPr>
        <w:t>付款。如因乙方原因造成的甲方逾期付款的，甲方不承担违约责任</w:t>
      </w:r>
      <w:r>
        <w:rPr>
          <w:rFonts w:hint="eastAsia" w:ascii="宋体" w:hAnsi="宋体"/>
          <w:szCs w:val="21"/>
          <w:lang w:eastAsia="zh-CN"/>
        </w:rPr>
        <w:t>（</w:t>
      </w:r>
      <w:r>
        <w:rPr>
          <w:rFonts w:hint="eastAsia" w:ascii="宋体" w:hAnsi="宋体"/>
          <w:szCs w:val="21"/>
        </w:rPr>
        <w:t>根据实际情况可顺延付款时间</w:t>
      </w:r>
      <w:r>
        <w:rPr>
          <w:rFonts w:hint="eastAsia" w:ascii="宋体" w:hAnsi="宋体"/>
          <w:szCs w:val="21"/>
          <w:lang w:eastAsia="zh-CN"/>
        </w:rPr>
        <w:t>）</w:t>
      </w:r>
      <w:r>
        <w:rPr>
          <w:rFonts w:hint="eastAsia" w:ascii="宋体" w:hAnsi="宋体"/>
          <w:szCs w:val="21"/>
        </w:rPr>
        <w:t>。</w:t>
      </w:r>
    </w:p>
    <w:p w14:paraId="12C95417">
      <w:pPr>
        <w:spacing w:before="156" w:beforeLines="50" w:after="156" w:afterLines="50" w:line="360" w:lineRule="auto"/>
        <w:ind w:left="425"/>
        <w:rPr>
          <w:rFonts w:ascii="宋体" w:hAnsi="宋体"/>
          <w:b/>
          <w:sz w:val="30"/>
          <w:szCs w:val="30"/>
        </w:rPr>
      </w:pPr>
      <w:r>
        <w:rPr>
          <w:rFonts w:hint="eastAsia" w:ascii="宋体" w:hAnsi="宋体"/>
          <w:b/>
          <w:sz w:val="30"/>
          <w:szCs w:val="30"/>
        </w:rPr>
        <w:t>第六条   知识产权</w:t>
      </w:r>
    </w:p>
    <w:p w14:paraId="3F955CCB">
      <w:pPr>
        <w:spacing w:line="360" w:lineRule="auto"/>
        <w:ind w:firstLine="420" w:firstLineChars="200"/>
        <w:rPr>
          <w:rFonts w:hint="eastAsia" w:ascii="宋体" w:hAnsi="宋体" w:eastAsia="宋体"/>
          <w:szCs w:val="21"/>
          <w:lang w:eastAsia="zh-CN"/>
        </w:rPr>
      </w:pPr>
      <w:r>
        <w:rPr>
          <w:rFonts w:hint="eastAsia" w:ascii="宋体" w:hAnsi="宋体"/>
          <w:szCs w:val="21"/>
        </w:rPr>
        <w:t>乙方应保证所提供的服务或其任何一部分均不会侵犯任何第三方的专利权、商标权或著作权或其他合法权益，如因乙方的服务及交付的工作成果受到第三方的起诉造成甲方无法正常使用的，乙方应当及时出具解决方案（包括但不限于使用替代技术、购买侵权知识产权使用权等）；因乙方侵权导致的损害赔偿由乙方全额承担；若甲方先行承担的，甲方有权利向乙方追偿，乙方须赔偿甲方因此所造成的一切损失。同时，甲方有权解除合同并要求乙方退还全部合同款项。</w:t>
      </w:r>
    </w:p>
    <w:p w14:paraId="5CBD60F1">
      <w:pPr>
        <w:spacing w:before="156" w:beforeLines="50" w:after="156" w:afterLines="50" w:line="360" w:lineRule="auto"/>
        <w:ind w:left="425"/>
        <w:rPr>
          <w:rFonts w:ascii="宋体" w:hAnsi="宋体"/>
          <w:b/>
          <w:sz w:val="30"/>
          <w:szCs w:val="30"/>
        </w:rPr>
      </w:pPr>
      <w:r>
        <w:rPr>
          <w:rFonts w:hint="eastAsia" w:ascii="宋体" w:hAnsi="宋体"/>
          <w:b/>
          <w:sz w:val="30"/>
          <w:szCs w:val="30"/>
        </w:rPr>
        <w:t>第七条  无产权瑕疵条款</w:t>
      </w:r>
    </w:p>
    <w:p w14:paraId="229858BD">
      <w:pPr>
        <w:tabs>
          <w:tab w:val="left" w:pos="1440"/>
        </w:tabs>
        <w:spacing w:line="360" w:lineRule="auto"/>
        <w:ind w:firstLine="420" w:firstLineChars="200"/>
        <w:rPr>
          <w:rFonts w:ascii="宋体" w:hAnsi="宋体"/>
          <w:szCs w:val="21"/>
        </w:rPr>
      </w:pPr>
      <w:r>
        <w:rPr>
          <w:rFonts w:hint="eastAsia" w:ascii="宋体" w:hAnsi="宋体"/>
          <w:szCs w:val="21"/>
        </w:rPr>
        <w:t>乙方保证所提供的服务使用的资产设备等的所有权完全属于乙方且无任何抵押、查封等产权瑕疵。如有产权瑕疵的，视为乙方违约。乙方</w:t>
      </w:r>
      <w:r>
        <w:rPr>
          <w:rFonts w:hint="eastAsia" w:ascii="宋体" w:hAnsi="宋体"/>
          <w:szCs w:val="21"/>
          <w:lang w:val="en-US" w:eastAsia="zh-CN"/>
        </w:rPr>
        <w:t>负责处理因此产生的所有纠纷，给甲方造成损失的，乙方</w:t>
      </w:r>
      <w:r>
        <w:rPr>
          <w:rFonts w:hint="eastAsia" w:ascii="宋体" w:hAnsi="宋体"/>
          <w:szCs w:val="21"/>
        </w:rPr>
        <w:t>应负担由此而产生的一切损失</w:t>
      </w:r>
      <w:r>
        <w:rPr>
          <w:rFonts w:hint="eastAsia" w:ascii="宋体" w:hAnsi="宋体"/>
          <w:szCs w:val="21"/>
          <w:lang w:val="en-US" w:eastAsia="zh-CN"/>
        </w:rPr>
        <w:t>和费用</w:t>
      </w:r>
      <w:r>
        <w:rPr>
          <w:rFonts w:hint="eastAsia" w:ascii="宋体" w:hAnsi="宋体"/>
          <w:szCs w:val="21"/>
        </w:rPr>
        <w:t>。</w:t>
      </w:r>
    </w:p>
    <w:p w14:paraId="52359B64">
      <w:pPr>
        <w:widowControl/>
        <w:spacing w:before="156" w:beforeLines="50" w:after="156" w:afterLines="50" w:line="360" w:lineRule="auto"/>
        <w:jc w:val="left"/>
        <w:rPr>
          <w:rFonts w:hint="eastAsia" w:ascii="宋体" w:hAnsi="宋体" w:eastAsia="宋体"/>
          <w:b/>
          <w:sz w:val="30"/>
          <w:szCs w:val="30"/>
          <w:lang w:eastAsia="zh-CN"/>
        </w:rPr>
      </w:pPr>
      <w:r>
        <w:rPr>
          <w:rFonts w:hint="eastAsia" w:ascii="宋体" w:hAnsi="宋体"/>
          <w:b/>
          <w:sz w:val="30"/>
          <w:szCs w:val="30"/>
        </w:rPr>
        <w:t xml:space="preserve">   第八条  </w:t>
      </w:r>
      <w:r>
        <w:rPr>
          <w:rFonts w:ascii="宋体" w:hAnsi="宋体"/>
          <w:b/>
          <w:sz w:val="30"/>
          <w:szCs w:val="30"/>
        </w:rPr>
        <w:t>甲方的权利和义务</w:t>
      </w:r>
      <w:bookmarkStart w:id="52" w:name="_GoBack"/>
      <w:bookmarkEnd w:id="52"/>
    </w:p>
    <w:p w14:paraId="5F498DDE">
      <w:pPr>
        <w:tabs>
          <w:tab w:val="left" w:pos="1440"/>
        </w:tabs>
        <w:spacing w:line="360" w:lineRule="auto"/>
        <w:ind w:firstLine="420" w:firstLineChars="200"/>
        <w:rPr>
          <w:rFonts w:ascii="宋体" w:hAnsi="宋体"/>
          <w:szCs w:val="21"/>
        </w:rPr>
      </w:pPr>
      <w:r>
        <w:rPr>
          <w:rFonts w:hint="eastAsia" w:ascii="宋体" w:hAnsi="宋体"/>
          <w:szCs w:val="21"/>
        </w:rPr>
        <w:t>1.甲方有权对乙方的服务行为进行监督和检查，拥有监管权。有权定期核对乙方提供服务所配备的人员数量。对甲方认为不合理的部分有权下达整改通知书，并要求乙方限期整改。若乙方在甲方要求的时间内，未达到整改要求或者未及时采取措施，甲方可自行采取必要的补救措施（包括但不限于联系第三方维修），在此期间产生的风险和必要费用均由乙方承担，甲方根据合同规定对乙方行使的其它权利不受影响，甲方亦可从合同总金额中扣回索赔金额，并有权解除合同。此外，如乙方未能在规定时间内完成整改，甲方有权暂停支付合同款项直至整改完成。</w:t>
      </w:r>
    </w:p>
    <w:p w14:paraId="6D7C29C3">
      <w:pPr>
        <w:tabs>
          <w:tab w:val="left" w:pos="1440"/>
        </w:tabs>
        <w:spacing w:line="360" w:lineRule="auto"/>
        <w:ind w:firstLine="420" w:firstLineChars="200"/>
        <w:rPr>
          <w:rFonts w:ascii="宋体" w:hAnsi="宋体"/>
          <w:szCs w:val="21"/>
        </w:rPr>
      </w:pPr>
      <w:r>
        <w:rPr>
          <w:rFonts w:hint="eastAsia" w:ascii="宋体" w:hAnsi="宋体"/>
          <w:szCs w:val="21"/>
        </w:rPr>
        <w:t>2.负责检查监督乙方管理工作的实施及制度的执行情况。</w:t>
      </w:r>
    </w:p>
    <w:p w14:paraId="5D4A9FCB">
      <w:pPr>
        <w:tabs>
          <w:tab w:val="left" w:pos="1440"/>
        </w:tabs>
        <w:spacing w:line="360" w:lineRule="auto"/>
        <w:ind w:firstLine="420" w:firstLineChars="200"/>
        <w:rPr>
          <w:rFonts w:ascii="宋体" w:hAnsi="宋体"/>
          <w:szCs w:val="21"/>
        </w:rPr>
      </w:pPr>
      <w:r>
        <w:rPr>
          <w:rFonts w:hint="eastAsia" w:ascii="宋体" w:hAnsi="宋体"/>
          <w:szCs w:val="21"/>
        </w:rPr>
        <w:t>3.在乙方按照合同约定履行合同义务且服务质量达到约定标准后，甲方按照合同约定向乙方支付应付服务费用。如乙方服务质量未达到约定标准，甲方有权暂停支付合同款项直至服务质量达标。</w:t>
      </w:r>
    </w:p>
    <w:p w14:paraId="0A3F8C2C">
      <w:pPr>
        <w:tabs>
          <w:tab w:val="left" w:pos="1440"/>
        </w:tabs>
        <w:spacing w:line="360" w:lineRule="auto"/>
        <w:ind w:firstLine="420" w:firstLineChars="200"/>
        <w:rPr>
          <w:rFonts w:ascii="宋体" w:hAnsi="宋体"/>
          <w:szCs w:val="21"/>
        </w:rPr>
      </w:pPr>
      <w:r>
        <w:rPr>
          <w:rFonts w:hint="eastAsia" w:ascii="宋体" w:hAnsi="宋体"/>
          <w:szCs w:val="21"/>
        </w:rPr>
        <w:t>4.甲方有权要求乙</w:t>
      </w:r>
      <w:r>
        <w:rPr>
          <w:rFonts w:hint="eastAsia"/>
          <w:szCs w:val="28"/>
        </w:rPr>
        <w:t>方提供符合本项目服务要求的人员，且提供的服务质量达到前述约定标准。如乙方违反协议约定，未达到服务质量要求的，甲方有权要求乙方限期改正，逾期未改正的或改正后仍不符合约定或给甲方造成损失的，乙方应承担相应的违约责任，包括但不限于支付合同总价30%的违约金，并赔偿甲方因此所造成的一切损失。</w:t>
      </w:r>
    </w:p>
    <w:p w14:paraId="020F3C99">
      <w:pPr>
        <w:tabs>
          <w:tab w:val="left" w:pos="1440"/>
        </w:tabs>
        <w:spacing w:line="360" w:lineRule="auto"/>
        <w:ind w:firstLine="420" w:firstLineChars="200"/>
      </w:pPr>
      <w:r>
        <w:rPr>
          <w:rFonts w:hint="eastAsia" w:ascii="宋体" w:hAnsi="宋体"/>
          <w:szCs w:val="21"/>
        </w:rPr>
        <w:t>5.国家法律、法规所规定由甲方承担的其它责任。</w:t>
      </w:r>
    </w:p>
    <w:p w14:paraId="1D08C330">
      <w:pPr>
        <w:spacing w:before="156" w:beforeLines="50" w:after="156" w:afterLines="50" w:line="360" w:lineRule="auto"/>
        <w:ind w:left="425"/>
        <w:rPr>
          <w:rFonts w:ascii="宋体" w:hAnsi="宋体"/>
          <w:b/>
          <w:sz w:val="30"/>
          <w:szCs w:val="30"/>
        </w:rPr>
      </w:pPr>
      <w:r>
        <w:rPr>
          <w:rFonts w:hint="eastAsia" w:ascii="宋体" w:hAnsi="宋体"/>
          <w:b/>
          <w:sz w:val="30"/>
          <w:szCs w:val="30"/>
        </w:rPr>
        <w:t xml:space="preserve">第九条  </w:t>
      </w:r>
      <w:r>
        <w:rPr>
          <w:rFonts w:ascii="宋体" w:hAnsi="宋体"/>
          <w:b/>
          <w:sz w:val="30"/>
          <w:szCs w:val="30"/>
        </w:rPr>
        <w:t>乙方的权利和义务</w:t>
      </w:r>
    </w:p>
    <w:p w14:paraId="3B2BCAD4">
      <w:pPr>
        <w:tabs>
          <w:tab w:val="left" w:pos="1440"/>
        </w:tabs>
        <w:spacing w:line="360" w:lineRule="auto"/>
        <w:ind w:firstLine="420" w:firstLineChars="200"/>
        <w:rPr>
          <w:rFonts w:ascii="宋体" w:hAnsi="宋体"/>
          <w:szCs w:val="21"/>
        </w:rPr>
      </w:pPr>
      <w:r>
        <w:rPr>
          <w:rFonts w:hint="eastAsia" w:ascii="宋体" w:hAnsi="宋体"/>
          <w:szCs w:val="21"/>
        </w:rPr>
        <w:t>1.对本合同规定的委托服务范围内的项目享有管理权及服务义务。</w:t>
      </w:r>
    </w:p>
    <w:p w14:paraId="1181367E">
      <w:pPr>
        <w:tabs>
          <w:tab w:val="left" w:pos="1440"/>
        </w:tabs>
        <w:spacing w:line="360" w:lineRule="auto"/>
        <w:ind w:firstLine="420" w:firstLineChars="200"/>
        <w:rPr>
          <w:rFonts w:ascii="宋体" w:hAnsi="宋体"/>
          <w:szCs w:val="21"/>
        </w:rPr>
      </w:pPr>
      <w:r>
        <w:rPr>
          <w:rFonts w:hint="eastAsia" w:ascii="宋体" w:hAnsi="宋体"/>
          <w:szCs w:val="21"/>
        </w:rPr>
        <w:t>2.及时向甲方通告本项目服务范围内有关服务的重大事项，及时配合处理投诉。</w:t>
      </w:r>
    </w:p>
    <w:p w14:paraId="2897A13F">
      <w:pPr>
        <w:tabs>
          <w:tab w:val="left" w:pos="1440"/>
        </w:tabs>
        <w:spacing w:line="360" w:lineRule="auto"/>
        <w:ind w:firstLine="420" w:firstLineChars="200"/>
        <w:rPr>
          <w:rFonts w:ascii="宋体" w:hAnsi="宋体"/>
          <w:szCs w:val="21"/>
        </w:rPr>
      </w:pPr>
      <w:r>
        <w:rPr>
          <w:rFonts w:hint="eastAsia" w:ascii="宋体" w:hAnsi="宋体"/>
          <w:szCs w:val="21"/>
        </w:rPr>
        <w:t>3.接受项目行业管理部门及政府有关部门的指导，接受甲方的监督。</w:t>
      </w:r>
    </w:p>
    <w:p w14:paraId="72B1B534">
      <w:pPr>
        <w:tabs>
          <w:tab w:val="left" w:pos="1440"/>
        </w:tabs>
        <w:spacing w:line="360" w:lineRule="auto"/>
        <w:ind w:firstLine="420" w:firstLineChars="200"/>
        <w:rPr>
          <w:rFonts w:ascii="宋体" w:hAnsi="宋体"/>
          <w:szCs w:val="21"/>
        </w:rPr>
      </w:pPr>
      <w:r>
        <w:rPr>
          <w:rFonts w:hint="eastAsia" w:ascii="宋体" w:hAnsi="宋体"/>
          <w:szCs w:val="21"/>
        </w:rPr>
        <w:t>4.未经甲方书面许可，乙方不得转让本合同项下的全部或部分权利或义务，甲方不对乙方将本合同部分或者全部合同义务转让给第三方所产生的费用负责。乙方对第三方履行合同的行为向甲方承担连带责任。同时乙方私自转让合同义务的，甲方有权单方面解除合同且不支付任何合同费用。</w:t>
      </w:r>
    </w:p>
    <w:p w14:paraId="7D7218AA">
      <w:pPr>
        <w:tabs>
          <w:tab w:val="left" w:pos="1440"/>
        </w:tabs>
        <w:spacing w:line="360" w:lineRule="auto"/>
        <w:ind w:firstLine="420" w:firstLineChars="200"/>
        <w:rPr>
          <w:rFonts w:ascii="宋体" w:hAnsi="宋体"/>
          <w:szCs w:val="21"/>
        </w:rPr>
      </w:pPr>
      <w:r>
        <w:rPr>
          <w:rFonts w:hint="eastAsia" w:ascii="宋体" w:hAnsi="宋体"/>
          <w:szCs w:val="21"/>
        </w:rPr>
        <w:t>5.乙方提供的服务质量应当满足国家标准、行业标准、合同约定及甲方要求</w:t>
      </w:r>
      <w:r>
        <w:rPr>
          <w:rFonts w:hint="eastAsia" w:ascii="宋体" w:hAnsi="宋体"/>
          <w:szCs w:val="21"/>
          <w:lang w:eastAsia="zh-Hans"/>
        </w:rPr>
        <w:t>，确保</w:t>
      </w:r>
      <w:r>
        <w:rPr>
          <w:rFonts w:hint="eastAsia" w:ascii="宋体" w:hAnsi="宋体"/>
          <w:szCs w:val="21"/>
        </w:rPr>
        <w:t>西安市涉气排污单位治理设施用电监管系统</w:t>
      </w:r>
      <w:r>
        <w:rPr>
          <w:rFonts w:hint="eastAsia" w:ascii="宋体" w:hAnsi="宋体"/>
          <w:szCs w:val="21"/>
          <w:lang w:eastAsia="zh-Hans"/>
        </w:rPr>
        <w:t>在合同期限内正常、稳定运行</w:t>
      </w:r>
      <w:r>
        <w:rPr>
          <w:rFonts w:hint="eastAsia" w:ascii="宋体" w:hAnsi="宋体"/>
          <w:szCs w:val="21"/>
        </w:rPr>
        <w:t>。</w:t>
      </w:r>
    </w:p>
    <w:p w14:paraId="2556B897">
      <w:pPr>
        <w:tabs>
          <w:tab w:val="left" w:pos="1440"/>
        </w:tabs>
        <w:spacing w:line="360" w:lineRule="auto"/>
        <w:ind w:firstLine="420" w:firstLineChars="200"/>
        <w:rPr>
          <w:rFonts w:ascii="宋体" w:hAnsi="宋体"/>
          <w:szCs w:val="21"/>
        </w:rPr>
      </w:pPr>
      <w:r>
        <w:rPr>
          <w:rFonts w:hint="eastAsia" w:ascii="宋体" w:hAnsi="宋体"/>
          <w:szCs w:val="21"/>
        </w:rPr>
        <w:t>6. 国家法律、法规所规定由乙方承担的其它责任。</w:t>
      </w:r>
    </w:p>
    <w:p w14:paraId="196B9636">
      <w:pPr>
        <w:spacing w:before="156" w:beforeLines="50" w:after="156" w:afterLines="50" w:line="360" w:lineRule="auto"/>
        <w:ind w:left="425"/>
        <w:rPr>
          <w:rFonts w:ascii="宋体" w:hAnsi="宋体"/>
          <w:b/>
          <w:sz w:val="30"/>
          <w:szCs w:val="30"/>
        </w:rPr>
      </w:pPr>
      <w:r>
        <w:rPr>
          <w:rFonts w:hint="eastAsia" w:ascii="宋体" w:hAnsi="宋体"/>
          <w:b/>
          <w:sz w:val="30"/>
          <w:szCs w:val="30"/>
        </w:rPr>
        <w:t xml:space="preserve">第十条  </w:t>
      </w:r>
      <w:r>
        <w:rPr>
          <w:rFonts w:ascii="宋体" w:hAnsi="宋体"/>
          <w:b/>
          <w:sz w:val="30"/>
          <w:szCs w:val="30"/>
        </w:rPr>
        <w:t>违约责任</w:t>
      </w:r>
    </w:p>
    <w:p w14:paraId="50B5C71A">
      <w:pPr>
        <w:tabs>
          <w:tab w:val="left" w:pos="1440"/>
        </w:tabs>
        <w:spacing w:line="360" w:lineRule="auto"/>
        <w:ind w:firstLine="420" w:firstLineChars="200"/>
        <w:rPr>
          <w:rFonts w:ascii="宋体" w:hAnsi="宋体"/>
          <w:szCs w:val="21"/>
        </w:rPr>
      </w:pPr>
      <w:r>
        <w:rPr>
          <w:rFonts w:hint="eastAsia" w:ascii="宋体" w:hAnsi="宋体"/>
          <w:szCs w:val="21"/>
        </w:rPr>
        <w:t>1.甲乙双方必须遵守本合同并执行合同中的各项规定，保证本合同的正常履行。</w:t>
      </w:r>
    </w:p>
    <w:p w14:paraId="3AD4627F">
      <w:pPr>
        <w:tabs>
          <w:tab w:val="left" w:pos="1440"/>
        </w:tabs>
        <w:spacing w:line="360" w:lineRule="auto"/>
        <w:ind w:firstLine="420" w:firstLineChars="200"/>
        <w:rPr>
          <w:rFonts w:ascii="宋体" w:hAnsi="宋体"/>
          <w:szCs w:val="21"/>
        </w:rPr>
      </w:pPr>
      <w:r>
        <w:rPr>
          <w:rFonts w:hint="eastAsia" w:ascii="宋体" w:hAnsi="宋体"/>
          <w:szCs w:val="21"/>
        </w:rPr>
        <w:t>2.如因乙方工作人员在履行职务过程中的疏忽、失职、过错等故意或者过失原因给自身、甲方以及第三方造成损失或侵害，甲方损失包括但不限于甲方本身的财产损失、由此而导致的甲方对任何第三方的法律责任等，乙方对此均应承担全部的赔偿责任。</w:t>
      </w:r>
    </w:p>
    <w:p w14:paraId="103A71C9">
      <w:pPr>
        <w:tabs>
          <w:tab w:val="left" w:pos="1440"/>
        </w:tabs>
        <w:spacing w:line="360" w:lineRule="auto"/>
        <w:ind w:firstLine="420" w:firstLineChars="200"/>
        <w:rPr>
          <w:rFonts w:ascii="宋体" w:hAnsi="宋体"/>
          <w:szCs w:val="21"/>
        </w:rPr>
      </w:pPr>
      <w:r>
        <w:rPr>
          <w:rFonts w:hint="eastAsia" w:ascii="宋体" w:hAnsi="宋体"/>
          <w:szCs w:val="21"/>
        </w:rPr>
        <w:t>3.如乙方逾期履行合同义务，每逾期一日，向甲方支付本合同总价万分之四的违约金，逾期累计七日及以上的，视为严重违约，甲方有权解除合同，要求乙方按照本合同总价30%支付违约金并赔偿因此给甲方造成的一切损失。</w:t>
      </w:r>
    </w:p>
    <w:p w14:paraId="20C423CD">
      <w:pPr>
        <w:tabs>
          <w:tab w:val="left" w:pos="1440"/>
        </w:tabs>
        <w:spacing w:line="360" w:lineRule="auto"/>
        <w:ind w:firstLine="420" w:firstLineChars="200"/>
        <w:rPr>
          <w:rFonts w:ascii="宋体" w:hAnsi="宋体"/>
          <w:szCs w:val="21"/>
        </w:rPr>
      </w:pPr>
      <w:r>
        <w:rPr>
          <w:rFonts w:hint="eastAsia" w:ascii="宋体" w:hAnsi="宋体"/>
          <w:szCs w:val="21"/>
        </w:rPr>
        <w:t>4.未经甲方书面同意，乙方将本合同项下的权利、义务转让给第三方的，甲方有权解除合同，并要求乙方按照本合同总价30%支付违约金，且乙方须对第三方的履行结果向甲方承担连带责任。</w:t>
      </w:r>
    </w:p>
    <w:p w14:paraId="7753F64E">
      <w:pPr>
        <w:tabs>
          <w:tab w:val="left" w:pos="1440"/>
        </w:tabs>
        <w:spacing w:line="360" w:lineRule="auto"/>
        <w:ind w:firstLine="420" w:firstLineChars="200"/>
        <w:rPr>
          <w:rFonts w:hint="eastAsia" w:ascii="宋体" w:hAnsi="宋体"/>
          <w:szCs w:val="21"/>
        </w:rPr>
      </w:pPr>
      <w:r>
        <w:rPr>
          <w:rFonts w:hint="eastAsia" w:ascii="宋体" w:hAnsi="宋体"/>
          <w:szCs w:val="21"/>
        </w:rPr>
        <w:t>5.乙方违反本合同约定时，除协议另有约定外，甲方有权采取下列一种或者几种方式要求乙方承担违约责任：(1)要求乙方在5日内采取相应的补救措施；(2)乙方违反本合同约定的，应当赔偿给甲方造成的损失，包括但不限于给甲方造成的直接损失、预期利益损失、甲方向第三方支付的价款、甲方支出的诉讼费、仲裁费、律师费、担保费、保全费、交通费、鉴定费、评估费、公证费、差旅费等全部费用；(3)依据法律及合同约定解除本合同，不再向乙方支付任何费用；(4)要求乙方按合同总额的30%向甲方支付违约金，合同约定的违约金不足以弥补甲方损失的，乙方应当补足。(5)如因乙方原因导致系统故障（如宕机、数据丢失等），乙方应按照故障时间或影响范围计算赔偿金额，具体计算方式为：每小时故障时间赔偿合同总额的0.1%，或根据故障影响范围按比例赔偿，赔偿金额不低于合同总额的10%。</w:t>
      </w:r>
    </w:p>
    <w:p w14:paraId="10C7ECE9">
      <w:pPr>
        <w:tabs>
          <w:tab w:val="left" w:pos="1440"/>
        </w:tabs>
        <w:spacing w:line="360" w:lineRule="auto"/>
        <w:ind w:firstLine="420" w:firstLineChars="200"/>
        <w:rPr>
          <w:rFonts w:hint="eastAsia" w:ascii="宋体" w:hAnsi="宋体"/>
          <w:szCs w:val="21"/>
        </w:rPr>
      </w:pPr>
      <w:r>
        <w:rPr>
          <w:rFonts w:hint="eastAsia" w:ascii="宋体" w:hAnsi="宋体"/>
          <w:szCs w:val="21"/>
        </w:rPr>
        <w:t>6.如乙方未能达到本合同约定的服务质量要求，乙方应支付合同总金额的10%作为违约金，并采取必要的补救措施，确保服务质量达到合同要求。如乙方未能在甲方规定的时间内采取有效的补救措施，甲方有权解除合同，并要求乙方支付合同总金额的20%作为违约金。</w:t>
      </w:r>
    </w:p>
    <w:p w14:paraId="104FB3CA">
      <w:pPr>
        <w:spacing w:before="156" w:beforeLines="50" w:after="156" w:afterLines="50" w:line="360" w:lineRule="auto"/>
        <w:ind w:left="425"/>
        <w:rPr>
          <w:rFonts w:ascii="宋体" w:hAnsi="宋体"/>
          <w:b/>
          <w:sz w:val="30"/>
          <w:szCs w:val="30"/>
        </w:rPr>
      </w:pPr>
      <w:r>
        <w:rPr>
          <w:rFonts w:hint="eastAsia" w:ascii="宋体" w:hAnsi="宋体"/>
          <w:b/>
          <w:sz w:val="30"/>
          <w:szCs w:val="30"/>
        </w:rPr>
        <w:t>第十一条  不可抗力事件处理</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714F63D">
      <w:pPr>
        <w:tabs>
          <w:tab w:val="left" w:pos="1440"/>
        </w:tabs>
        <w:spacing w:line="360" w:lineRule="auto"/>
        <w:ind w:firstLine="420" w:firstLineChars="200"/>
        <w:rPr>
          <w:rFonts w:ascii="宋体" w:hAnsi="宋体"/>
          <w:szCs w:val="21"/>
        </w:rPr>
      </w:pPr>
      <w:bookmarkStart w:id="18" w:name="_Toc286993792"/>
      <w:bookmarkStart w:id="19" w:name="_Toc237145411"/>
      <w:bookmarkStart w:id="20" w:name="_Toc239233919"/>
      <w:bookmarkStart w:id="21" w:name="_Toc251768867"/>
      <w:bookmarkStart w:id="22" w:name="_Toc241833908"/>
      <w:bookmarkStart w:id="23" w:name="_Toc247334846"/>
      <w:bookmarkStart w:id="24" w:name="_Toc185395254"/>
      <w:bookmarkStart w:id="25" w:name="_Toc225654649"/>
      <w:bookmarkStart w:id="26" w:name="_Toc239568423"/>
      <w:bookmarkStart w:id="27" w:name="_Toc238984980"/>
      <w:bookmarkStart w:id="28" w:name="_Toc225670756"/>
      <w:bookmarkStart w:id="29" w:name="_Toc212019599"/>
      <w:bookmarkStart w:id="30" w:name="_Toc211854454"/>
      <w:bookmarkStart w:id="31" w:name="_Toc232492933"/>
      <w:bookmarkStart w:id="32" w:name="_Toc225244857"/>
      <w:bookmarkStart w:id="33" w:name="_Toc211911353"/>
      <w:r>
        <w:rPr>
          <w:rFonts w:hint="eastAsia" w:ascii="宋体" w:hAnsi="宋体"/>
          <w:szCs w:val="21"/>
        </w:rPr>
        <w:t>1.在合同有效期内，任何一方因不可抗力事件（包括但不限于自然灾害、战争、政府行为、公共卫生事件等）导致不能履行合同</w:t>
      </w:r>
      <w:r>
        <w:rPr>
          <w:rFonts w:hint="eastAsia" w:ascii="宋体" w:hAnsi="宋体"/>
          <w:szCs w:val="21"/>
          <w:lang w:eastAsia="zh-CN"/>
        </w:rPr>
        <w:t>，</w:t>
      </w:r>
      <w:r>
        <w:rPr>
          <w:rFonts w:hint="eastAsia" w:ascii="宋体" w:hAnsi="宋体"/>
          <w:szCs w:val="21"/>
        </w:rPr>
        <w:t>受影响方应在不可抗力事件发生后的</w:t>
      </w:r>
      <w:r>
        <w:rPr>
          <w:rFonts w:hint="eastAsia" w:ascii="宋体" w:hAnsi="宋体"/>
          <w:szCs w:val="21"/>
          <w:lang w:val="en-US" w:eastAsia="zh-CN"/>
        </w:rPr>
        <w:t>10</w:t>
      </w:r>
      <w:r>
        <w:rPr>
          <w:rFonts w:hint="eastAsia" w:ascii="宋体" w:hAnsi="宋体"/>
          <w:szCs w:val="21"/>
        </w:rPr>
        <w:t>个工作日内通知对方</w:t>
      </w:r>
      <w:r>
        <w:rPr>
          <w:rFonts w:hint="eastAsia" w:ascii="宋体" w:hAnsi="宋体"/>
          <w:szCs w:val="21"/>
          <w:lang w:eastAsia="zh-CN"/>
        </w:rPr>
        <w:t>。经双方</w:t>
      </w:r>
      <w:r>
        <w:rPr>
          <w:rFonts w:hint="eastAsia" w:ascii="宋体" w:hAnsi="宋体"/>
          <w:szCs w:val="21"/>
        </w:rPr>
        <w:t>书面同意后，合同履行期可延长，其延长期与不可抗力影响期相同。</w:t>
      </w:r>
    </w:p>
    <w:p w14:paraId="23DB85EE">
      <w:pPr>
        <w:tabs>
          <w:tab w:val="left" w:pos="1440"/>
        </w:tabs>
        <w:spacing w:line="360" w:lineRule="auto"/>
        <w:ind w:firstLine="420" w:firstLineChars="200"/>
        <w:rPr>
          <w:rFonts w:ascii="宋体" w:hAnsi="宋体"/>
          <w:szCs w:val="21"/>
        </w:rPr>
      </w:pPr>
      <w:r>
        <w:rPr>
          <w:rFonts w:hint="eastAsia" w:ascii="宋体" w:hAnsi="宋体"/>
          <w:szCs w:val="21"/>
        </w:rPr>
        <w:t>2.不可抗力事件发生后，发生不可抗力影响的一方应</w:t>
      </w:r>
      <w:r>
        <w:rPr>
          <w:rFonts w:hint="eastAsia" w:ascii="宋体" w:hAnsi="宋体"/>
          <w:szCs w:val="21"/>
          <w:lang w:val="en-US" w:eastAsia="zh-CN"/>
        </w:rPr>
        <w:t>在</w:t>
      </w:r>
      <w:r>
        <w:rPr>
          <w:rFonts w:hint="eastAsia" w:ascii="宋体" w:hAnsi="宋体"/>
          <w:szCs w:val="21"/>
        </w:rPr>
        <w:t>不可抗力事件发生后10个工作日内通知对方，并寄送有关权威机构出具的证明。同时，受影响方应采取一切合理措施减少损失，并在不可抗力事件发生后的</w:t>
      </w:r>
      <w:r>
        <w:rPr>
          <w:rFonts w:hint="eastAsia" w:ascii="宋体" w:hAnsi="宋体"/>
          <w:szCs w:val="21"/>
          <w:lang w:val="en-US" w:eastAsia="zh-CN"/>
        </w:rPr>
        <w:t>1</w:t>
      </w:r>
      <w:r>
        <w:rPr>
          <w:rFonts w:hint="eastAsia" w:ascii="宋体" w:hAnsi="宋体"/>
          <w:szCs w:val="21"/>
        </w:rPr>
        <w:t>5个工作日内向对方提交详细的减损措施计划。受影响方应对因未采取合理减损措施而扩大的损失承担责任。若不可抗力事件延续超过</w:t>
      </w:r>
      <w:r>
        <w:rPr>
          <w:rFonts w:hint="eastAsia" w:ascii="宋体" w:hAnsi="宋体"/>
          <w:szCs w:val="21"/>
          <w:lang w:val="en-US" w:eastAsia="zh-CN"/>
        </w:rPr>
        <w:t>30</w:t>
      </w:r>
      <w:r>
        <w:rPr>
          <w:rFonts w:hint="eastAsia" w:ascii="宋体" w:hAnsi="宋体"/>
          <w:szCs w:val="21"/>
        </w:rPr>
        <w:t>天，乙方应提出详细的应急方案，确保运维项目的顺利实施，并获得甲方的书面同意。</w:t>
      </w:r>
    </w:p>
    <w:p w14:paraId="01DCCD82">
      <w:pPr>
        <w:tabs>
          <w:tab w:val="left" w:pos="1440"/>
        </w:tabs>
        <w:spacing w:line="360" w:lineRule="auto"/>
        <w:ind w:firstLine="420" w:firstLineChars="200"/>
        <w:rPr>
          <w:rFonts w:ascii="宋体" w:hAnsi="宋体"/>
          <w:szCs w:val="21"/>
        </w:rPr>
      </w:pPr>
      <w:r>
        <w:rPr>
          <w:rFonts w:hint="eastAsia" w:ascii="宋体" w:hAnsi="宋体"/>
          <w:szCs w:val="21"/>
        </w:rPr>
        <w:t>3.不可抗力事件延续15天以上，双方应通过友好协商，确定是否继续履行合同。</w:t>
      </w:r>
    </w:p>
    <w:p w14:paraId="028D17B3">
      <w:pPr>
        <w:widowControl/>
        <w:spacing w:before="156" w:beforeLines="50" w:after="156" w:afterLines="50" w:line="360" w:lineRule="auto"/>
        <w:ind w:firstLine="437" w:firstLineChars="145"/>
        <w:jc w:val="left"/>
        <w:rPr>
          <w:rFonts w:ascii="宋体" w:hAnsi="宋体" w:cs="宋体"/>
          <w:kern w:val="0"/>
          <w:sz w:val="30"/>
          <w:szCs w:val="30"/>
        </w:rPr>
      </w:pPr>
      <w:r>
        <w:rPr>
          <w:rFonts w:hint="eastAsia" w:ascii="宋体" w:hAnsi="宋体"/>
          <w:b/>
          <w:sz w:val="30"/>
          <w:szCs w:val="30"/>
        </w:rPr>
        <w:t xml:space="preserve">第十二条  </w:t>
      </w:r>
      <w:r>
        <w:rPr>
          <w:rFonts w:hint="eastAsia" w:ascii="宋体" w:hAnsi="宋体" w:cs="宋体"/>
          <w:b/>
          <w:kern w:val="0"/>
          <w:sz w:val="30"/>
          <w:szCs w:val="30"/>
        </w:rPr>
        <w:t>合同的变更和终止</w:t>
      </w:r>
    </w:p>
    <w:p w14:paraId="53491308">
      <w:pPr>
        <w:tabs>
          <w:tab w:val="left" w:pos="0"/>
        </w:tabs>
        <w:spacing w:line="360" w:lineRule="auto"/>
        <w:ind w:firstLine="420" w:firstLineChars="200"/>
        <w:rPr>
          <w:rFonts w:ascii="宋体" w:hAnsi="宋体"/>
          <w:szCs w:val="21"/>
        </w:rPr>
      </w:pPr>
      <w:r>
        <w:rPr>
          <w:rFonts w:hint="eastAsia" w:ascii="宋体" w:hAnsi="宋体"/>
          <w:szCs w:val="21"/>
        </w:rPr>
        <w:t>有下列情形的，甲方有权解除合同：</w:t>
      </w:r>
    </w:p>
    <w:p w14:paraId="78A9C422">
      <w:pPr>
        <w:tabs>
          <w:tab w:val="left" w:pos="1440"/>
        </w:tabs>
        <w:spacing w:line="360" w:lineRule="auto"/>
        <w:ind w:firstLine="420" w:firstLineChars="200"/>
        <w:rPr>
          <w:rFonts w:ascii="宋体" w:hAnsi="宋体"/>
          <w:szCs w:val="21"/>
        </w:rPr>
      </w:pPr>
      <w:r>
        <w:rPr>
          <w:rFonts w:hint="eastAsia" w:ascii="宋体" w:hAnsi="宋体"/>
          <w:szCs w:val="21"/>
        </w:rPr>
        <w:t>1.合同履行过程中出现安全事件，包括但不限于：发生被上级主管单位、部门考核的安全事件；发生数据丢失、泄密等重大安全事件。</w:t>
      </w:r>
    </w:p>
    <w:p w14:paraId="79747A79">
      <w:pPr>
        <w:tabs>
          <w:tab w:val="left" w:pos="1440"/>
        </w:tabs>
        <w:spacing w:line="360" w:lineRule="auto"/>
        <w:ind w:firstLine="420" w:firstLineChars="200"/>
        <w:rPr>
          <w:rFonts w:ascii="宋体" w:hAnsi="宋体"/>
          <w:szCs w:val="21"/>
        </w:rPr>
      </w:pPr>
      <w:r>
        <w:rPr>
          <w:rFonts w:hint="eastAsia" w:ascii="宋体" w:hAnsi="宋体"/>
          <w:szCs w:val="21"/>
        </w:rPr>
        <w:t>2.乙方提供的服务侵犯第三方权利或合法权益。</w:t>
      </w:r>
    </w:p>
    <w:p w14:paraId="52D222BC">
      <w:pPr>
        <w:tabs>
          <w:tab w:val="left" w:pos="1440"/>
        </w:tabs>
        <w:spacing w:line="360" w:lineRule="auto"/>
        <w:ind w:firstLine="420" w:firstLineChars="200"/>
        <w:rPr>
          <w:rFonts w:ascii="宋体" w:hAnsi="宋体"/>
          <w:szCs w:val="21"/>
        </w:rPr>
      </w:pPr>
      <w:r>
        <w:rPr>
          <w:rFonts w:hint="eastAsia" w:ascii="宋体" w:hAnsi="宋体"/>
          <w:szCs w:val="21"/>
        </w:rPr>
        <w:t>除依法律规定和本合同约定的情形外，本合同一经签订，甲乙双方不得擅自变更、中止或终止合同。</w:t>
      </w:r>
    </w:p>
    <w:p w14:paraId="4C658CE8">
      <w:pPr>
        <w:spacing w:before="156" w:beforeLines="50" w:after="156" w:afterLines="50" w:line="360" w:lineRule="auto"/>
        <w:ind w:left="425"/>
        <w:rPr>
          <w:rFonts w:ascii="宋体" w:hAnsi="宋体"/>
          <w:b/>
          <w:szCs w:val="21"/>
        </w:rPr>
      </w:pPr>
      <w:r>
        <w:rPr>
          <w:rFonts w:hint="eastAsia" w:ascii="宋体" w:hAnsi="宋体"/>
          <w:b/>
          <w:sz w:val="30"/>
          <w:szCs w:val="30"/>
        </w:rPr>
        <w:t>第十三条  解</w:t>
      </w:r>
      <w:r>
        <w:rPr>
          <w:rFonts w:ascii="宋体" w:hAnsi="宋体"/>
          <w:b/>
          <w:sz w:val="30"/>
          <w:szCs w:val="30"/>
        </w:rPr>
        <w:t>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D09B856">
      <w:pPr>
        <w:pStyle w:val="8"/>
        <w:spacing w:line="360" w:lineRule="auto"/>
        <w:ind w:firstLine="420"/>
        <w:rPr>
          <w:rFonts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在执行本合同中发生的或与本合同有关的争端，双方应通过友好协商解决，经协商在30天内不能达成协议时，</w:t>
      </w:r>
      <w:r>
        <w:rPr>
          <w:rFonts w:hint="eastAsia" w:ascii="宋体" w:hAnsi="宋体"/>
          <w:kern w:val="0"/>
          <w:sz w:val="21"/>
          <w:szCs w:val="21"/>
        </w:rPr>
        <w:t>则采取以下第</w:t>
      </w:r>
      <w:r>
        <w:rPr>
          <w:rFonts w:hint="eastAsia" w:ascii="宋体" w:hAnsi="宋体"/>
          <w:kern w:val="0"/>
          <w:sz w:val="21"/>
          <w:szCs w:val="21"/>
          <w:u w:val="single"/>
          <w:lang w:val="en-US" w:eastAsia="zh-CN"/>
        </w:rPr>
        <w:t xml:space="preserve"> 2 </w:t>
      </w:r>
      <w:r>
        <w:rPr>
          <w:rFonts w:hint="eastAsia" w:ascii="宋体" w:hAnsi="宋体"/>
          <w:kern w:val="0"/>
          <w:sz w:val="21"/>
          <w:szCs w:val="21"/>
        </w:rPr>
        <w:t>种方式解决争议：</w:t>
      </w:r>
    </w:p>
    <w:p w14:paraId="375A2223">
      <w:pPr>
        <w:pStyle w:val="8"/>
        <w:spacing w:line="360" w:lineRule="auto"/>
        <w:ind w:firstLine="420"/>
        <w:rPr>
          <w:rFonts w:ascii="宋体" w:hAnsi="宋体"/>
          <w:kern w:val="0"/>
          <w:sz w:val="21"/>
          <w:szCs w:val="21"/>
        </w:rPr>
      </w:pPr>
      <w:r>
        <w:rPr>
          <w:rFonts w:hint="eastAsia" w:ascii="宋体" w:hAnsi="宋体"/>
          <w:kern w:val="0"/>
          <w:sz w:val="21"/>
          <w:szCs w:val="21"/>
        </w:rPr>
        <w:t>（1）向甲方所在地有管辖权的人民法院提起诉讼；</w:t>
      </w:r>
    </w:p>
    <w:p w14:paraId="36FC3A91">
      <w:pPr>
        <w:pStyle w:val="8"/>
        <w:spacing w:line="360" w:lineRule="auto"/>
        <w:ind w:firstLine="420"/>
        <w:rPr>
          <w:rFonts w:ascii="宋体" w:hAnsi="宋体"/>
          <w:kern w:val="0"/>
          <w:sz w:val="21"/>
          <w:szCs w:val="21"/>
        </w:rPr>
      </w:pPr>
      <w:r>
        <w:rPr>
          <w:rFonts w:hint="eastAsia" w:ascii="宋体" w:hAnsi="宋体"/>
          <w:kern w:val="0"/>
          <w:sz w:val="21"/>
          <w:szCs w:val="21"/>
        </w:rPr>
        <w:t>（2）</w:t>
      </w:r>
      <w:r>
        <w:rPr>
          <w:rFonts w:ascii="宋体" w:hAnsi="宋体"/>
          <w:kern w:val="0"/>
          <w:sz w:val="21"/>
          <w:szCs w:val="21"/>
        </w:rPr>
        <w:t>向</w:t>
      </w:r>
      <w:r>
        <w:rPr>
          <w:rFonts w:hint="eastAsia" w:ascii="宋体" w:hAnsi="宋体"/>
          <w:kern w:val="0"/>
          <w:sz w:val="21"/>
          <w:szCs w:val="21"/>
        </w:rPr>
        <w:t>西安</w:t>
      </w:r>
      <w:r>
        <w:rPr>
          <w:rFonts w:ascii="宋体" w:hAnsi="宋体"/>
          <w:kern w:val="0"/>
          <w:sz w:val="21"/>
          <w:szCs w:val="21"/>
        </w:rPr>
        <w:t>仲裁委员会按其仲裁规则申请仲裁。</w:t>
      </w:r>
    </w:p>
    <w:p w14:paraId="5565D061">
      <w:pPr>
        <w:pStyle w:val="8"/>
        <w:spacing w:line="360" w:lineRule="auto"/>
        <w:ind w:firstLine="420"/>
        <w:rPr>
          <w:rFonts w:ascii="宋体" w:hAnsi="宋体"/>
          <w:kern w:val="0"/>
          <w:sz w:val="21"/>
          <w:szCs w:val="21"/>
        </w:rPr>
      </w:pPr>
      <w:r>
        <w:rPr>
          <w:rFonts w:hint="eastAsia" w:ascii="宋体" w:hAnsi="宋体"/>
          <w:kern w:val="0"/>
          <w:sz w:val="21"/>
          <w:szCs w:val="21"/>
        </w:rPr>
        <w:t>2.在仲裁期间，本合同应继续履行。</w:t>
      </w:r>
    </w:p>
    <w:p w14:paraId="15FAB418">
      <w:pPr>
        <w:spacing w:before="156" w:beforeLines="50" w:after="156" w:afterLines="50" w:line="360" w:lineRule="auto"/>
        <w:ind w:left="425"/>
        <w:rPr>
          <w:rFonts w:ascii="宋体" w:hAnsi="宋体"/>
          <w:b/>
          <w:sz w:val="30"/>
          <w:szCs w:val="30"/>
        </w:rPr>
      </w:pPr>
      <w:bookmarkStart w:id="34" w:name="_Toc239568424"/>
      <w:bookmarkStart w:id="35" w:name="_Toc225670757"/>
      <w:bookmarkStart w:id="36" w:name="_Toc251768868"/>
      <w:bookmarkStart w:id="37" w:name="_Toc211911354"/>
      <w:bookmarkStart w:id="38" w:name="_Toc238984981"/>
      <w:bookmarkStart w:id="39" w:name="_Toc232492934"/>
      <w:bookmarkStart w:id="40" w:name="_Toc239233920"/>
      <w:bookmarkStart w:id="41" w:name="_Toc212019600"/>
      <w:bookmarkStart w:id="42" w:name="_Toc225654650"/>
      <w:bookmarkStart w:id="43" w:name="_Toc247334847"/>
      <w:bookmarkStart w:id="44" w:name="_Toc283019219"/>
      <w:bookmarkStart w:id="45" w:name="_Toc225244858"/>
      <w:bookmarkStart w:id="46" w:name="_Toc185395255"/>
      <w:bookmarkStart w:id="47" w:name="_Toc286993793"/>
      <w:bookmarkStart w:id="48" w:name="_Toc241833909"/>
      <w:bookmarkStart w:id="49" w:name="_Toc211854455"/>
      <w:bookmarkStart w:id="50" w:name="_Toc282696231"/>
      <w:bookmarkStart w:id="51" w:name="_Toc237145412"/>
      <w:r>
        <w:rPr>
          <w:rFonts w:hint="eastAsia" w:ascii="宋体" w:hAnsi="宋体"/>
          <w:b/>
          <w:sz w:val="30"/>
          <w:szCs w:val="30"/>
        </w:rPr>
        <w:t xml:space="preserve">第十四条  </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rPr>
        <w:t>保密</w:t>
      </w:r>
    </w:p>
    <w:p w14:paraId="176291C9">
      <w:pPr>
        <w:pStyle w:val="8"/>
        <w:spacing w:line="360" w:lineRule="auto"/>
        <w:ind w:firstLine="420"/>
        <w:rPr>
          <w:rFonts w:ascii="宋体" w:hAnsi="宋体"/>
          <w:sz w:val="21"/>
          <w:szCs w:val="21"/>
        </w:rPr>
      </w:pPr>
      <w:r>
        <w:rPr>
          <w:rFonts w:ascii="宋体" w:hAnsi="宋体"/>
          <w:sz w:val="21"/>
          <w:szCs w:val="21"/>
        </w:rPr>
        <w:t>1</w:t>
      </w:r>
      <w:r>
        <w:rPr>
          <w:rFonts w:hint="eastAsia" w:ascii="宋体" w:hAnsi="宋体"/>
          <w:sz w:val="21"/>
          <w:szCs w:val="21"/>
          <w:lang w:eastAsia="zh-CN"/>
        </w:rPr>
        <w:t>.</w:t>
      </w:r>
      <w:r>
        <w:rPr>
          <w:rFonts w:ascii="宋体" w:hAnsi="宋体"/>
          <w:sz w:val="21"/>
          <w:szCs w:val="21"/>
        </w:rPr>
        <w:t>乙方对在签订和履行本合同过程中，从甲方获知的秘密负有保密责任。未经甲方事先书面授权，乙方不得以任何方式向任何其他组织或个人泄露、转让、许可使用、交换、赠与该保密信息或与任何其他组织或个人共同使用或不正当使用该保密信息。乙方不得超出本合同目的使用保密信息。</w:t>
      </w:r>
      <w:r>
        <w:rPr>
          <w:rFonts w:hint="eastAsia" w:ascii="宋体" w:hAnsi="宋体"/>
          <w:sz w:val="21"/>
          <w:szCs w:val="21"/>
        </w:rPr>
        <w:t>此保密义务自合同签订之日起生效，并在合同履行完毕后持续有效。如乙方违反本保密义务，除应采取补救措施和赔偿甲方因此遭受的全部损失外，还应向甲方支付相当于本合同总金额30%的违约金。</w:t>
      </w:r>
    </w:p>
    <w:p w14:paraId="332FC950">
      <w:pPr>
        <w:pStyle w:val="8"/>
        <w:spacing w:line="360" w:lineRule="auto"/>
        <w:ind w:firstLine="420"/>
        <w:rPr>
          <w:rFonts w:ascii="宋体" w:hAnsi="宋体"/>
          <w:sz w:val="21"/>
          <w:szCs w:val="21"/>
        </w:rPr>
      </w:pPr>
      <w:r>
        <w:rPr>
          <w:rFonts w:ascii="宋体" w:hAnsi="宋体"/>
          <w:sz w:val="21"/>
          <w:szCs w:val="21"/>
        </w:rPr>
        <w:t>2</w:t>
      </w:r>
      <w:r>
        <w:rPr>
          <w:rFonts w:hint="eastAsia" w:ascii="宋体" w:hAnsi="宋体"/>
          <w:sz w:val="21"/>
          <w:szCs w:val="21"/>
          <w:lang w:eastAsia="zh-CN"/>
        </w:rPr>
        <w:t>.</w:t>
      </w:r>
      <w:r>
        <w:rPr>
          <w:rFonts w:ascii="宋体" w:hAnsi="宋体"/>
          <w:sz w:val="21"/>
          <w:szCs w:val="21"/>
        </w:rPr>
        <w:t>本合同的保密信息包括所有</w:t>
      </w:r>
      <w:r>
        <w:rPr>
          <w:rFonts w:hint="eastAsia" w:ascii="宋体" w:hAnsi="宋体"/>
          <w:sz w:val="21"/>
          <w:szCs w:val="21"/>
          <w:lang w:val="en-US" w:eastAsia="zh-CN"/>
        </w:rPr>
        <w:t>甲方的</w:t>
      </w:r>
      <w:r>
        <w:rPr>
          <w:rFonts w:ascii="宋体" w:hAnsi="宋体"/>
          <w:sz w:val="21"/>
          <w:szCs w:val="21"/>
        </w:rPr>
        <w:t>商业秘密、技术秘密、通信、设备和系统数据或与合同标的相关的信息、以及甲方通知乙方保密的其他信息。无论是书面的、口头的、图形的、电磁的或其它任何形式的信息，包括但不限于：数据、模型、样品、草案、技术、方法、仪器设备和其它信息。</w:t>
      </w:r>
    </w:p>
    <w:p w14:paraId="1A85A668">
      <w:pPr>
        <w:pStyle w:val="8"/>
        <w:spacing w:line="360" w:lineRule="auto"/>
        <w:ind w:firstLine="420"/>
        <w:rPr>
          <w:rFonts w:ascii="宋体" w:hAnsi="宋体"/>
          <w:sz w:val="21"/>
          <w:szCs w:val="21"/>
        </w:rPr>
      </w:pPr>
      <w:r>
        <w:rPr>
          <w:rFonts w:ascii="宋体" w:hAnsi="宋体"/>
          <w:sz w:val="21"/>
          <w:szCs w:val="21"/>
        </w:rPr>
        <w:t>3</w:t>
      </w:r>
      <w:r>
        <w:rPr>
          <w:rFonts w:hint="eastAsia" w:ascii="宋体" w:hAnsi="宋体"/>
          <w:sz w:val="21"/>
          <w:szCs w:val="21"/>
          <w:lang w:eastAsia="zh-CN"/>
        </w:rPr>
        <w:t>.</w:t>
      </w:r>
      <w:r>
        <w:rPr>
          <w:rFonts w:ascii="宋体" w:hAnsi="宋体"/>
          <w:sz w:val="21"/>
          <w:szCs w:val="21"/>
        </w:rPr>
        <w:t>乙方应建立并完善内部保密制度，乙方应当告知并以适当方式要求其参与本项工作员工遵守本合同规定。</w:t>
      </w:r>
    </w:p>
    <w:p w14:paraId="398521E4">
      <w:pPr>
        <w:pStyle w:val="8"/>
        <w:spacing w:line="360" w:lineRule="auto"/>
        <w:ind w:firstLine="420"/>
        <w:rPr>
          <w:rFonts w:ascii="宋体" w:hAnsi="宋体"/>
          <w:sz w:val="21"/>
          <w:szCs w:val="21"/>
        </w:rPr>
      </w:pPr>
      <w:r>
        <w:rPr>
          <w:rFonts w:hint="eastAsia" w:ascii="宋体" w:hAnsi="宋体"/>
          <w:sz w:val="21"/>
          <w:szCs w:val="21"/>
        </w:rPr>
        <w:t>4</w:t>
      </w:r>
      <w:r>
        <w:rPr>
          <w:rFonts w:hint="eastAsia" w:ascii="宋体" w:hAnsi="宋体"/>
          <w:sz w:val="21"/>
          <w:szCs w:val="21"/>
          <w:lang w:eastAsia="zh-CN"/>
        </w:rPr>
        <w:t>.</w:t>
      </w:r>
      <w:r>
        <w:rPr>
          <w:rFonts w:ascii="宋体" w:hAnsi="宋体"/>
          <w:sz w:val="21"/>
          <w:szCs w:val="21"/>
        </w:rPr>
        <w:t>乙方在履行本合同过程中，不得擅自修改甲方资料或将甲方的资料泄漏，由此给甲方造成的损失，由乙方承担全部责任。</w:t>
      </w:r>
    </w:p>
    <w:p w14:paraId="73F52325">
      <w:pPr>
        <w:pStyle w:val="8"/>
        <w:spacing w:line="360" w:lineRule="auto"/>
        <w:ind w:firstLine="420"/>
        <w:rPr>
          <w:rFonts w:ascii="宋体" w:hAnsi="宋体"/>
          <w:sz w:val="21"/>
          <w:szCs w:val="21"/>
        </w:rPr>
      </w:pPr>
      <w:r>
        <w:rPr>
          <w:rFonts w:hint="eastAsia" w:ascii="宋体" w:hAnsi="宋体"/>
          <w:sz w:val="21"/>
          <w:szCs w:val="21"/>
        </w:rPr>
        <w:t>5</w:t>
      </w:r>
      <w:r>
        <w:rPr>
          <w:rFonts w:hint="eastAsia" w:ascii="宋体" w:hAnsi="宋体"/>
          <w:sz w:val="21"/>
          <w:szCs w:val="21"/>
          <w:lang w:eastAsia="zh-CN"/>
        </w:rPr>
        <w:t>.</w:t>
      </w:r>
      <w:r>
        <w:rPr>
          <w:rFonts w:ascii="宋体" w:hAnsi="宋体"/>
          <w:sz w:val="21"/>
          <w:szCs w:val="21"/>
        </w:rPr>
        <w:t>乙方保证采取所有必要的方法对甲方提供的保密信息进行保密，包括但不限于：执行和坚持适当的作业程序来避免非授权透露、使用或复制保密信息。</w:t>
      </w:r>
    </w:p>
    <w:p w14:paraId="1954B83D">
      <w:pPr>
        <w:pStyle w:val="8"/>
        <w:spacing w:line="360" w:lineRule="auto"/>
        <w:ind w:firstLine="420"/>
        <w:rPr>
          <w:rFonts w:ascii="宋体" w:hAnsi="宋体"/>
          <w:sz w:val="21"/>
          <w:szCs w:val="21"/>
        </w:rPr>
      </w:pPr>
      <w:r>
        <w:rPr>
          <w:rFonts w:hint="eastAsia" w:ascii="宋体" w:hAnsi="宋体"/>
          <w:sz w:val="21"/>
          <w:szCs w:val="21"/>
        </w:rPr>
        <w:t>6</w:t>
      </w:r>
      <w:r>
        <w:rPr>
          <w:rFonts w:hint="eastAsia" w:ascii="宋体" w:hAnsi="宋体"/>
          <w:sz w:val="21"/>
          <w:szCs w:val="21"/>
          <w:lang w:eastAsia="zh-CN"/>
        </w:rPr>
        <w:t>.</w:t>
      </w:r>
      <w:r>
        <w:rPr>
          <w:rFonts w:ascii="宋体" w:hAnsi="宋体"/>
          <w:sz w:val="21"/>
          <w:szCs w:val="21"/>
        </w:rPr>
        <w:t>当甲方以书面形式要求乙方交回保密信息时，乙方应当立即交回所有书面的或其他有形的保密信息以及所有描述和概括该保密信息的文件，不得以任何方式留存履行合同过程中的任何信息和数据。</w:t>
      </w:r>
    </w:p>
    <w:p w14:paraId="0C2F93AF">
      <w:pPr>
        <w:pStyle w:val="8"/>
        <w:spacing w:line="360" w:lineRule="auto"/>
        <w:ind w:firstLine="420"/>
        <w:rPr>
          <w:rFonts w:ascii="宋体" w:hAnsi="宋体"/>
          <w:sz w:val="21"/>
          <w:szCs w:val="21"/>
        </w:rPr>
      </w:pPr>
      <w:r>
        <w:rPr>
          <w:rFonts w:hint="eastAsia" w:ascii="宋体" w:hAnsi="宋体"/>
          <w:sz w:val="21"/>
          <w:szCs w:val="21"/>
        </w:rPr>
        <w:t>7</w:t>
      </w:r>
      <w:r>
        <w:rPr>
          <w:rFonts w:hint="eastAsia" w:ascii="宋体" w:hAnsi="宋体"/>
          <w:sz w:val="21"/>
          <w:szCs w:val="21"/>
          <w:lang w:eastAsia="zh-CN"/>
        </w:rPr>
        <w:t>.</w:t>
      </w:r>
      <w:r>
        <w:rPr>
          <w:rFonts w:ascii="宋体" w:hAnsi="宋体"/>
          <w:sz w:val="21"/>
          <w:szCs w:val="21"/>
        </w:rPr>
        <w:t>除非甲方明确的书面授权，乙方不能认为甲方授予其包含该保密信息的任何专利权、专利申请权、商标权、著作权、商业秘密或其它的知识产权。</w:t>
      </w:r>
    </w:p>
    <w:p w14:paraId="67AABC06">
      <w:pPr>
        <w:pStyle w:val="8"/>
        <w:spacing w:line="360" w:lineRule="auto"/>
        <w:ind w:firstLine="420"/>
        <w:rPr>
          <w:rFonts w:ascii="宋体" w:hAnsi="宋体"/>
          <w:sz w:val="21"/>
          <w:szCs w:val="21"/>
        </w:rPr>
      </w:pPr>
      <w:r>
        <w:rPr>
          <w:rFonts w:hint="eastAsia" w:ascii="宋体" w:hAnsi="宋体"/>
          <w:sz w:val="21"/>
          <w:szCs w:val="21"/>
        </w:rPr>
        <w:t>8</w:t>
      </w:r>
      <w:r>
        <w:rPr>
          <w:rFonts w:hint="eastAsia" w:ascii="宋体" w:hAnsi="宋体"/>
          <w:sz w:val="21"/>
          <w:szCs w:val="21"/>
          <w:lang w:eastAsia="zh-CN"/>
        </w:rPr>
        <w:t>.</w:t>
      </w:r>
      <w:r>
        <w:rPr>
          <w:rFonts w:ascii="宋体" w:hAnsi="宋体"/>
          <w:sz w:val="21"/>
          <w:szCs w:val="21"/>
        </w:rPr>
        <w:t>乙方对甲方的数据、软件、用户名、密码、系统结构、网络配置等不得泄露给任何第三方，如有违反，按违约处理。</w:t>
      </w:r>
    </w:p>
    <w:p w14:paraId="5810A97A">
      <w:pPr>
        <w:pStyle w:val="8"/>
        <w:spacing w:line="360" w:lineRule="auto"/>
        <w:ind w:firstLine="420"/>
        <w:rPr>
          <w:rFonts w:ascii="宋体" w:hAnsi="宋体"/>
          <w:sz w:val="21"/>
          <w:szCs w:val="21"/>
        </w:rPr>
      </w:pPr>
      <w:r>
        <w:rPr>
          <w:rFonts w:hint="eastAsia" w:ascii="宋体" w:hAnsi="宋体"/>
          <w:sz w:val="21"/>
          <w:szCs w:val="21"/>
        </w:rPr>
        <w:t>9</w:t>
      </w:r>
      <w:r>
        <w:rPr>
          <w:rFonts w:hint="eastAsia" w:ascii="宋体" w:hAnsi="宋体"/>
          <w:sz w:val="21"/>
          <w:szCs w:val="21"/>
          <w:lang w:eastAsia="zh-CN"/>
        </w:rPr>
        <w:t>.</w:t>
      </w:r>
      <w:r>
        <w:rPr>
          <w:rFonts w:ascii="宋体" w:hAnsi="宋体"/>
          <w:sz w:val="21"/>
          <w:szCs w:val="21"/>
        </w:rPr>
        <w:t>乙方有关人员违反保密义务的，视为乙方违反保密义务。</w:t>
      </w:r>
    </w:p>
    <w:p w14:paraId="1B4AFB53">
      <w:pPr>
        <w:spacing w:before="156" w:beforeLines="50" w:after="156" w:afterLines="50" w:line="360" w:lineRule="auto"/>
        <w:ind w:left="425"/>
        <w:rPr>
          <w:rFonts w:ascii="宋体" w:hAnsi="宋体"/>
          <w:b/>
          <w:sz w:val="30"/>
          <w:szCs w:val="30"/>
        </w:rPr>
      </w:pPr>
      <w:r>
        <w:rPr>
          <w:rFonts w:hint="eastAsia" w:ascii="宋体" w:hAnsi="宋体"/>
          <w:b/>
          <w:sz w:val="30"/>
          <w:szCs w:val="30"/>
        </w:rPr>
        <w:t>第十五条  合同生效及其他</w:t>
      </w:r>
    </w:p>
    <w:p w14:paraId="2BA48A1B">
      <w:pPr>
        <w:pStyle w:val="8"/>
        <w:spacing w:line="360" w:lineRule="auto"/>
        <w:ind w:firstLine="420"/>
        <w:rPr>
          <w:rFonts w:ascii="宋体" w:hAnsi="宋体"/>
          <w:sz w:val="21"/>
          <w:szCs w:val="21"/>
        </w:rPr>
      </w:pPr>
      <w:r>
        <w:rPr>
          <w:rFonts w:ascii="宋体" w:hAnsi="宋体"/>
          <w:sz w:val="21"/>
          <w:szCs w:val="21"/>
        </w:rPr>
        <w:t>1.合同经双方法定代表人或授权委托代理人签字并加盖单位公章后生效。</w:t>
      </w:r>
    </w:p>
    <w:p w14:paraId="5FCB9D7C">
      <w:pPr>
        <w:pStyle w:val="8"/>
        <w:spacing w:line="360" w:lineRule="auto"/>
        <w:ind w:firstLine="420"/>
        <w:rPr>
          <w:rFonts w:ascii="宋体" w:hAnsi="宋体"/>
          <w:sz w:val="21"/>
          <w:szCs w:val="21"/>
        </w:rPr>
      </w:pPr>
      <w:r>
        <w:rPr>
          <w:rFonts w:ascii="宋体" w:hAnsi="宋体"/>
          <w:sz w:val="21"/>
          <w:szCs w:val="21"/>
        </w:rPr>
        <w:t>2.合同执行中双方对采购资金和采购内容修改、补充的内容，是主合同的有效组成部分。</w:t>
      </w:r>
    </w:p>
    <w:p w14:paraId="5AA4D153">
      <w:pPr>
        <w:pStyle w:val="8"/>
        <w:spacing w:line="360" w:lineRule="auto"/>
        <w:ind w:firstLine="420"/>
        <w:rPr>
          <w:rFonts w:ascii="宋体" w:hAnsi="宋体"/>
          <w:sz w:val="21"/>
          <w:szCs w:val="21"/>
        </w:rPr>
      </w:pPr>
      <w:r>
        <w:rPr>
          <w:rFonts w:hint="eastAsia" w:ascii="宋体" w:hAnsi="宋体"/>
          <w:sz w:val="21"/>
          <w:szCs w:val="21"/>
        </w:rPr>
        <w:t>3</w:t>
      </w:r>
      <w:r>
        <w:rPr>
          <w:rFonts w:ascii="宋体" w:hAnsi="宋体"/>
          <w:sz w:val="21"/>
          <w:szCs w:val="21"/>
        </w:rPr>
        <w:t>.合同未尽事宜</w:t>
      </w:r>
      <w:r>
        <w:rPr>
          <w:rFonts w:hint="eastAsia" w:ascii="宋体" w:hAnsi="宋体"/>
          <w:color w:val="000000"/>
          <w:sz w:val="21"/>
          <w:szCs w:val="21"/>
        </w:rPr>
        <w:t>，</w:t>
      </w:r>
      <w:r>
        <w:rPr>
          <w:rFonts w:ascii="宋体" w:hAnsi="宋体"/>
          <w:sz w:val="21"/>
          <w:szCs w:val="21"/>
        </w:rPr>
        <w:t>由甲、乙双方协商，作为合同补充，与原合同具有同等法律效力，本合同的附件为本合同不可分割的部分，与本合同正文具有同等的法律效力。</w:t>
      </w:r>
      <w:r>
        <w:rPr>
          <w:rFonts w:hint="eastAsia" w:ascii="宋体" w:hAnsi="宋体"/>
          <w:sz w:val="21"/>
          <w:szCs w:val="21"/>
        </w:rPr>
        <w:t>补充协议</w:t>
      </w:r>
      <w:r>
        <w:rPr>
          <w:rFonts w:ascii="宋体" w:hAnsi="宋体"/>
          <w:sz w:val="21"/>
          <w:szCs w:val="21"/>
        </w:rPr>
        <w:t>由双方共同签字并盖章之日起生效。</w:t>
      </w:r>
    </w:p>
    <w:p w14:paraId="574853F9">
      <w:pPr>
        <w:pStyle w:val="8"/>
        <w:spacing w:line="360" w:lineRule="auto"/>
        <w:ind w:firstLine="420"/>
        <w:rPr>
          <w:rFonts w:ascii="宋体" w:hAnsi="宋体"/>
          <w:sz w:val="21"/>
          <w:szCs w:val="21"/>
        </w:rPr>
      </w:pPr>
      <w:r>
        <w:rPr>
          <w:rFonts w:hint="eastAsia" w:ascii="宋体" w:hAnsi="宋体"/>
          <w:sz w:val="21"/>
          <w:szCs w:val="21"/>
        </w:rPr>
        <w:t>4.</w:t>
      </w:r>
      <w:r>
        <w:rPr>
          <w:rFonts w:ascii="宋体" w:hAnsi="宋体"/>
          <w:sz w:val="21"/>
          <w:szCs w:val="21"/>
        </w:rPr>
        <w:t>本合同要求的或根据本合同做出的任何通知、请求、要求和其它通信往来以书面形式送达有关方时，如以传真/邮件形式发送，则一经发出即视为送达；如当面送递，则一经面交即视为送达：如以邮件形式发送，不论拒收或退回，均视为有效送达。</w:t>
      </w:r>
    </w:p>
    <w:p w14:paraId="5F8BE444">
      <w:pPr>
        <w:pStyle w:val="8"/>
        <w:spacing w:line="360" w:lineRule="auto"/>
        <w:ind w:firstLine="420"/>
        <w:rPr>
          <w:rFonts w:ascii="宋体" w:hAnsi="宋体"/>
          <w:sz w:val="21"/>
          <w:szCs w:val="21"/>
        </w:rPr>
      </w:pPr>
      <w:r>
        <w:rPr>
          <w:rFonts w:ascii="宋体" w:hAnsi="宋体"/>
          <w:sz w:val="21"/>
          <w:szCs w:val="21"/>
        </w:rPr>
        <w:t>双方确认以签字盖章处的地址为双方的邮寄送达地址，相应文书、材料可以直接送达。</w:t>
      </w:r>
    </w:p>
    <w:p w14:paraId="2103CB77">
      <w:pPr>
        <w:pStyle w:val="8"/>
        <w:spacing w:line="360" w:lineRule="auto"/>
        <w:ind w:firstLine="420"/>
        <w:rPr>
          <w:rFonts w:ascii="宋体" w:hAnsi="宋体"/>
          <w:sz w:val="21"/>
          <w:szCs w:val="21"/>
        </w:rPr>
      </w:pPr>
      <w:r>
        <w:rPr>
          <w:rFonts w:ascii="宋体" w:hAnsi="宋体"/>
          <w:sz w:val="21"/>
          <w:szCs w:val="21"/>
        </w:rPr>
        <w:t>一方送达地址变更的，应及时以书面形式通知另一方；未按前述约定履行通知义务的，双方已确认的地址仍为有效送达地址。</w:t>
      </w:r>
    </w:p>
    <w:p w14:paraId="2FEF7723">
      <w:pPr>
        <w:pStyle w:val="8"/>
        <w:spacing w:line="360" w:lineRule="auto"/>
        <w:ind w:firstLine="420"/>
        <w:rPr>
          <w:rFonts w:ascii="宋体" w:hAnsi="宋体"/>
          <w:sz w:val="21"/>
          <w:szCs w:val="21"/>
        </w:rPr>
      </w:pPr>
      <w:r>
        <w:rPr>
          <w:rFonts w:ascii="宋体" w:hAnsi="宋体"/>
          <w:sz w:val="21"/>
          <w:szCs w:val="21"/>
        </w:rPr>
        <w:t>如双方因本合同发生任何纠纷诉至法院，本合同所载的各方地址将作为各自司法送达地址，该送达地址适用一审、二审、再审、执行等各个诉讼阶段。</w:t>
      </w:r>
    </w:p>
    <w:p w14:paraId="71A85323">
      <w:pPr>
        <w:pStyle w:val="8"/>
        <w:spacing w:line="360" w:lineRule="auto"/>
        <w:ind w:firstLine="420"/>
        <w:rPr>
          <w:rFonts w:ascii="宋体" w:hAnsi="宋体"/>
          <w:sz w:val="21"/>
          <w:szCs w:val="21"/>
        </w:rPr>
      </w:pPr>
      <w:r>
        <w:rPr>
          <w:rFonts w:ascii="宋体" w:hAnsi="宋体"/>
          <w:sz w:val="21"/>
          <w:szCs w:val="21"/>
        </w:rPr>
        <w:t>5.本合同一式8份，甲方4份，乙方4份</w:t>
      </w:r>
      <w:r>
        <w:rPr>
          <w:rFonts w:hint="eastAsia" w:ascii="宋体" w:hAnsi="宋体"/>
          <w:sz w:val="21"/>
          <w:szCs w:val="21"/>
        </w:rPr>
        <w:t>，均</w:t>
      </w:r>
      <w:r>
        <w:rPr>
          <w:rFonts w:ascii="宋体" w:hAnsi="宋体"/>
          <w:sz w:val="21"/>
          <w:szCs w:val="21"/>
        </w:rPr>
        <w:t>具有同等法律效力。</w:t>
      </w:r>
    </w:p>
    <w:p w14:paraId="3B4F8BF9">
      <w:pPr>
        <w:spacing w:before="156" w:beforeLines="50" w:after="156" w:afterLines="50" w:line="360" w:lineRule="auto"/>
        <w:ind w:left="425"/>
        <w:rPr>
          <w:rFonts w:ascii="宋体" w:hAnsi="宋体"/>
          <w:b/>
          <w:sz w:val="30"/>
          <w:szCs w:val="30"/>
        </w:rPr>
      </w:pPr>
      <w:r>
        <w:rPr>
          <w:rFonts w:hint="eastAsia" w:ascii="宋体" w:hAnsi="宋体"/>
          <w:b/>
          <w:sz w:val="30"/>
          <w:szCs w:val="30"/>
        </w:rPr>
        <w:t>第十六条  附件</w:t>
      </w:r>
    </w:p>
    <w:p w14:paraId="7722F3E4">
      <w:pPr>
        <w:pStyle w:val="10"/>
        <w:spacing w:line="360" w:lineRule="auto"/>
        <w:rPr>
          <w:rFonts w:ascii="宋体" w:hAnsi="宋体"/>
          <w:sz w:val="21"/>
          <w:szCs w:val="21"/>
        </w:rPr>
      </w:pPr>
      <w:r>
        <w:rPr>
          <w:rFonts w:hint="eastAsia" w:ascii="宋体" w:hAnsi="宋体"/>
          <w:sz w:val="21"/>
          <w:szCs w:val="21"/>
        </w:rPr>
        <w:t>与履行本合同有关的下列文件，为本合同的</w:t>
      </w:r>
      <w:r>
        <w:rPr>
          <w:rFonts w:hint="eastAsia" w:ascii="宋体" w:hAnsi="宋体"/>
          <w:color w:val="000000"/>
          <w:sz w:val="21"/>
          <w:szCs w:val="21"/>
        </w:rPr>
        <w:t>必要</w:t>
      </w:r>
      <w:r>
        <w:rPr>
          <w:rFonts w:hint="eastAsia" w:ascii="宋体" w:hAnsi="宋体"/>
          <w:sz w:val="21"/>
          <w:szCs w:val="21"/>
        </w:rPr>
        <w:t>组成部分</w:t>
      </w:r>
      <w:r>
        <w:rPr>
          <w:rFonts w:hint="eastAsia" w:ascii="宋体" w:hAnsi="宋体"/>
          <w:color w:val="000000"/>
          <w:sz w:val="21"/>
          <w:szCs w:val="21"/>
        </w:rPr>
        <w:t>，与本合同具有同样法律效力：</w:t>
      </w:r>
    </w:p>
    <w:p w14:paraId="4F9E0ABE">
      <w:pPr>
        <w:pStyle w:val="10"/>
        <w:spacing w:line="360" w:lineRule="auto"/>
        <w:rPr>
          <w:rFonts w:ascii="宋体" w:hAnsi="宋体"/>
          <w:sz w:val="21"/>
          <w:szCs w:val="21"/>
        </w:rPr>
      </w:pPr>
      <w:r>
        <w:rPr>
          <w:rFonts w:hint="eastAsia" w:ascii="宋体" w:hAnsi="宋体"/>
          <w:sz w:val="21"/>
          <w:szCs w:val="21"/>
        </w:rPr>
        <w:t>1.项目谈判文件</w:t>
      </w:r>
    </w:p>
    <w:p w14:paraId="6C352DD1">
      <w:pPr>
        <w:pStyle w:val="10"/>
        <w:spacing w:line="360" w:lineRule="auto"/>
        <w:rPr>
          <w:rFonts w:ascii="宋体" w:hAnsi="宋体"/>
          <w:sz w:val="21"/>
          <w:szCs w:val="21"/>
        </w:rPr>
      </w:pPr>
      <w:r>
        <w:rPr>
          <w:rFonts w:hint="eastAsia" w:ascii="宋体" w:hAnsi="宋体"/>
          <w:sz w:val="21"/>
          <w:szCs w:val="21"/>
        </w:rPr>
        <w:t>2.项目修改澄清文件</w:t>
      </w:r>
    </w:p>
    <w:p w14:paraId="743220E6">
      <w:pPr>
        <w:pStyle w:val="10"/>
        <w:spacing w:line="360" w:lineRule="auto"/>
        <w:rPr>
          <w:rFonts w:ascii="宋体" w:hAnsi="宋体"/>
          <w:sz w:val="21"/>
          <w:szCs w:val="21"/>
        </w:rPr>
      </w:pPr>
      <w:r>
        <w:rPr>
          <w:rFonts w:hint="eastAsia" w:ascii="宋体" w:hAnsi="宋体"/>
          <w:sz w:val="21"/>
          <w:szCs w:val="21"/>
        </w:rPr>
        <w:t>3.项目响应文件</w:t>
      </w:r>
    </w:p>
    <w:p w14:paraId="67588E2D">
      <w:pPr>
        <w:pStyle w:val="10"/>
        <w:spacing w:line="360" w:lineRule="auto"/>
        <w:rPr>
          <w:rFonts w:ascii="宋体" w:hAnsi="宋体"/>
          <w:sz w:val="21"/>
          <w:szCs w:val="21"/>
        </w:rPr>
      </w:pPr>
      <w:r>
        <w:rPr>
          <w:rFonts w:hint="eastAsia" w:ascii="宋体" w:hAnsi="宋体"/>
          <w:sz w:val="21"/>
          <w:szCs w:val="21"/>
        </w:rPr>
        <w:t>4.成交通知书</w:t>
      </w:r>
    </w:p>
    <w:p w14:paraId="6DEE76C9">
      <w:pPr>
        <w:pStyle w:val="10"/>
        <w:spacing w:line="360" w:lineRule="auto"/>
        <w:rPr>
          <w:rFonts w:ascii="宋体" w:hAnsi="宋体"/>
          <w:szCs w:val="21"/>
        </w:rPr>
      </w:pPr>
      <w:r>
        <w:rPr>
          <w:rFonts w:hint="eastAsia" w:ascii="宋体" w:hAnsi="宋体"/>
          <w:sz w:val="21"/>
          <w:szCs w:val="21"/>
        </w:rPr>
        <w:t>5.其他</w:t>
      </w:r>
    </w:p>
    <w:p w14:paraId="6D84BBB6">
      <w:pPr>
        <w:spacing w:line="360" w:lineRule="auto"/>
        <w:ind w:firstLine="420" w:firstLineChars="200"/>
        <w:rPr>
          <w:rFonts w:hint="eastAsia" w:ascii="宋体" w:hAnsi="宋体"/>
          <w:szCs w:val="21"/>
          <w:lang w:eastAsia="zh-CN"/>
        </w:rPr>
      </w:pPr>
      <w:r>
        <w:rPr>
          <w:rFonts w:hint="eastAsia" w:ascii="宋体" w:hAnsi="宋体"/>
          <w:szCs w:val="21"/>
          <w:lang w:eastAsia="zh-CN"/>
        </w:rPr>
        <w:t>（</w:t>
      </w:r>
      <w:r>
        <w:rPr>
          <w:rFonts w:hint="eastAsia" w:ascii="宋体" w:hAnsi="宋体"/>
          <w:szCs w:val="21"/>
        </w:rPr>
        <w:t>以下为本合同签署页，无正文。</w:t>
      </w:r>
      <w:r>
        <w:rPr>
          <w:rFonts w:hint="eastAsia" w:ascii="宋体" w:hAnsi="宋体"/>
          <w:szCs w:val="21"/>
          <w:lang w:eastAsia="zh-CN"/>
        </w:rPr>
        <w:t>）</w:t>
      </w:r>
    </w:p>
    <w:p w14:paraId="58A62F16">
      <w:pPr>
        <w:spacing w:line="360" w:lineRule="auto"/>
        <w:ind w:firstLine="420" w:firstLineChars="200"/>
        <w:rPr>
          <w:rFonts w:hint="eastAsia" w:ascii="宋体" w:hAnsi="宋体"/>
          <w:szCs w:val="21"/>
          <w:lang w:eastAsia="zh-CN"/>
        </w:rPr>
      </w:pPr>
    </w:p>
    <w:p w14:paraId="33B73F13">
      <w:pPr>
        <w:spacing w:line="360" w:lineRule="auto"/>
        <w:ind w:firstLine="420" w:firstLineChars="200"/>
        <w:rPr>
          <w:rFonts w:hint="eastAsia" w:ascii="宋体" w:hAnsi="宋体"/>
          <w:szCs w:val="21"/>
          <w:lang w:eastAsia="zh-CN"/>
        </w:rPr>
      </w:pPr>
    </w:p>
    <w:p w14:paraId="7E5D2205">
      <w:pPr>
        <w:spacing w:line="360" w:lineRule="auto"/>
        <w:ind w:firstLine="420" w:firstLineChars="200"/>
        <w:rPr>
          <w:rFonts w:hint="eastAsia" w:ascii="宋体" w:hAnsi="宋体"/>
          <w:szCs w:val="21"/>
          <w:lang w:eastAsia="zh-CN"/>
        </w:rPr>
      </w:pPr>
    </w:p>
    <w:p w14:paraId="0CF394FA">
      <w:pPr>
        <w:spacing w:line="360" w:lineRule="auto"/>
        <w:ind w:firstLine="420" w:firstLineChars="200"/>
        <w:rPr>
          <w:rFonts w:hint="eastAsia" w:ascii="宋体" w:hAnsi="宋体"/>
          <w:szCs w:val="21"/>
          <w:lang w:eastAsia="zh-CN"/>
        </w:rPr>
      </w:pPr>
    </w:p>
    <w:p w14:paraId="4078694F">
      <w:pPr>
        <w:spacing w:line="360" w:lineRule="auto"/>
        <w:ind w:firstLine="420" w:firstLineChars="200"/>
        <w:rPr>
          <w:rFonts w:hint="eastAsia" w:ascii="宋体" w:hAnsi="宋体"/>
          <w:szCs w:val="21"/>
          <w:lang w:eastAsia="zh-CN"/>
        </w:rPr>
      </w:pPr>
    </w:p>
    <w:p w14:paraId="6388B9F1">
      <w:pPr>
        <w:spacing w:line="360" w:lineRule="auto"/>
        <w:rPr>
          <w:rFonts w:ascii="宋体" w:hAnsi="宋体"/>
          <w:szCs w:val="21"/>
        </w:rPr>
      </w:pPr>
    </w:p>
    <w:p w14:paraId="57CCC57B">
      <w:pPr>
        <w:spacing w:line="360" w:lineRule="auto"/>
        <w:rPr>
          <w:rFonts w:ascii="宋体" w:hAnsi="宋体"/>
          <w:szCs w:val="21"/>
        </w:rPr>
      </w:pPr>
    </w:p>
    <w:tbl>
      <w:tblPr>
        <w:tblStyle w:val="6"/>
        <w:tblW w:w="94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62"/>
        <w:gridCol w:w="4536"/>
      </w:tblGrid>
      <w:tr w14:paraId="2E8F51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exact"/>
          <w:jc w:val="center"/>
        </w:trPr>
        <w:tc>
          <w:tcPr>
            <w:tcW w:w="4962" w:type="dxa"/>
            <w:vAlign w:val="center"/>
          </w:tcPr>
          <w:p w14:paraId="1793C4FB">
            <w:pPr>
              <w:spacing w:line="360" w:lineRule="auto"/>
              <w:jc w:val="center"/>
              <w:rPr>
                <w:rFonts w:ascii="宋体" w:hAnsi="宋体"/>
                <w:b/>
                <w:szCs w:val="21"/>
              </w:rPr>
            </w:pPr>
            <w:r>
              <w:rPr>
                <w:rFonts w:hint="eastAsia" w:ascii="宋体" w:hAnsi="宋体"/>
                <w:szCs w:val="21"/>
              </w:rPr>
              <w:t xml:space="preserve"> </w:t>
            </w:r>
            <w:r>
              <w:rPr>
                <w:rFonts w:ascii="宋体" w:hAnsi="宋体"/>
                <w:b/>
                <w:szCs w:val="21"/>
              </w:rPr>
              <w:t>甲      方</w:t>
            </w:r>
          </w:p>
        </w:tc>
        <w:tc>
          <w:tcPr>
            <w:tcW w:w="4536" w:type="dxa"/>
            <w:vAlign w:val="center"/>
          </w:tcPr>
          <w:p w14:paraId="3EE028F3">
            <w:pPr>
              <w:spacing w:line="360" w:lineRule="auto"/>
              <w:jc w:val="center"/>
              <w:rPr>
                <w:rFonts w:ascii="宋体" w:hAnsi="宋体"/>
                <w:b/>
                <w:szCs w:val="21"/>
              </w:rPr>
            </w:pPr>
            <w:r>
              <w:rPr>
                <w:rFonts w:ascii="宋体" w:hAnsi="宋体"/>
                <w:b/>
                <w:szCs w:val="21"/>
              </w:rPr>
              <w:t>乙      方</w:t>
            </w:r>
          </w:p>
        </w:tc>
      </w:tr>
      <w:tr w14:paraId="3F879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exact"/>
          <w:jc w:val="center"/>
        </w:trPr>
        <w:tc>
          <w:tcPr>
            <w:tcW w:w="4962" w:type="dxa"/>
            <w:vAlign w:val="center"/>
          </w:tcPr>
          <w:p w14:paraId="7F7BEE40">
            <w:pPr>
              <w:spacing w:line="360" w:lineRule="auto"/>
              <w:rPr>
                <w:rFonts w:ascii="宋体" w:hAnsi="宋体"/>
                <w:szCs w:val="21"/>
              </w:rPr>
            </w:pPr>
            <w:r>
              <w:rPr>
                <w:rFonts w:ascii="宋体" w:hAnsi="宋体"/>
                <w:szCs w:val="21"/>
              </w:rPr>
              <w:t>单位名称(章)：</w:t>
            </w:r>
          </w:p>
        </w:tc>
        <w:tc>
          <w:tcPr>
            <w:tcW w:w="4536" w:type="dxa"/>
            <w:vAlign w:val="center"/>
          </w:tcPr>
          <w:p w14:paraId="64F63BDD">
            <w:pPr>
              <w:spacing w:line="360" w:lineRule="auto"/>
              <w:rPr>
                <w:rFonts w:ascii="宋体" w:hAnsi="宋体"/>
                <w:szCs w:val="21"/>
              </w:rPr>
            </w:pPr>
            <w:r>
              <w:rPr>
                <w:rFonts w:ascii="宋体" w:hAnsi="宋体"/>
                <w:szCs w:val="21"/>
              </w:rPr>
              <w:t>单位名称(章)：</w:t>
            </w:r>
          </w:p>
        </w:tc>
      </w:tr>
      <w:tr w14:paraId="06DD7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4" w:hRule="exact"/>
          <w:jc w:val="center"/>
        </w:trPr>
        <w:tc>
          <w:tcPr>
            <w:tcW w:w="4962" w:type="dxa"/>
            <w:vAlign w:val="center"/>
          </w:tcPr>
          <w:p w14:paraId="6C62AD7E">
            <w:pPr>
              <w:spacing w:line="360" w:lineRule="auto"/>
              <w:rPr>
                <w:rFonts w:ascii="宋体" w:hAnsi="宋体"/>
                <w:szCs w:val="21"/>
              </w:rPr>
            </w:pPr>
            <w:r>
              <w:rPr>
                <w:rFonts w:ascii="宋体" w:hAnsi="宋体"/>
                <w:szCs w:val="21"/>
              </w:rPr>
              <w:t>开票地址：</w:t>
            </w:r>
          </w:p>
        </w:tc>
        <w:tc>
          <w:tcPr>
            <w:tcW w:w="4536" w:type="dxa"/>
            <w:vAlign w:val="center"/>
          </w:tcPr>
          <w:p w14:paraId="0E023DFD">
            <w:pPr>
              <w:spacing w:line="360" w:lineRule="auto"/>
              <w:rPr>
                <w:rFonts w:ascii="宋体" w:hAnsi="宋体"/>
                <w:szCs w:val="21"/>
              </w:rPr>
            </w:pPr>
            <w:r>
              <w:rPr>
                <w:rFonts w:ascii="宋体" w:hAnsi="宋体"/>
                <w:szCs w:val="21"/>
              </w:rPr>
              <w:t>单位地址：</w:t>
            </w:r>
          </w:p>
        </w:tc>
      </w:tr>
      <w:tr w14:paraId="7DA70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exact"/>
          <w:jc w:val="center"/>
        </w:trPr>
        <w:tc>
          <w:tcPr>
            <w:tcW w:w="4962" w:type="dxa"/>
            <w:vAlign w:val="center"/>
          </w:tcPr>
          <w:p w14:paraId="3AAC015B">
            <w:pPr>
              <w:rPr>
                <w:rFonts w:ascii="宋体" w:hAnsi="宋体" w:cs="宋体"/>
                <w:szCs w:val="21"/>
              </w:rPr>
            </w:pPr>
            <w:r>
              <w:rPr>
                <w:rFonts w:ascii="宋体" w:hAnsi="宋体" w:cs="宋体"/>
                <w:szCs w:val="21"/>
              </w:rPr>
              <w:t>邮政编码：</w:t>
            </w:r>
          </w:p>
        </w:tc>
        <w:tc>
          <w:tcPr>
            <w:tcW w:w="4536" w:type="dxa"/>
            <w:vAlign w:val="center"/>
          </w:tcPr>
          <w:p w14:paraId="25E7EEA3">
            <w:pPr>
              <w:rPr>
                <w:rFonts w:ascii="宋体" w:hAnsi="宋体"/>
                <w:szCs w:val="21"/>
              </w:rPr>
            </w:pPr>
            <w:r>
              <w:rPr>
                <w:rFonts w:hint="eastAsia" w:ascii="宋体" w:hAnsi="宋体" w:cs="宋体"/>
                <w:szCs w:val="21"/>
              </w:rPr>
              <w:t>邮政编码：</w:t>
            </w:r>
          </w:p>
        </w:tc>
      </w:tr>
      <w:tr w14:paraId="0A4773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4962" w:type="dxa"/>
            <w:vAlign w:val="center"/>
          </w:tcPr>
          <w:p w14:paraId="6885BBD5">
            <w:pPr>
              <w:spacing w:line="360" w:lineRule="auto"/>
              <w:rPr>
                <w:rFonts w:ascii="宋体" w:hAnsi="宋体"/>
                <w:szCs w:val="21"/>
              </w:rPr>
            </w:pPr>
            <w:r>
              <w:rPr>
                <w:rFonts w:ascii="宋体" w:hAnsi="宋体"/>
                <w:szCs w:val="21"/>
              </w:rPr>
              <w:t>法定代表人：</w:t>
            </w:r>
          </w:p>
        </w:tc>
        <w:tc>
          <w:tcPr>
            <w:tcW w:w="4536" w:type="dxa"/>
            <w:vAlign w:val="center"/>
          </w:tcPr>
          <w:p w14:paraId="0296B0F9">
            <w:pPr>
              <w:spacing w:line="360" w:lineRule="auto"/>
              <w:rPr>
                <w:rFonts w:ascii="宋体" w:hAnsi="宋体"/>
                <w:b/>
                <w:szCs w:val="21"/>
              </w:rPr>
            </w:pPr>
            <w:r>
              <w:rPr>
                <w:rFonts w:ascii="宋体" w:hAnsi="宋体"/>
                <w:szCs w:val="21"/>
              </w:rPr>
              <w:t>法定代表人：</w:t>
            </w:r>
          </w:p>
        </w:tc>
      </w:tr>
      <w:tr w14:paraId="4B29D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4962" w:type="dxa"/>
            <w:vAlign w:val="center"/>
          </w:tcPr>
          <w:p w14:paraId="2F9B139A">
            <w:pPr>
              <w:spacing w:line="360" w:lineRule="auto"/>
              <w:rPr>
                <w:rFonts w:ascii="宋体" w:hAnsi="宋体"/>
                <w:szCs w:val="21"/>
              </w:rPr>
            </w:pPr>
            <w:r>
              <w:rPr>
                <w:rFonts w:ascii="宋体" w:hAnsi="宋体"/>
                <w:szCs w:val="21"/>
              </w:rPr>
              <w:t>委托代理人：</w:t>
            </w:r>
          </w:p>
        </w:tc>
        <w:tc>
          <w:tcPr>
            <w:tcW w:w="4536" w:type="dxa"/>
            <w:vAlign w:val="center"/>
          </w:tcPr>
          <w:p w14:paraId="0A36BF92">
            <w:pPr>
              <w:spacing w:line="360" w:lineRule="auto"/>
              <w:rPr>
                <w:rFonts w:ascii="宋体" w:hAnsi="宋体"/>
                <w:szCs w:val="21"/>
              </w:rPr>
            </w:pPr>
            <w:r>
              <w:rPr>
                <w:rFonts w:ascii="宋体" w:hAnsi="宋体"/>
                <w:szCs w:val="21"/>
              </w:rPr>
              <w:t>委托代理人：</w:t>
            </w:r>
          </w:p>
        </w:tc>
      </w:tr>
      <w:tr w14:paraId="213F2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962" w:type="dxa"/>
            <w:vAlign w:val="center"/>
          </w:tcPr>
          <w:p w14:paraId="28C77347">
            <w:pPr>
              <w:rPr>
                <w:rFonts w:ascii="宋体" w:hAnsi="宋体" w:cs="宋体"/>
                <w:szCs w:val="21"/>
              </w:rPr>
            </w:pPr>
            <w:r>
              <w:rPr>
                <w:rFonts w:ascii="宋体" w:hAnsi="宋体" w:cs="宋体"/>
                <w:szCs w:val="21"/>
              </w:rPr>
              <w:t>电话/传真：</w:t>
            </w:r>
          </w:p>
        </w:tc>
        <w:tc>
          <w:tcPr>
            <w:tcW w:w="4536" w:type="dxa"/>
            <w:vAlign w:val="center"/>
          </w:tcPr>
          <w:p w14:paraId="09D865AA">
            <w:pPr>
              <w:rPr>
                <w:rFonts w:ascii="宋体" w:hAnsi="宋体" w:cs="宋体"/>
                <w:szCs w:val="21"/>
              </w:rPr>
            </w:pPr>
            <w:r>
              <w:rPr>
                <w:rFonts w:ascii="宋体" w:hAnsi="宋体" w:cs="宋体"/>
                <w:szCs w:val="21"/>
              </w:rPr>
              <w:t>电话/传真：</w:t>
            </w:r>
          </w:p>
        </w:tc>
      </w:tr>
      <w:tr w14:paraId="12827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2" w:hRule="exact"/>
          <w:jc w:val="center"/>
        </w:trPr>
        <w:tc>
          <w:tcPr>
            <w:tcW w:w="4962" w:type="dxa"/>
            <w:vAlign w:val="center"/>
          </w:tcPr>
          <w:p w14:paraId="27185BC5">
            <w:pPr>
              <w:spacing w:line="360" w:lineRule="auto"/>
              <w:rPr>
                <w:rFonts w:ascii="宋体" w:hAnsi="宋体"/>
                <w:szCs w:val="21"/>
              </w:rPr>
            </w:pPr>
            <w:r>
              <w:rPr>
                <w:rFonts w:ascii="宋体" w:hAnsi="宋体"/>
                <w:szCs w:val="21"/>
              </w:rPr>
              <w:t>开户银行：</w:t>
            </w:r>
          </w:p>
        </w:tc>
        <w:tc>
          <w:tcPr>
            <w:tcW w:w="4536" w:type="dxa"/>
            <w:vAlign w:val="center"/>
          </w:tcPr>
          <w:p w14:paraId="1049CB81">
            <w:pPr>
              <w:spacing w:line="360" w:lineRule="auto"/>
              <w:rPr>
                <w:rFonts w:ascii="宋体" w:hAnsi="宋体"/>
                <w:szCs w:val="21"/>
              </w:rPr>
            </w:pPr>
            <w:r>
              <w:rPr>
                <w:rFonts w:ascii="宋体" w:hAnsi="宋体"/>
                <w:szCs w:val="21"/>
              </w:rPr>
              <w:t>开户银行：</w:t>
            </w:r>
          </w:p>
        </w:tc>
      </w:tr>
      <w:tr w14:paraId="09943C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6" w:hRule="exact"/>
          <w:jc w:val="center"/>
        </w:trPr>
        <w:tc>
          <w:tcPr>
            <w:tcW w:w="4962" w:type="dxa"/>
            <w:vAlign w:val="center"/>
          </w:tcPr>
          <w:p w14:paraId="5B5D50E5">
            <w:pPr>
              <w:spacing w:line="360" w:lineRule="auto"/>
              <w:rPr>
                <w:rFonts w:ascii="宋体" w:hAnsi="宋体"/>
                <w:szCs w:val="21"/>
              </w:rPr>
            </w:pPr>
            <w:r>
              <w:rPr>
                <w:rFonts w:hint="eastAsia" w:ascii="宋体" w:hAnsi="宋体"/>
                <w:color w:val="000000"/>
                <w:szCs w:val="21"/>
              </w:rPr>
              <w:t>账</w:t>
            </w:r>
            <w:r>
              <w:rPr>
                <w:rFonts w:ascii="宋体" w:hAnsi="宋体"/>
                <w:szCs w:val="21"/>
              </w:rPr>
              <w:t>号：</w:t>
            </w:r>
          </w:p>
        </w:tc>
        <w:tc>
          <w:tcPr>
            <w:tcW w:w="4536" w:type="dxa"/>
            <w:vAlign w:val="center"/>
          </w:tcPr>
          <w:p w14:paraId="278CD57C">
            <w:pPr>
              <w:spacing w:line="360" w:lineRule="auto"/>
              <w:ind w:left="720" w:hanging="720"/>
              <w:rPr>
                <w:rFonts w:ascii="宋体" w:hAnsi="宋体"/>
                <w:szCs w:val="21"/>
              </w:rPr>
            </w:pPr>
            <w:r>
              <w:rPr>
                <w:rFonts w:hint="eastAsia" w:ascii="宋体" w:hAnsi="宋体"/>
                <w:color w:val="000000"/>
                <w:szCs w:val="21"/>
              </w:rPr>
              <w:t>账</w:t>
            </w:r>
            <w:r>
              <w:rPr>
                <w:rFonts w:ascii="宋体" w:hAnsi="宋体"/>
                <w:szCs w:val="21"/>
              </w:rPr>
              <w:t>号：</w:t>
            </w:r>
          </w:p>
        </w:tc>
      </w:tr>
      <w:tr w14:paraId="6E4ECF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exact"/>
          <w:jc w:val="center"/>
        </w:trPr>
        <w:tc>
          <w:tcPr>
            <w:tcW w:w="4962" w:type="dxa"/>
            <w:vAlign w:val="center"/>
          </w:tcPr>
          <w:p w14:paraId="43BF9471">
            <w:pPr>
              <w:spacing w:line="360" w:lineRule="auto"/>
              <w:rPr>
                <w:rFonts w:ascii="宋体" w:hAnsi="宋体"/>
                <w:szCs w:val="21"/>
              </w:rPr>
            </w:pPr>
            <w:r>
              <w:rPr>
                <w:rFonts w:ascii="宋体" w:hAnsi="宋体"/>
                <w:szCs w:val="21"/>
              </w:rPr>
              <w:t>税号：</w:t>
            </w:r>
          </w:p>
        </w:tc>
        <w:tc>
          <w:tcPr>
            <w:tcW w:w="4536" w:type="dxa"/>
            <w:vAlign w:val="center"/>
          </w:tcPr>
          <w:p w14:paraId="7AA37705">
            <w:pPr>
              <w:spacing w:line="360" w:lineRule="auto"/>
              <w:rPr>
                <w:rFonts w:ascii="宋体" w:hAnsi="宋体"/>
                <w:szCs w:val="21"/>
              </w:rPr>
            </w:pPr>
            <w:r>
              <w:rPr>
                <w:rFonts w:ascii="宋体" w:hAnsi="宋体"/>
                <w:szCs w:val="21"/>
              </w:rPr>
              <w:t>税号：</w:t>
            </w:r>
          </w:p>
        </w:tc>
      </w:tr>
    </w:tbl>
    <w:p w14:paraId="4810ACAB"/>
    <w:p w14:paraId="50C9A925"/>
    <w:sectPr>
      <w:footerReference r:id="rId3"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6247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55BAC3">
                          <w:pPr>
                            <w:pStyle w:val="4"/>
                            <w:ind w:left="210" w:leftChars="100" w:right="210" w:rightChars="100"/>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55BAC3">
                    <w:pPr>
                      <w:pStyle w:val="4"/>
                      <w:ind w:left="210" w:leftChars="100" w:right="210" w:rightChars="100"/>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9E4E3D"/>
    <w:multiLevelType w:val="multilevel"/>
    <w:tmpl w:val="3B9E4E3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D75951"/>
    <w:rsid w:val="13D75951"/>
    <w:rsid w:val="18615C3C"/>
    <w:rsid w:val="383D64EA"/>
    <w:rsid w:val="599A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2"/>
    </w:rPr>
  </w:style>
  <w:style w:type="paragraph" w:styleId="3">
    <w:name w:val="Body Text"/>
    <w:basedOn w:val="1"/>
    <w:next w:val="1"/>
    <w:semiHidden/>
    <w:qFormat/>
    <w:uiPriority w:val="0"/>
    <w:rPr>
      <w:rFonts w:ascii="Arial" w:hAnsi="Arial" w:eastAsia="Arial" w:cs="Arial"/>
      <w:szCs w:val="21"/>
      <w:lang w:eastAsia="en-US"/>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w:basedOn w:val="3"/>
    <w:qFormat/>
    <w:uiPriority w:val="0"/>
    <w:pPr>
      <w:ind w:firstLine="420" w:firstLineChars="100"/>
    </w:p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customStyle="1" w:styleId="9">
    <w:name w:val="文"/>
    <w:basedOn w:val="1"/>
    <w:qFormat/>
    <w:uiPriority w:val="0"/>
    <w:pPr>
      <w:adjustRightInd w:val="0"/>
      <w:spacing w:line="500" w:lineRule="atLeast"/>
      <w:ind w:firstLine="540"/>
      <w:textAlignment w:val="baseline"/>
    </w:pPr>
    <w:rPr>
      <w:rFonts w:ascii="Times New Roman" w:hAnsi="Times New Roman"/>
      <w:kern w:val="0"/>
      <w:sz w:val="28"/>
      <w:szCs w:val="20"/>
    </w:rPr>
  </w:style>
  <w:style w:type="paragraph" w:styleId="10">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10295</Words>
  <Characters>10545</Characters>
  <Lines>0</Lines>
  <Paragraphs>0</Paragraphs>
  <TotalTime>0</TotalTime>
  <ScaleCrop>false</ScaleCrop>
  <LinksUpToDate>false</LinksUpToDate>
  <CharactersWithSpaces>10639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2025-08-27T05:55:00Z</dcterms:created>
  <dc:creator>救赎</dc:creator>
  <cp:lastModifiedBy>救赎</cp:lastModifiedBy>
  <dcterms:modified xsi:type="dcterms:W3CDTF">2025-08-27T12:13:39Z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8CF66E210D7945CAA93B0CF3C37A1B41_11</vt:lpwstr>
  </property>
  <property fmtid="{D5CDD505-2E9C-101B-9397-08002B2CF9AE}" pid="4" name="KSOTemplateDocerSaveRecord">
    <vt:lpwstr>eyJoZGlkIjoiOWE5MzI2YTc0Yjc1ZGI0YzlkYmJiYzFlOGY1ODZkNjUiLCJ1c2VySWQiOiIxNTU5MDg0MTUyIn0=</vt:lpwstr>
  </property>
</Properties>
</file>