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业绩</w:t>
      </w:r>
    </w:p>
    <w:p w14:paraId="3DEB69A5">
      <w:pPr>
        <w:rPr>
          <w:rFonts w:hint="eastAsia"/>
          <w:lang w:eastAsia="zh-CN"/>
        </w:rPr>
      </w:pPr>
      <w:r>
        <w:rPr>
          <w:rFonts w:hint="eastAsia"/>
        </w:rPr>
        <w:t>供应商提供2022年1月1 日至今（以合同签订时间为准）类似业绩合同及项目成果</w:t>
      </w:r>
      <w:r>
        <w:rPr>
          <w:rFonts w:hint="eastAsia"/>
          <w:lang w:eastAsia="zh-CN"/>
        </w:rPr>
        <w:t>。</w:t>
      </w:r>
    </w:p>
    <w:p w14:paraId="79690078"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注：需提供合同与项目成果的复印件。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E12773"/>
    <w:rsid w:val="79A01F21"/>
    <w:rsid w:val="7C8F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53</Characters>
  <Lines>0</Lines>
  <Paragraphs>0</Paragraphs>
  <TotalTime>0</TotalTime>
  <ScaleCrop>false</ScaleCrop>
  <LinksUpToDate>false</LinksUpToDate>
  <CharactersWithSpaces>53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2025-08-04T03:36:16Z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97A5F9FFDCFC4168A9D22D067A5E90EF_12</vt:lpwstr>
  </property>
</Properties>
</file>