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DF03E">
      <w:pPr>
        <w:pStyle w:val="5"/>
        <w:jc w:val="center"/>
        <w:outlineLvl w:val="0"/>
        <w:rPr>
          <w:rFonts w:ascii="仿宋" w:hAnsi="仿宋" w:eastAsia="仿宋" w:cs="仿宋"/>
        </w:rPr>
      </w:pPr>
      <w:r>
        <w:rPr>
          <w:rFonts w:ascii="仿宋" w:hAnsi="仿宋" w:eastAsia="仿宋" w:cs="仿宋"/>
          <w:b/>
          <w:sz w:val="36"/>
        </w:rPr>
        <w:t>拟签订合同文本</w:t>
      </w:r>
    </w:p>
    <w:p w14:paraId="5F966A9D">
      <w:pPr>
        <w:pStyle w:val="2"/>
        <w:ind w:firstLine="420" w:firstLineChars="200"/>
        <w:rPr>
          <w:rFonts w:hint="eastAsia" w:ascii="仿宋" w:hAnsi="仿宋" w:eastAsia="仿宋" w:cs="仿宋"/>
          <w:szCs w:val="32"/>
        </w:rPr>
      </w:pPr>
    </w:p>
    <w:p w14:paraId="2884FF0D">
      <w:pPr>
        <w:jc w:val="center"/>
        <w:rPr>
          <w:rFonts w:hint="eastAsia" w:ascii="仿宋" w:hAnsi="仿宋" w:eastAsia="仿宋" w:cs="仿宋"/>
          <w:b/>
          <w:bCs/>
          <w:sz w:val="28"/>
          <w:szCs w:val="22"/>
          <w:u w:val="single"/>
        </w:rPr>
      </w:pPr>
    </w:p>
    <w:p w14:paraId="3331A0AF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796162F0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671222D4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11394C6C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西安计量技术研究院长度力学计量检定校准装置采购项目</w:t>
      </w:r>
    </w:p>
    <w:p w14:paraId="5E3595A3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2770F4D8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06072E79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44775E46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385FCB10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48BA7637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采购合同</w:t>
      </w:r>
    </w:p>
    <w:p w14:paraId="3455FA51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</w:rPr>
      </w:pPr>
    </w:p>
    <w:p w14:paraId="6170C333">
      <w:pPr>
        <w:spacing w:line="360" w:lineRule="auto"/>
        <w:ind w:firstLine="3373" w:firstLineChars="1200"/>
        <w:jc w:val="left"/>
        <w:rPr>
          <w:rFonts w:hint="eastAsia" w:asciiTheme="minorEastAsia" w:hAnsiTheme="minorEastAsia" w:cstheme="minorEastAsia"/>
          <w:b/>
          <w:bCs/>
          <w:sz w:val="28"/>
          <w:szCs w:val="28"/>
        </w:rPr>
      </w:pPr>
      <w:bookmarkStart w:id="3" w:name="_GoBack"/>
      <w:bookmarkEnd w:id="3"/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编号：</w:t>
      </w:r>
    </w:p>
    <w:p w14:paraId="3DFD6A32">
      <w:pPr>
        <w:spacing w:before="156" w:beforeLines="50" w:line="360" w:lineRule="auto"/>
        <w:jc w:val="center"/>
        <w:rPr>
          <w:rFonts w:hint="eastAsia"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br w:type="page"/>
      </w:r>
    </w:p>
    <w:p w14:paraId="3DDFE4DE">
      <w:pPr>
        <w:adjustRightInd w:val="0"/>
        <w:snapToGrid w:val="0"/>
        <w:spacing w:line="324" w:lineRule="auto"/>
        <w:ind w:firstLine="482" w:firstLineChars="200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合同文本</w:t>
      </w:r>
    </w:p>
    <w:p w14:paraId="515BF748">
      <w:pPr>
        <w:adjustRightInd w:val="0"/>
        <w:snapToGrid w:val="0"/>
        <w:spacing w:line="324" w:lineRule="auto"/>
        <w:ind w:firstLine="402" w:firstLineChars="200"/>
        <w:jc w:val="center"/>
        <w:rPr>
          <w:rFonts w:hint="eastAsia" w:ascii="仿宋" w:hAnsi="仿宋" w:eastAsia="仿宋" w:cs="仿宋"/>
          <w:b/>
          <w:sz w:val="20"/>
          <w:szCs w:val="20"/>
        </w:rPr>
      </w:pPr>
    </w:p>
    <w:p w14:paraId="502A6ECE">
      <w:pPr>
        <w:wordWrap w:val="0"/>
        <w:topLinePunct/>
        <w:adjustRightInd w:val="0"/>
        <w:snapToGrid w:val="0"/>
        <w:spacing w:line="324" w:lineRule="auto"/>
        <w:ind w:firstLine="402" w:firstLineChars="200"/>
        <w:rPr>
          <w:rFonts w:hint="eastAsia" w:ascii="仿宋" w:hAnsi="仿宋" w:eastAsia="仿宋" w:cs="仿宋"/>
          <w:b/>
          <w:sz w:val="20"/>
          <w:szCs w:val="20"/>
          <w:u w:val="single"/>
        </w:rPr>
      </w:pPr>
      <w:r>
        <w:rPr>
          <w:rFonts w:hint="eastAsia" w:ascii="仿宋" w:hAnsi="仿宋" w:eastAsia="仿宋" w:cs="仿宋"/>
          <w:b/>
          <w:sz w:val="20"/>
          <w:szCs w:val="20"/>
        </w:rPr>
        <w:t>甲方（全称）：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</w:p>
    <w:p w14:paraId="06E9B306">
      <w:pPr>
        <w:wordWrap w:val="0"/>
        <w:topLinePunct/>
        <w:adjustRightInd w:val="0"/>
        <w:snapToGrid w:val="0"/>
        <w:spacing w:line="324" w:lineRule="auto"/>
        <w:ind w:firstLine="402" w:firstLineChars="2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乙方（全称）：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</w:t>
      </w:r>
    </w:p>
    <w:p w14:paraId="4E85AD05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794B695C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一、项目概况</w:t>
      </w:r>
    </w:p>
    <w:p w14:paraId="5D15F8BD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1、项目名称：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>西安计量技术研究院长度力学计量检定校准装置采购项目</w:t>
      </w:r>
    </w:p>
    <w:p w14:paraId="2EF4507D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2、项目地点：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>甲方指定地点</w:t>
      </w:r>
    </w:p>
    <w:p w14:paraId="6DC09F7A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二、组成本合同的文件</w:t>
      </w:r>
    </w:p>
    <w:p w14:paraId="11B303E2">
      <w:pPr>
        <w:wordWrap w:val="0"/>
        <w:topLinePunct/>
        <w:adjustRightInd w:val="0"/>
        <w:snapToGrid w:val="0"/>
        <w:spacing w:line="324" w:lineRule="auto"/>
        <w:ind w:firstLine="396" w:firstLineChars="19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1、合同文本、中标通知书、投标文件、招标文件、澄清、招标补充文件（或委托书）；</w:t>
      </w:r>
    </w:p>
    <w:p w14:paraId="1BA8B29F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2、相关服务建议书；</w:t>
      </w:r>
    </w:p>
    <w:p w14:paraId="31D9361C">
      <w:pPr>
        <w:wordWrap w:val="0"/>
        <w:topLinePunct/>
        <w:adjustRightInd w:val="0"/>
        <w:snapToGrid w:val="0"/>
        <w:spacing w:line="324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3、附录，即：附表内相关服务的范围和内容；</w:t>
      </w:r>
    </w:p>
    <w:p w14:paraId="74FD9A6C">
      <w:pPr>
        <w:wordWrap w:val="0"/>
        <w:topLinePunct/>
        <w:adjustRightInd w:val="0"/>
        <w:snapToGrid w:val="0"/>
        <w:spacing w:line="324" w:lineRule="auto"/>
        <w:ind w:firstLine="396" w:firstLineChars="19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4、本合同签订后，双方依法签订的补充协议也是本合同文件的组成部分。</w:t>
      </w:r>
    </w:p>
    <w:p w14:paraId="401A21A9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三、合同价款</w:t>
      </w:r>
    </w:p>
    <w:p w14:paraId="458A371F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1、合同金额（大写）：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整</w:t>
      </w:r>
      <w:r>
        <w:rPr>
          <w:rFonts w:hint="eastAsia" w:ascii="仿宋" w:hAnsi="仿宋" w:eastAsia="仿宋" w:cs="仿宋"/>
          <w:sz w:val="20"/>
          <w:szCs w:val="20"/>
        </w:rPr>
        <w:t>（¥     ）；</w:t>
      </w:r>
    </w:p>
    <w:p w14:paraId="62717B39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2、合同价格即中标价，乙方完成所要求的产品、服务且验收合格的所有费用，包括但不限于设备费、运输费、保险费、安装调试费、检定/校准费、仓储保管费、培训费、验收费等其他一切相关费用；</w:t>
      </w:r>
    </w:p>
    <w:p w14:paraId="3691272E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3、合同价格为含税价，乙方提供产品所发生的一切税（包括增值税）费等都已包含于合同价款中；</w:t>
      </w:r>
    </w:p>
    <w:p w14:paraId="7998D1A5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4、该合同总价不受市场价格变化或实际工作量变化的影响，在合同有效期不做任何调整，乙方自行承担所供货物的市场价格变化。</w:t>
      </w:r>
    </w:p>
    <w:p w14:paraId="76AFA125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四、期限</w:t>
      </w:r>
    </w:p>
    <w:p w14:paraId="4AC61289">
      <w:pPr>
        <w:pStyle w:val="5"/>
        <w:wordWrap w:val="0"/>
        <w:topLinePunct/>
        <w:spacing w:line="324" w:lineRule="auto"/>
        <w:ind w:firstLine="400" w:firstLineChars="200"/>
        <w:jc w:val="both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交货期自签订合同之日起</w:t>
      </w:r>
      <w:r>
        <w:rPr>
          <w:rFonts w:ascii="仿宋" w:hAnsi="仿宋" w:eastAsia="仿宋" w:cs="仿宋"/>
          <w:u w:val="single"/>
          <w:lang w:eastAsia="zh-CN"/>
        </w:rPr>
        <w:t xml:space="preserve">    </w:t>
      </w:r>
      <w:r>
        <w:rPr>
          <w:rFonts w:ascii="仿宋" w:hAnsi="仿宋" w:eastAsia="仿宋" w:cs="仿宋"/>
        </w:rPr>
        <w:t>日历天。</w:t>
      </w:r>
    </w:p>
    <w:p w14:paraId="2BC1E29E">
      <w:pPr>
        <w:pStyle w:val="5"/>
        <w:wordWrap w:val="0"/>
        <w:topLinePunct/>
        <w:spacing w:line="324" w:lineRule="auto"/>
        <w:ind w:firstLine="400" w:firstLineChars="200"/>
        <w:jc w:val="both"/>
        <w:rPr>
          <w:rFonts w:ascii="仿宋" w:hAnsi="仿宋" w:eastAsia="仿宋" w:cs="仿宋"/>
          <w:b/>
        </w:rPr>
      </w:pPr>
      <w:r>
        <w:rPr>
          <w:rFonts w:ascii="仿宋" w:hAnsi="仿宋" w:eastAsia="仿宋" w:cs="仿宋"/>
        </w:rPr>
        <w:t>质保期自最终验收合格之日</w:t>
      </w:r>
      <w:r>
        <w:rPr>
          <w:rFonts w:ascii="仿宋" w:hAnsi="仿宋" w:eastAsia="仿宋" w:cs="仿宋"/>
          <w:lang w:eastAsia="zh-CN"/>
        </w:rPr>
        <w:t>算，质保期</w:t>
      </w:r>
      <w:r>
        <w:rPr>
          <w:rFonts w:ascii="仿宋" w:hAnsi="仿宋" w:eastAsia="仿宋" w:cs="仿宋"/>
          <w:u w:val="single"/>
          <w:lang w:eastAsia="zh-CN"/>
        </w:rPr>
        <w:t xml:space="preserve">   </w:t>
      </w:r>
      <w:r>
        <w:rPr>
          <w:rFonts w:ascii="仿宋" w:hAnsi="仿宋" w:eastAsia="仿宋" w:cs="仿宋"/>
          <w:lang w:eastAsia="zh-CN"/>
        </w:rPr>
        <w:t>年</w:t>
      </w:r>
      <w:r>
        <w:rPr>
          <w:rFonts w:ascii="仿宋" w:hAnsi="仿宋" w:eastAsia="仿宋" w:cs="仿宋"/>
        </w:rPr>
        <w:t>。</w:t>
      </w:r>
    </w:p>
    <w:p w14:paraId="481FA0DD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五、结算方式</w:t>
      </w:r>
    </w:p>
    <w:p w14:paraId="006B137C">
      <w:pPr>
        <w:pStyle w:val="5"/>
        <w:wordWrap w:val="0"/>
        <w:topLinePunct/>
        <w:spacing w:line="324" w:lineRule="auto"/>
        <w:ind w:firstLine="400" w:firstLineChars="2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1、结算单位：银行转账，由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以人民币负责结算。验收时，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必须开具符合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要求的全额发票给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；</w:t>
      </w:r>
    </w:p>
    <w:p w14:paraId="26D71D51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  <w:lang w:eastAsia="zh-CN"/>
        </w:rPr>
        <w:t>2、</w:t>
      </w:r>
      <w:r>
        <w:rPr>
          <w:rFonts w:ascii="仿宋" w:hAnsi="仿宋" w:eastAsia="仿宋" w:cs="仿宋"/>
        </w:rPr>
        <w:t>合同签订之后</w:t>
      </w:r>
      <w:r>
        <w:rPr>
          <w:rFonts w:ascii="仿宋" w:hAnsi="仿宋" w:eastAsia="仿宋" w:cs="仿宋"/>
          <w:lang w:eastAsia="zh-CN"/>
        </w:rPr>
        <w:t>5</w:t>
      </w:r>
      <w:r>
        <w:rPr>
          <w:rFonts w:ascii="仿宋" w:hAnsi="仿宋" w:eastAsia="仿宋" w:cs="仿宋"/>
        </w:rPr>
        <w:t>个工作日内，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按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指定账户交纳合同总价款的5%作为履约保证金</w:t>
      </w:r>
      <w:r>
        <w:rPr>
          <w:rFonts w:ascii="仿宋" w:hAnsi="仿宋" w:eastAsia="仿宋" w:cs="仿宋"/>
          <w:lang w:eastAsia="zh-CN"/>
        </w:rPr>
        <w:t>；</w:t>
      </w:r>
      <w:r>
        <w:rPr>
          <w:rFonts w:ascii="仿宋" w:hAnsi="仿宋" w:eastAsia="仿宋" w:cs="仿宋"/>
        </w:rPr>
        <w:t>履约保证金到账后，达到付款条件起</w:t>
      </w:r>
      <w:r>
        <w:rPr>
          <w:rFonts w:ascii="仿宋" w:hAnsi="仿宋" w:eastAsia="仿宋" w:cs="仿宋"/>
          <w:lang w:eastAsia="zh-CN"/>
        </w:rPr>
        <w:t>30</w:t>
      </w:r>
      <w:r>
        <w:rPr>
          <w:rFonts w:ascii="仿宋" w:hAnsi="仿宋" w:eastAsia="仿宋" w:cs="仿宋"/>
        </w:rPr>
        <w:t>日内，支付合同总金额的</w:t>
      </w:r>
      <w:r>
        <w:rPr>
          <w:rFonts w:ascii="仿宋" w:hAnsi="仿宋" w:eastAsia="仿宋" w:cs="仿宋"/>
          <w:lang w:eastAsia="zh-CN"/>
        </w:rPr>
        <w:t>4</w:t>
      </w:r>
      <w:r>
        <w:rPr>
          <w:rFonts w:ascii="仿宋" w:hAnsi="仿宋" w:eastAsia="仿宋" w:cs="仿宋"/>
        </w:rPr>
        <w:t>0.00%（即</w:t>
      </w:r>
      <w:r>
        <w:rPr>
          <w:rFonts w:ascii="仿宋" w:hAnsi="仿宋" w:eastAsia="仿宋" w:cs="仿宋"/>
          <w:lang w:eastAsia="zh-CN"/>
        </w:rPr>
        <w:t xml:space="preserve">    </w:t>
      </w:r>
      <w:r>
        <w:rPr>
          <w:rFonts w:ascii="仿宋" w:hAnsi="仿宋" w:eastAsia="仿宋" w:cs="仿宋"/>
        </w:rPr>
        <w:t>元，大写：</w:t>
      </w:r>
      <w:r>
        <w:rPr>
          <w:rFonts w:ascii="仿宋" w:hAnsi="仿宋" w:eastAsia="仿宋" w:cs="仿宋"/>
          <w:lang w:eastAsia="zh-CN"/>
        </w:rPr>
        <w:t xml:space="preserve">    元整</w:t>
      </w:r>
      <w:r>
        <w:rPr>
          <w:rFonts w:ascii="仿宋" w:hAnsi="仿宋" w:eastAsia="仿宋" w:cs="仿宋"/>
        </w:rPr>
        <w:t>）。</w:t>
      </w:r>
    </w:p>
    <w:p w14:paraId="258C78C8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  <w:lang w:eastAsia="zh-CN"/>
        </w:rPr>
        <w:t>3、</w:t>
      </w:r>
      <w:r>
        <w:rPr>
          <w:rFonts w:ascii="仿宋" w:hAnsi="仿宋" w:eastAsia="仿宋" w:cs="仿宋"/>
        </w:rPr>
        <w:t>通过最终验收合格后（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必须开具符合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要求的全额发票给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），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根据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履约情况，无息退还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履约保证金，达到付款条件起30日内，支付合同总金额的</w:t>
      </w:r>
      <w:r>
        <w:rPr>
          <w:rFonts w:ascii="仿宋" w:hAnsi="仿宋" w:eastAsia="仿宋" w:cs="仿宋"/>
          <w:lang w:eastAsia="zh-CN"/>
        </w:rPr>
        <w:t>6</w:t>
      </w:r>
      <w:r>
        <w:rPr>
          <w:rFonts w:ascii="仿宋" w:hAnsi="仿宋" w:eastAsia="仿宋" w:cs="仿宋"/>
        </w:rPr>
        <w:t>0.00%（即</w:t>
      </w:r>
      <w:r>
        <w:rPr>
          <w:rFonts w:ascii="仿宋" w:hAnsi="仿宋" w:eastAsia="仿宋" w:cs="仿宋"/>
          <w:lang w:eastAsia="zh-CN"/>
        </w:rPr>
        <w:t xml:space="preserve">    </w:t>
      </w:r>
      <w:r>
        <w:rPr>
          <w:rFonts w:ascii="仿宋" w:hAnsi="仿宋" w:eastAsia="仿宋" w:cs="仿宋"/>
        </w:rPr>
        <w:t>元，大写：</w:t>
      </w:r>
      <w:r>
        <w:rPr>
          <w:rFonts w:ascii="仿宋" w:hAnsi="仿宋" w:eastAsia="仿宋" w:cs="仿宋"/>
          <w:lang w:eastAsia="zh-CN"/>
        </w:rPr>
        <w:t xml:space="preserve">    元整</w:t>
      </w:r>
      <w:r>
        <w:rPr>
          <w:rFonts w:ascii="仿宋" w:hAnsi="仿宋" w:eastAsia="仿宋" w:cs="仿宋"/>
        </w:rPr>
        <w:t>）。</w:t>
      </w:r>
    </w:p>
    <w:p w14:paraId="19025328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支付方式：银行转账，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将应付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的款项付款至下列指定账户：</w:t>
      </w:r>
    </w:p>
    <w:p w14:paraId="093CF419">
      <w:pPr>
        <w:pStyle w:val="5"/>
        <w:wordWrap w:val="0"/>
        <w:topLinePunct/>
        <w:spacing w:line="324" w:lineRule="auto"/>
        <w:rPr>
          <w:rFonts w:ascii="仿宋" w:hAnsi="仿宋" w:eastAsia="仿宋" w:cs="仿宋"/>
          <w:lang w:eastAsia="zh-CN"/>
        </w:rPr>
      </w:pPr>
      <w:r>
        <w:rPr>
          <w:rFonts w:ascii="仿宋" w:hAnsi="仿宋" w:eastAsia="仿宋" w:cs="仿宋"/>
        </w:rPr>
        <w:t>单    位：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                 </w:t>
      </w:r>
    </w:p>
    <w:p w14:paraId="026D14A7">
      <w:pPr>
        <w:pStyle w:val="5"/>
        <w:wordWrap w:val="0"/>
        <w:topLinePunct/>
        <w:spacing w:line="324" w:lineRule="auto"/>
        <w:rPr>
          <w:rFonts w:ascii="仿宋" w:hAnsi="仿宋" w:eastAsia="仿宋" w:cs="仿宋"/>
          <w:u w:val="single"/>
          <w:lang w:eastAsia="zh-CN"/>
        </w:rPr>
      </w:pPr>
      <w:r>
        <w:rPr>
          <w:rFonts w:ascii="仿宋" w:hAnsi="仿宋" w:eastAsia="仿宋" w:cs="仿宋"/>
        </w:rPr>
        <w:t>地    址：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                 </w:t>
      </w:r>
    </w:p>
    <w:p w14:paraId="2DBDF0EC">
      <w:pPr>
        <w:pStyle w:val="5"/>
        <w:wordWrap w:val="0"/>
        <w:topLinePunct/>
        <w:spacing w:line="324" w:lineRule="auto"/>
        <w:rPr>
          <w:rFonts w:ascii="仿宋" w:hAnsi="仿宋" w:eastAsia="仿宋" w:cs="仿宋"/>
          <w:lang w:eastAsia="zh-CN"/>
        </w:rPr>
      </w:pPr>
      <w:r>
        <w:rPr>
          <w:rFonts w:ascii="仿宋" w:hAnsi="仿宋" w:eastAsia="仿宋" w:cs="仿宋"/>
        </w:rPr>
        <w:t>税    号：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</w:t>
      </w:r>
      <w:r>
        <w:rPr>
          <w:rFonts w:ascii="仿宋" w:hAnsi="仿宋" w:eastAsia="仿宋" w:cs="仿宋"/>
          <w:u w:val="single"/>
        </w:rPr>
        <w:t xml:space="preserve">              </w:t>
      </w:r>
      <w:r>
        <w:rPr>
          <w:rFonts w:ascii="仿宋" w:hAnsi="仿宋" w:eastAsia="仿宋" w:cs="仿宋"/>
          <w:u w:val="single"/>
          <w:lang w:eastAsia="zh-CN"/>
        </w:rPr>
        <w:t xml:space="preserve">    </w:t>
      </w:r>
    </w:p>
    <w:p w14:paraId="6AD049F0">
      <w:pPr>
        <w:pStyle w:val="5"/>
        <w:wordWrap w:val="0"/>
        <w:topLinePunct/>
        <w:spacing w:line="324" w:lineRule="auto"/>
        <w:rPr>
          <w:rFonts w:ascii="仿宋" w:hAnsi="仿宋" w:eastAsia="仿宋" w:cs="仿宋"/>
          <w:u w:val="single"/>
          <w:lang w:eastAsia="zh-CN"/>
        </w:rPr>
      </w:pPr>
      <w:r>
        <w:rPr>
          <w:rFonts w:ascii="仿宋" w:hAnsi="仿宋" w:eastAsia="仿宋" w:cs="仿宋"/>
        </w:rPr>
        <w:t>开户银行：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</w:t>
      </w:r>
      <w:r>
        <w:rPr>
          <w:rFonts w:ascii="仿宋" w:hAnsi="仿宋" w:eastAsia="仿宋" w:cs="仿宋"/>
          <w:u w:val="single"/>
        </w:rPr>
        <w:t xml:space="preserve">                 </w:t>
      </w:r>
      <w:r>
        <w:rPr>
          <w:rFonts w:ascii="仿宋" w:hAnsi="仿宋" w:eastAsia="仿宋" w:cs="仿宋"/>
          <w:u w:val="single"/>
          <w:lang w:eastAsia="zh-CN"/>
        </w:rPr>
        <w:t xml:space="preserve"> </w:t>
      </w:r>
    </w:p>
    <w:p w14:paraId="53B17E3A">
      <w:pPr>
        <w:pStyle w:val="5"/>
        <w:wordWrap w:val="0"/>
        <w:topLinePunct/>
        <w:spacing w:line="324" w:lineRule="auto"/>
        <w:rPr>
          <w:rFonts w:ascii="仿宋" w:hAnsi="仿宋" w:eastAsia="仿宋" w:cs="仿宋"/>
          <w:u w:val="single"/>
          <w:lang w:eastAsia="zh-CN"/>
        </w:rPr>
      </w:pPr>
      <w:r>
        <w:rPr>
          <w:rFonts w:ascii="仿宋" w:hAnsi="仿宋" w:eastAsia="仿宋" w:cs="仿宋"/>
        </w:rPr>
        <w:t>账    号：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</w:t>
      </w:r>
      <w:r>
        <w:rPr>
          <w:rFonts w:ascii="仿宋" w:hAnsi="仿宋" w:eastAsia="仿宋" w:cs="仿宋"/>
          <w:u w:val="single"/>
        </w:rPr>
        <w:t xml:space="preserve">                    </w:t>
      </w:r>
      <w:r>
        <w:rPr>
          <w:rFonts w:ascii="仿宋" w:hAnsi="仿宋" w:eastAsia="仿宋" w:cs="仿宋"/>
          <w:u w:val="single"/>
          <w:lang w:eastAsia="zh-CN"/>
        </w:rPr>
        <w:t xml:space="preserve"> </w:t>
      </w:r>
    </w:p>
    <w:p w14:paraId="5B4446DE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履约保证金支付方式：银行转账，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支付履约保证金至下列指定账户：</w:t>
      </w:r>
    </w:p>
    <w:p w14:paraId="655F9DA5">
      <w:pPr>
        <w:pStyle w:val="5"/>
        <w:wordWrap w:val="0"/>
        <w:topLinePunct/>
        <w:spacing w:line="324" w:lineRule="auto"/>
        <w:rPr>
          <w:rFonts w:ascii="仿宋" w:hAnsi="仿宋" w:eastAsia="仿宋" w:cs="仿宋"/>
          <w:u w:val="single"/>
        </w:rPr>
      </w:pPr>
      <w:r>
        <w:rPr>
          <w:rFonts w:ascii="仿宋" w:hAnsi="仿宋" w:eastAsia="仿宋" w:cs="仿宋"/>
        </w:rPr>
        <w:t>账户名称：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                                        </w:t>
      </w:r>
      <w:r>
        <w:rPr>
          <w:rFonts w:ascii="仿宋" w:hAnsi="仿宋" w:eastAsia="仿宋" w:cs="仿宋"/>
          <w:u w:val="single"/>
        </w:rPr>
        <w:t xml:space="preserve"> </w:t>
      </w:r>
    </w:p>
    <w:p w14:paraId="202FAB78">
      <w:pPr>
        <w:pStyle w:val="5"/>
        <w:wordWrap w:val="0"/>
        <w:topLinePunct/>
        <w:spacing w:line="324" w:lineRule="auto"/>
        <w:rPr>
          <w:rFonts w:ascii="仿宋" w:hAnsi="仿宋" w:eastAsia="仿宋" w:cs="仿宋"/>
          <w:lang w:eastAsia="zh-CN"/>
        </w:rPr>
      </w:pPr>
      <w:r>
        <w:rPr>
          <w:rFonts w:ascii="仿宋" w:hAnsi="仿宋" w:eastAsia="仿宋" w:cs="仿宋"/>
        </w:rPr>
        <w:t>开户银行：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                                       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</w:t>
      </w:r>
    </w:p>
    <w:p w14:paraId="5FD1DCFB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账    号：</w:t>
      </w:r>
      <w:r>
        <w:rPr>
          <w:rFonts w:ascii="仿宋" w:hAnsi="仿宋" w:eastAsia="仿宋" w:cs="仿宋"/>
          <w:u w:val="single"/>
        </w:rPr>
        <w:t xml:space="preserve"> </w:t>
      </w:r>
      <w:r>
        <w:rPr>
          <w:rFonts w:ascii="仿宋" w:hAnsi="仿宋" w:eastAsia="仿宋" w:cs="仿宋"/>
          <w:u w:val="single"/>
          <w:lang w:eastAsia="zh-CN"/>
        </w:rPr>
        <w:t xml:space="preserve">                                 </w:t>
      </w:r>
      <w:r>
        <w:rPr>
          <w:rFonts w:ascii="仿宋" w:hAnsi="仿宋" w:eastAsia="仿宋" w:cs="仿宋"/>
          <w:u w:val="single"/>
        </w:rPr>
        <w:t xml:space="preserve">         </w:t>
      </w:r>
    </w:p>
    <w:p w14:paraId="1117607A">
      <w:pPr>
        <w:pStyle w:val="5"/>
        <w:wordWrap w:val="0"/>
        <w:topLinePunct/>
        <w:spacing w:line="324" w:lineRule="auto"/>
        <w:jc w:val="both"/>
        <w:outlineLvl w:val="0"/>
        <w:rPr>
          <w:rFonts w:ascii="仿宋" w:hAnsi="仿宋" w:eastAsia="仿宋" w:cs="仿宋"/>
          <w:b/>
        </w:rPr>
      </w:pPr>
      <w:r>
        <w:rPr>
          <w:rFonts w:ascii="仿宋" w:hAnsi="仿宋" w:eastAsia="仿宋" w:cs="仿宋"/>
          <w:b/>
        </w:rPr>
        <w:t>六、检定/校准/检测</w:t>
      </w:r>
    </w:p>
    <w:p w14:paraId="48DCF340">
      <w:pPr>
        <w:pStyle w:val="5"/>
        <w:wordWrap w:val="0"/>
        <w:topLinePunct/>
        <w:spacing w:line="324" w:lineRule="auto"/>
        <w:ind w:firstLine="400" w:firstLineChars="200"/>
        <w:jc w:val="both"/>
        <w:rPr>
          <w:rFonts w:ascii="仿宋" w:hAnsi="仿宋" w:eastAsia="仿宋" w:cs="仿宋"/>
        </w:rPr>
      </w:pP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在整机验收时需向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提供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要求的设备计量检定</w:t>
      </w:r>
      <w:r>
        <w:rPr>
          <w:rFonts w:ascii="仿宋" w:hAnsi="仿宋" w:eastAsia="仿宋" w:cs="仿宋"/>
          <w:lang w:eastAsia="zh-CN"/>
        </w:rPr>
        <w:t>、校准</w:t>
      </w:r>
      <w:r>
        <w:rPr>
          <w:rFonts w:ascii="仿宋" w:hAnsi="仿宋" w:eastAsia="仿宋" w:cs="仿宋"/>
        </w:rPr>
        <w:t>证书等资料，由此产生的所有费用由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承担。（除无需溯源的设备）</w:t>
      </w:r>
    </w:p>
    <w:p w14:paraId="5F6CAA4D">
      <w:pPr>
        <w:pStyle w:val="5"/>
        <w:wordWrap w:val="0"/>
        <w:topLinePunct/>
        <w:spacing w:line="324" w:lineRule="auto"/>
        <w:jc w:val="both"/>
        <w:outlineLvl w:val="0"/>
        <w:rPr>
          <w:rFonts w:ascii="仿宋" w:hAnsi="仿宋" w:eastAsia="仿宋" w:cs="仿宋"/>
          <w:b/>
        </w:rPr>
      </w:pPr>
      <w:r>
        <w:rPr>
          <w:rFonts w:ascii="仿宋" w:hAnsi="仿宋" w:eastAsia="仿宋" w:cs="仿宋"/>
          <w:b/>
        </w:rPr>
        <w:t>七、内容及要求</w:t>
      </w:r>
    </w:p>
    <w:p w14:paraId="66CE33D2">
      <w:pPr>
        <w:pStyle w:val="5"/>
        <w:wordWrap w:val="0"/>
        <w:topLinePunct/>
        <w:spacing w:line="324" w:lineRule="auto"/>
        <w:ind w:firstLine="400" w:firstLineChars="200"/>
        <w:jc w:val="both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即交付的产品、服务内容、数量与投标文件、招标文件等所指明的，或者与本合同所指明的产品、服务内容相一致。</w:t>
      </w:r>
    </w:p>
    <w:p w14:paraId="0FA6F60E">
      <w:pPr>
        <w:pStyle w:val="5"/>
        <w:wordWrap w:val="0"/>
        <w:topLinePunct/>
        <w:spacing w:line="324" w:lineRule="auto"/>
        <w:jc w:val="center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供货内容一览表</w:t>
      </w:r>
    </w:p>
    <w:tbl>
      <w:tblPr>
        <w:tblStyle w:val="3"/>
        <w:tblW w:w="91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8"/>
        <w:gridCol w:w="1096"/>
        <w:gridCol w:w="1161"/>
        <w:gridCol w:w="1274"/>
        <w:gridCol w:w="1769"/>
        <w:gridCol w:w="608"/>
        <w:gridCol w:w="1107"/>
        <w:gridCol w:w="554"/>
        <w:gridCol w:w="1019"/>
      </w:tblGrid>
      <w:tr w14:paraId="4D0820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133A26BE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序号</w:t>
            </w:r>
          </w:p>
        </w:tc>
        <w:tc>
          <w:tcPr>
            <w:tcW w:w="1096" w:type="dxa"/>
            <w:vAlign w:val="center"/>
          </w:tcPr>
          <w:p w14:paraId="38ED0E95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名称</w:t>
            </w:r>
          </w:p>
        </w:tc>
        <w:tc>
          <w:tcPr>
            <w:tcW w:w="1161" w:type="dxa"/>
            <w:vAlign w:val="center"/>
          </w:tcPr>
          <w:p w14:paraId="79552F82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品牌</w:t>
            </w: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540C9612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bookmarkStart w:id="0" w:name="_Toc27392"/>
            <w:r>
              <w:rPr>
                <w:rFonts w:ascii="仿宋" w:hAnsi="仿宋" w:eastAsia="仿宋" w:cs="仿宋"/>
              </w:rPr>
              <w:t>规格型号</w:t>
            </w:r>
            <w:bookmarkEnd w:id="0"/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01E61685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生产厂家</w:t>
            </w:r>
          </w:p>
        </w:tc>
        <w:tc>
          <w:tcPr>
            <w:tcW w:w="608" w:type="dxa"/>
            <w:vAlign w:val="center"/>
          </w:tcPr>
          <w:p w14:paraId="72FAA7F5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产地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150A5254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bookmarkStart w:id="1" w:name="_Toc14127"/>
            <w:r>
              <w:rPr>
                <w:rFonts w:ascii="仿宋" w:hAnsi="仿宋" w:eastAsia="仿宋" w:cs="仿宋"/>
              </w:rPr>
              <w:t>单价</w:t>
            </w:r>
            <w:bookmarkEnd w:id="1"/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50F58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bookmarkStart w:id="2" w:name="_Toc31109"/>
            <w:r>
              <w:rPr>
                <w:rFonts w:ascii="仿宋" w:hAnsi="仿宋" w:eastAsia="仿宋" w:cs="仿宋"/>
              </w:rPr>
              <w:t>数量</w:t>
            </w:r>
            <w:bookmarkEnd w:id="2"/>
          </w:p>
        </w:tc>
        <w:tc>
          <w:tcPr>
            <w:tcW w:w="1019" w:type="dxa"/>
            <w:vAlign w:val="center"/>
          </w:tcPr>
          <w:p w14:paraId="052A90F8">
            <w:pPr>
              <w:pStyle w:val="5"/>
              <w:wordWrap w:val="0"/>
              <w:topLinePunct/>
              <w:spacing w:line="324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总价</w:t>
            </w:r>
          </w:p>
        </w:tc>
      </w:tr>
      <w:tr w14:paraId="14D4FC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4BC3A2FD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96" w:type="dxa"/>
            <w:vAlign w:val="center"/>
          </w:tcPr>
          <w:p w14:paraId="2B50AA30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509DCAF4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507FD279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52BA5202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50E8FFB3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15A6623A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1309A3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14657F65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</w:p>
        </w:tc>
      </w:tr>
      <w:tr w14:paraId="406CCD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49EBF258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96" w:type="dxa"/>
            <w:vAlign w:val="center"/>
          </w:tcPr>
          <w:p w14:paraId="7BBCF59A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1B271AC5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463ABAED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5621FB40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70B0A854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443695CD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1DB9E7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7871CA5A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</w:p>
        </w:tc>
      </w:tr>
      <w:tr w14:paraId="5F098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29098DD3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96" w:type="dxa"/>
            <w:vAlign w:val="center"/>
          </w:tcPr>
          <w:p w14:paraId="6E929F22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09EFC022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4DAA97AA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24894142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4099350D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509516C7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97AF15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1024637E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</w:p>
        </w:tc>
      </w:tr>
      <w:tr w14:paraId="4A78EE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0BC0E2A7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96" w:type="dxa"/>
            <w:vAlign w:val="center"/>
          </w:tcPr>
          <w:p w14:paraId="01C3E11C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529FAABD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5265FE03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2DCE9268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68D36709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1124BA82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13D8D4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1972216C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</w:p>
        </w:tc>
      </w:tr>
      <w:tr w14:paraId="4F8BB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1C758069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96" w:type="dxa"/>
            <w:vAlign w:val="center"/>
          </w:tcPr>
          <w:p w14:paraId="62CBF277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4521B385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38F0CB8F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08BE096A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7D7BE086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14617DA7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1E24A4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4E709187">
            <w:pPr>
              <w:widowControl/>
              <w:wordWrap w:val="0"/>
              <w:topLinePunct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bidi="ar"/>
              </w:rPr>
            </w:pPr>
          </w:p>
        </w:tc>
      </w:tr>
    </w:tbl>
    <w:p w14:paraId="3EB3D71F">
      <w:pPr>
        <w:pStyle w:val="5"/>
        <w:wordWrap w:val="0"/>
        <w:topLinePunct/>
        <w:spacing w:line="324" w:lineRule="auto"/>
        <w:jc w:val="both"/>
        <w:outlineLvl w:val="0"/>
        <w:rPr>
          <w:rFonts w:ascii="仿宋" w:hAnsi="仿宋" w:eastAsia="仿宋" w:cs="仿宋"/>
          <w:b/>
        </w:rPr>
      </w:pPr>
      <w:r>
        <w:rPr>
          <w:rFonts w:ascii="仿宋" w:hAnsi="仿宋" w:eastAsia="仿宋" w:cs="仿宋"/>
          <w:b/>
        </w:rPr>
        <w:t>八、项目实施或货物交付地点：</w:t>
      </w:r>
      <w:r>
        <w:rPr>
          <w:rFonts w:ascii="仿宋" w:hAnsi="仿宋" w:eastAsia="仿宋" w:cs="仿宋"/>
          <w:b/>
          <w:lang w:eastAsia="zh-CN"/>
        </w:rPr>
        <w:t>甲方</w:t>
      </w:r>
      <w:r>
        <w:rPr>
          <w:rFonts w:ascii="仿宋" w:hAnsi="仿宋" w:eastAsia="仿宋" w:cs="仿宋"/>
          <w:b/>
        </w:rPr>
        <w:t>指定地点。</w:t>
      </w:r>
    </w:p>
    <w:p w14:paraId="14508A12">
      <w:pPr>
        <w:pStyle w:val="5"/>
        <w:wordWrap w:val="0"/>
        <w:topLinePunct/>
        <w:spacing w:line="324" w:lineRule="auto"/>
        <w:jc w:val="both"/>
        <w:outlineLvl w:val="0"/>
        <w:rPr>
          <w:rFonts w:ascii="仿宋" w:hAnsi="仿宋" w:eastAsia="仿宋" w:cs="仿宋"/>
          <w:b/>
        </w:rPr>
      </w:pPr>
      <w:r>
        <w:rPr>
          <w:rFonts w:ascii="仿宋" w:hAnsi="仿宋" w:eastAsia="仿宋" w:cs="仿宋"/>
          <w:b/>
        </w:rPr>
        <w:t>九、验收标准和方法</w:t>
      </w:r>
    </w:p>
    <w:p w14:paraId="70CD84CA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到货验收：设备到达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指定地点后，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应提供产品（包括部件、附件）清单，由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使用部门、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共同进行初步验收。初步验收主要对所供设备及所有部件的外观、生产商、型号、规格、数量及证书报告根据招标文件、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的投标文件等进行检查，确认是否符合初步验收标准。所验设备或部件不符合初步验收标准时，不得进行安装，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必须</w:t>
      </w:r>
      <w:r>
        <w:rPr>
          <w:rFonts w:ascii="仿宋" w:hAnsi="仿宋" w:eastAsia="仿宋" w:cs="仿宋"/>
          <w:lang w:eastAsia="zh-CN"/>
        </w:rPr>
        <w:t>无条件</w:t>
      </w:r>
      <w:r>
        <w:rPr>
          <w:rFonts w:ascii="仿宋" w:hAnsi="仿宋" w:eastAsia="仿宋" w:cs="仿宋"/>
        </w:rPr>
        <w:t>更换或退货，并承担所有</w:t>
      </w:r>
    </w:p>
    <w:p w14:paraId="176C38B0">
      <w:pPr>
        <w:pStyle w:val="5"/>
        <w:wordWrap w:val="0"/>
        <w:topLinePunct/>
        <w:spacing w:line="324" w:lineRule="auto"/>
        <w:jc w:val="both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相关责任及费用，以及逾期交付的违约责任。</w:t>
      </w:r>
    </w:p>
    <w:p w14:paraId="2DC782CB">
      <w:pPr>
        <w:pStyle w:val="5"/>
        <w:wordWrap w:val="0"/>
        <w:topLinePunct/>
        <w:adjustRightInd w:val="0"/>
        <w:snapToGrid w:val="0"/>
        <w:spacing w:line="324" w:lineRule="auto"/>
        <w:ind w:firstLine="600" w:firstLineChars="3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整机验收：设备安装、调试、检定完毕后，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提交书面验收申请（与实际情况不符时，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有权驳回，不予接收），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接收申请时间视为交付整机验收时间，由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组织验收小组（可以聘请专家）共同进行验收。其内容包括确认设备的品牌、型号、规格、数量、技术要求、产品性能软件是否达到验收标准，并对软件进行验证；同时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移交所有技术资料。所验产品达不到验收标准的，或在使用中发现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不能容忍的缺陷等，将视为验收不合格，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应按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的要求及规定的时间内无条件整改，包括</w:t>
      </w:r>
      <w:r>
        <w:rPr>
          <w:rFonts w:ascii="仿宋" w:hAnsi="仿宋" w:eastAsia="仿宋" w:cs="仿宋"/>
          <w:lang w:eastAsia="zh-CN"/>
        </w:rPr>
        <w:t>无条件</w:t>
      </w:r>
      <w:r>
        <w:rPr>
          <w:rFonts w:ascii="仿宋" w:hAnsi="仿宋" w:eastAsia="仿宋" w:cs="仿宋"/>
        </w:rPr>
        <w:t>更换或退货，并承担所有相关费用，以及逾期交付的违约责任。</w:t>
      </w:r>
    </w:p>
    <w:p w14:paraId="59F16AD4">
      <w:pPr>
        <w:pStyle w:val="5"/>
        <w:wordWrap w:val="0"/>
        <w:topLinePunct/>
        <w:spacing w:line="324" w:lineRule="auto"/>
        <w:jc w:val="both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整机验收合格后，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提交经使用部门签字认可的培训记录（1份）、加盖公章的售后服务承诺书（3份），并填写《西安市市级单位政府采购合同履约验收单》（4份），方视为最终通过验收，最终验收合格之日起计算质保期。</w:t>
      </w:r>
    </w:p>
    <w:p w14:paraId="1D9C32FD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质保期内，若存在质量、服务问题，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应当按照投标文件中承诺的条款及时进行处理。</w:t>
      </w:r>
    </w:p>
    <w:p w14:paraId="0C5CE3F0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若发现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弄虚作假，在招投标阶段故意或随意夸大所投产品技术参数、产品性能，或以国产产品冒充进口产品或提供贴牌产品的，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应无条件退货，采购方有权单方解除本合同，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赔偿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所有的损失。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提供的溯源证书必须真实、有效，并承担因证书不实引发的一切法律责任。同时，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有权将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 xml:space="preserve">违法违规情况向西安市政府采购监督部门通报，并由其依法进行处理。 </w:t>
      </w:r>
    </w:p>
    <w:p w14:paraId="62A1215D">
      <w:pPr>
        <w:pStyle w:val="5"/>
        <w:wordWrap w:val="0"/>
        <w:topLinePunct/>
        <w:spacing w:line="324" w:lineRule="auto"/>
        <w:ind w:firstLine="400" w:firstLineChars="20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履约验收标准：</w:t>
      </w:r>
    </w:p>
    <w:p w14:paraId="5A89C8F2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①合同文本；</w:t>
      </w:r>
    </w:p>
    <w:p w14:paraId="72EED5C9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②投标文件及澄清函、招标文件；</w:t>
      </w:r>
    </w:p>
    <w:p w14:paraId="4F8C731C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③国家和行业、企业制定的相应标准和规范；</w:t>
      </w:r>
    </w:p>
    <w:p w14:paraId="5A28D302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④</w:t>
      </w:r>
      <w:r>
        <w:rPr>
          <w:rFonts w:ascii="仿宋" w:hAnsi="仿宋" w:eastAsia="仿宋" w:cs="仿宋_GB2312"/>
          <w:lang w:eastAsia="zh-CN"/>
        </w:rPr>
        <w:t>JJF1458-2014《磁轭式磁粉探伤机校准规范 》、JB/T 6065-2004《无损检测磁粉检测用试片》、JJF1081-2002《垂准仪校准规范》、JJG1097-2014《综合验光仪（含视力表）检定规程 》、JJG 875-2019《数字压力计》、JJF 1472-2014 《过程仪表校验仪校准规范》、JJG 1034-2008《光谱光度计标准滤光器》、JJG 520-2005《粉尘采样器》、JJG 680-2007《烟尘采样器》、JJG 1169-2019《烟气采样器》、JJG 956-2013《大气采样器》、JJG 943-2011《总悬浮颗粒物采样器》</w:t>
      </w:r>
      <w:r>
        <w:rPr>
          <w:rFonts w:ascii="仿宋" w:hAnsi="仿宋" w:eastAsia="仿宋" w:cs="仿宋_GB2312"/>
        </w:rPr>
        <w:t>等（所列规范标准如有更新，以最新规范标准执行）</w:t>
      </w:r>
      <w:r>
        <w:rPr>
          <w:rFonts w:ascii="仿宋" w:hAnsi="仿宋" w:eastAsia="仿宋" w:cs="仿宋"/>
        </w:rPr>
        <w:t>。</w:t>
      </w:r>
    </w:p>
    <w:p w14:paraId="6B33EBC2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</w:t>
      </w:r>
      <w:r>
        <w:rPr>
          <w:rFonts w:ascii="仿宋" w:hAnsi="仿宋" w:eastAsia="仿宋" w:cs="仿宋"/>
          <w:lang w:eastAsia="zh-CN"/>
        </w:rPr>
        <w:t xml:space="preserve"> </w:t>
      </w:r>
      <w:r>
        <w:rPr>
          <w:rFonts w:ascii="仿宋" w:hAnsi="仿宋" w:eastAsia="仿宋" w:cs="仿宋"/>
        </w:rPr>
        <w:t xml:space="preserve"> ⑤产品清单（注明品名、数量、规格和原产地或生产厂家，包括部件）。</w:t>
      </w:r>
    </w:p>
    <w:p w14:paraId="41E8713B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十、包装、运输、调试</w:t>
      </w:r>
    </w:p>
    <w:p w14:paraId="0D4CB2BD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1、包装：产品包装应采取防潮、防晒、防腐蚀、防震动及防止其他损坏的必要措施。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应承担由于其包装或防护措施不妥而引起的货物锈蚀、损坏和丢失等任何损失造成的责任或费用；</w:t>
      </w:r>
    </w:p>
    <w:p w14:paraId="5271A904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2、运输：运杂费一次包死在总价内，包括</w:t>
      </w:r>
      <w:r>
        <w:rPr>
          <w:rFonts w:ascii="仿宋" w:hAnsi="仿宋" w:eastAsia="仿宋" w:cs="仿宋"/>
          <w:lang w:eastAsia="zh-CN"/>
        </w:rPr>
        <w:t>并不限于</w:t>
      </w:r>
      <w:r>
        <w:rPr>
          <w:rFonts w:ascii="仿宋" w:hAnsi="仿宋" w:eastAsia="仿宋" w:cs="仿宋"/>
        </w:rPr>
        <w:t>生产厂到施工现场所需的装卸、运输（含保险费）、现场保管费、二次倒运费、吊装费等费用；</w:t>
      </w:r>
    </w:p>
    <w:p w14:paraId="6D6DECAC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3、调试：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负责安装和调试，保证设备能够正常运行，并达到合同中规定的技术要求及产品性能；</w:t>
      </w:r>
    </w:p>
    <w:p w14:paraId="2D1D63BE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4、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应对运输、搬运、安装、调试等实施过程的安全负责，如发生人身伤亡、财产损失的由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负责解决并承担全部责任及费用；</w:t>
      </w:r>
    </w:p>
    <w:p w14:paraId="5B88412B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5、所有产品在运输、搬运、安装、调试的过程中，造成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损失的，由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承担全部责任并赔偿费用；</w:t>
      </w:r>
    </w:p>
    <w:p w14:paraId="153903F6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6、合同所约定的货物及配套设备交付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验收合格前的风险由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承担验收合格接收后的风险。</w:t>
      </w:r>
    </w:p>
    <w:p w14:paraId="4759B914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十一、培训</w:t>
      </w:r>
    </w:p>
    <w:p w14:paraId="581DFD65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1、至少包括产品使用操作、保养、维修等培训内容。在设备投入使用前，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应按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要求</w:t>
      </w:r>
      <w:r>
        <w:rPr>
          <w:rFonts w:ascii="仿宋" w:hAnsi="仿宋" w:eastAsia="仿宋" w:cs="仿宋"/>
          <w:lang w:eastAsia="zh-CN"/>
        </w:rPr>
        <w:t>无条件</w:t>
      </w:r>
      <w:r>
        <w:rPr>
          <w:rFonts w:ascii="仿宋" w:hAnsi="仿宋" w:eastAsia="仿宋" w:cs="仿宋"/>
        </w:rPr>
        <w:t>培训技术人员若干名，培训服务以受培训人员熟练掌握相应技能为原则。使用初期进行必要的跟踪指导，保证设备的稳定运行；</w:t>
      </w:r>
    </w:p>
    <w:p w14:paraId="118EF053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2、产品需在培训基地培训的，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应按要求履行，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指派人员因参加培训所产生的交通费、食宿费、培训费等均由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承担；</w:t>
      </w:r>
    </w:p>
    <w:p w14:paraId="33A65175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3、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应提供书面培训记录，并经受培训人员签字确认。</w:t>
      </w:r>
    </w:p>
    <w:p w14:paraId="0E8FBCEA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十二、技术资料</w:t>
      </w:r>
    </w:p>
    <w:p w14:paraId="3B4F1475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提供全套中文技术资料一套，其费用包括在合同总价款中：</w:t>
      </w:r>
    </w:p>
    <w:p w14:paraId="63D08FDD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1、完整的产品操作使用手册、说明书和维护、修理技术文件、图纸、保修卡等；</w:t>
      </w:r>
    </w:p>
    <w:p w14:paraId="532BF670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2、制造厂的检验、测试报告、产品检验合格证书</w:t>
      </w:r>
      <w:r>
        <w:rPr>
          <w:rFonts w:ascii="仿宋" w:hAnsi="仿宋" w:eastAsia="仿宋" w:cs="仿宋"/>
          <w:lang w:eastAsia="zh-CN"/>
        </w:rPr>
        <w:t>、产品检定、校准证书</w:t>
      </w:r>
      <w:r>
        <w:rPr>
          <w:rFonts w:ascii="仿宋" w:hAnsi="仿宋" w:eastAsia="仿宋" w:cs="仿宋"/>
        </w:rPr>
        <w:t>等；</w:t>
      </w:r>
    </w:p>
    <w:p w14:paraId="589A08C4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3、产品的执行标准；</w:t>
      </w:r>
    </w:p>
    <w:p w14:paraId="284F3E7E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4、进口产品需要提供报关单、关税缴纳凭证；</w:t>
      </w:r>
    </w:p>
    <w:p w14:paraId="031D21D9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5、其他文件资料等。</w:t>
      </w:r>
    </w:p>
    <w:p w14:paraId="0FA82C8B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十三、质量保证</w:t>
      </w:r>
    </w:p>
    <w:p w14:paraId="41C19881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1、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提供的产品及材料必须保证质量可靠，为市场最新或主流产品，进货渠道正常，配置合理齐全，应全面满足要求，未明确要求的内容，须按产品主流标准配置或以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的补充要求为准。所供产品工艺质量应严格按国家最新发布的规范标准执行，如发生质量问题由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承担全部责任；</w:t>
      </w:r>
    </w:p>
    <w:p w14:paraId="3B046CB2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2、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应保证合同项下所供产品是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响应和本合同约定的厂家和产地生产的，全新未使用过的，并完全符合合同规定的质量、规格等要求；</w:t>
      </w:r>
    </w:p>
    <w:p w14:paraId="33CACEB8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3、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使用产品过程中因产品质量、产品缺陷及安装质量等造成人身伤亡、财产损失的，由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负责解决并承担全部责任。</w:t>
      </w:r>
    </w:p>
    <w:p w14:paraId="06692B75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十四、售后服务（提供售后服务承诺书）</w:t>
      </w:r>
    </w:p>
    <w:p w14:paraId="0BB4ED57">
      <w:pPr>
        <w:pStyle w:val="6"/>
        <w:wordWrap w:val="0"/>
        <w:topLinePunct/>
        <w:spacing w:line="324" w:lineRule="auto"/>
        <w:jc w:val="left"/>
        <w:outlineLvl w:val="9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 xml:space="preserve">    1、乙方应提供可承担维修职能的公司或全资子或分公司或办事处，并驻守多名维护技术人员，并提供售后服务地点、联系人（常驻工程师）及联系电话（服务热线），随时解答各种疑问、提供技术支持；</w:t>
      </w:r>
    </w:p>
    <w:p w14:paraId="3701E12C">
      <w:pPr>
        <w:pStyle w:val="6"/>
        <w:wordWrap w:val="0"/>
        <w:topLinePunct/>
        <w:spacing w:line="324" w:lineRule="auto"/>
        <w:jc w:val="left"/>
        <w:outlineLvl w:val="9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 xml:space="preserve">    服务方式：现场＋远程服务，响应时间为全年7×24小时；</w:t>
      </w:r>
    </w:p>
    <w:p w14:paraId="5E282229">
      <w:pPr>
        <w:pStyle w:val="6"/>
        <w:wordWrap w:val="0"/>
        <w:topLinePunct/>
        <w:spacing w:line="324" w:lineRule="auto"/>
        <w:jc w:val="left"/>
        <w:outlineLvl w:val="9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 xml:space="preserve">    2、软件由厂家无条件提供终身维护和系统升级；</w:t>
      </w:r>
    </w:p>
    <w:p w14:paraId="44B35C2E">
      <w:pPr>
        <w:pStyle w:val="6"/>
        <w:wordWrap w:val="0"/>
        <w:topLinePunct/>
        <w:spacing w:line="324" w:lineRule="auto"/>
        <w:jc w:val="left"/>
        <w:outlineLvl w:val="9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 xml:space="preserve">    3、质保期：</w:t>
      </w:r>
    </w:p>
    <w:p w14:paraId="2FE43005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①质保期内出现质量问题或发生故障，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应按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的要求</w:t>
      </w:r>
      <w:r>
        <w:rPr>
          <w:rFonts w:ascii="仿宋" w:hAnsi="仿宋" w:eastAsia="仿宋" w:cs="仿宋"/>
          <w:lang w:eastAsia="zh-CN"/>
        </w:rPr>
        <w:t>无条件</w:t>
      </w:r>
      <w:r>
        <w:rPr>
          <w:rFonts w:ascii="仿宋" w:hAnsi="仿宋" w:eastAsia="仿宋" w:cs="仿宋"/>
        </w:rPr>
        <w:t>更换或维修，响应时间≤2小时，产生的所有费用均有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承担；</w:t>
      </w:r>
    </w:p>
    <w:p w14:paraId="60130B74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②若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认为故障不能远程解决时，维修工程师抵达现场时间≤12小时；</w:t>
      </w:r>
    </w:p>
    <w:p w14:paraId="55AB4099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③若故障在24小时内无法排除时，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必须向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提供书面报告，包括故障原因及分析、处理措施、解决时间；</w:t>
      </w:r>
    </w:p>
    <w:p w14:paraId="25DA1728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④若解决故障时间超过48小时，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有权自行委托第三方进行维修，所产生的费用由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承担；</w:t>
      </w:r>
    </w:p>
    <w:p w14:paraId="3AB730C0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⑤质保期到期前，由</w:t>
      </w:r>
      <w:r>
        <w:rPr>
          <w:rFonts w:ascii="仿宋" w:hAnsi="仿宋" w:eastAsia="仿宋" w:cs="仿宋"/>
          <w:lang w:eastAsia="zh-CN"/>
        </w:rPr>
        <w:t>乙方无条件</w:t>
      </w:r>
      <w:r>
        <w:rPr>
          <w:rFonts w:ascii="仿宋" w:hAnsi="仿宋" w:eastAsia="仿宋" w:cs="仿宋"/>
        </w:rPr>
        <w:t>对所供产品进行全面维护保养，确保设备处于正常运行状态；</w:t>
      </w:r>
    </w:p>
    <w:p w14:paraId="20D5F9B6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⑥质保期内若出现更换产品或主要部件的情况，应重新进行检定或校准并验收，产生的所有费用由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承担，质保期自验收合格之日起重新计算。</w:t>
      </w:r>
    </w:p>
    <w:p w14:paraId="4BD98B4A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  <w:lang w:eastAsia="zh-CN"/>
        </w:rPr>
        <w:t>4</w:t>
      </w:r>
      <w:r>
        <w:rPr>
          <w:rFonts w:ascii="仿宋" w:hAnsi="仿宋" w:eastAsia="仿宋" w:cs="仿宋"/>
        </w:rPr>
        <w:t>、所提供的服务内容应严格按照国家最新发布的规范标准执行，符合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的理念及要求，如发生质量问题由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承担全部责任；</w:t>
      </w:r>
    </w:p>
    <w:p w14:paraId="73C17D5B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十五、保密</w:t>
      </w:r>
    </w:p>
    <w:p w14:paraId="60F30657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须严格保密对工作中了解到的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的技术、机密等信息，不得向他人泄漏。本合同的解除或终止不免除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应承担的保密义务。</w:t>
      </w:r>
    </w:p>
    <w:p w14:paraId="6647223A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十六、知识产权</w:t>
      </w:r>
    </w:p>
    <w:p w14:paraId="51F8F71E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应对所供产品具有或已取得合法知识产权，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应保证所供产品及服务不会出现因第三方提出侵犯其专利权、商标权或其它知识产权而引发法律或经济纠纷，否则由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负责解决并承担全部责任；如因此影响到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的正常使用，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有权单方解除本合同，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应无条件向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退回已收取的全部合同价款。</w:t>
      </w:r>
    </w:p>
    <w:p w14:paraId="572D10E4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十七、双方承诺</w:t>
      </w:r>
    </w:p>
    <w:p w14:paraId="76EDD03E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1、乙方向甲方承诺，按照本合同约定提供相关产品和服务；</w:t>
      </w:r>
    </w:p>
    <w:p w14:paraId="1C5ADD6D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2、甲方向乙方承诺，按照本合同约定支付相关款项。</w:t>
      </w:r>
    </w:p>
    <w:p w14:paraId="64ED5EA9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十八、违约责任</w:t>
      </w:r>
    </w:p>
    <w:p w14:paraId="01555EDA">
      <w:pPr>
        <w:pStyle w:val="6"/>
        <w:wordWrap w:val="0"/>
        <w:topLinePunct/>
        <w:spacing w:line="324" w:lineRule="auto"/>
        <w:jc w:val="left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1、按《中华人民共和国政府采购法》、《中华人民共和国民法典》中的相关条款和本合同约定执行；</w:t>
      </w:r>
    </w:p>
    <w:p w14:paraId="4324826C">
      <w:pPr>
        <w:pStyle w:val="6"/>
        <w:wordWrap w:val="0"/>
        <w:topLinePunct/>
        <w:spacing w:line="324" w:lineRule="auto"/>
        <w:jc w:val="left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2、乙方履约延误：</w:t>
      </w:r>
    </w:p>
    <w:p w14:paraId="6AAC5009">
      <w:pPr>
        <w:pStyle w:val="6"/>
        <w:wordWrap w:val="0"/>
        <w:topLinePunct/>
        <w:spacing w:line="324" w:lineRule="auto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 xml:space="preserve">    ①</w:t>
      </w:r>
      <w:r>
        <w:rPr>
          <w:rFonts w:hint="eastAsia" w:ascii="仿宋" w:hAnsi="仿宋" w:eastAsia="仿宋" w:cs="仿宋"/>
          <w:sz w:val="20"/>
          <w:szCs w:val="20"/>
        </w:rPr>
        <w:t>如乙方事先未征得甲方同意并未得到甲方的谅解而单方面延迟交货，将按违约终止合同；</w:t>
      </w:r>
    </w:p>
    <w:p w14:paraId="6F8756AA">
      <w:pPr>
        <w:pStyle w:val="5"/>
        <w:wordWrap w:val="0"/>
        <w:topLinePunct/>
        <w:spacing w:line="324" w:lineRule="auto"/>
        <w:ind w:firstLine="480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②在履行合同过程中，如果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遇到可能妨碍按时交货和提供服务的情况，应及时以书面形式将拖延的事实、可能拖延的期限和理由通知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。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在收到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通知后，应尽快对情况进行评价，并确定是否酌情延长交货时间。若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不同意延长交货时间，由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支付延期交货的违约金，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可在合同未付款中扣除延期交货的违约金，每延期交货一天按合同总价款的1%向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支付违约金，该违约金由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在应支付货款中直接扣除，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对此无任何异议；</w:t>
      </w:r>
    </w:p>
    <w:p w14:paraId="36149917">
      <w:pPr>
        <w:pStyle w:val="5"/>
        <w:wordWrap w:val="0"/>
        <w:topLinePunct/>
        <w:spacing w:line="324" w:lineRule="auto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   3、如整机验收不合格，且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在规定的整改期内仍达不到验收标准的，视为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延期交货，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可在合同未付款中直接扣除延期交货违约金，每延期一天按合同总价款的1%扣除；同时，</w:t>
      </w:r>
      <w:r>
        <w:rPr>
          <w:rFonts w:ascii="仿宋" w:hAnsi="仿宋" w:eastAsia="仿宋" w:cs="仿宋"/>
          <w:lang w:eastAsia="zh-CN"/>
        </w:rPr>
        <w:t>乙方</w:t>
      </w:r>
      <w:r>
        <w:rPr>
          <w:rFonts w:ascii="仿宋" w:hAnsi="仿宋" w:eastAsia="仿宋" w:cs="仿宋"/>
        </w:rPr>
        <w:t>应向</w:t>
      </w:r>
      <w:r>
        <w:rPr>
          <w:rFonts w:ascii="仿宋" w:hAnsi="仿宋" w:eastAsia="仿宋" w:cs="仿宋"/>
          <w:lang w:eastAsia="zh-CN"/>
        </w:rPr>
        <w:t>甲方</w:t>
      </w:r>
      <w:r>
        <w:rPr>
          <w:rFonts w:ascii="仿宋" w:hAnsi="仿宋" w:eastAsia="仿宋" w:cs="仿宋"/>
        </w:rPr>
        <w:t>重新更换和投标文件一致的同生产厂家、同品牌、同型号、同规格的全新产品；</w:t>
      </w:r>
    </w:p>
    <w:p w14:paraId="4F41DF65">
      <w:pPr>
        <w:pStyle w:val="6"/>
        <w:wordWrap w:val="0"/>
        <w:topLinePunct/>
        <w:spacing w:line="324" w:lineRule="auto"/>
        <w:ind w:firstLine="400" w:firstLineChars="200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乙方未全面履行合同义务或者发生违约，采购单位会同采购代理机构有权终止合同，依法向成交乙方进行经济索赔，并报请政府采购监督管理机关进行相应的行政处罚。乙方应当赔偿甲方所有损失，包括但不限于诉讼费、律师费、差旅费、公告费、保全费、担保费等。</w:t>
      </w:r>
    </w:p>
    <w:p w14:paraId="2D240FF1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十九、合同争议的解决</w:t>
      </w:r>
    </w:p>
    <w:p w14:paraId="5B8459C1">
      <w:pPr>
        <w:wordWrap w:val="0"/>
        <w:topLinePunct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合同执行中发生争议的，当事人双方应协商解决，协商达不成一致时，可向甲方所在地人民法院提请诉讼。</w:t>
      </w:r>
    </w:p>
    <w:p w14:paraId="7F742CB5">
      <w:pPr>
        <w:wordWrap w:val="0"/>
        <w:topLinePunct/>
        <w:adjustRightInd w:val="0"/>
        <w:snapToGrid w:val="0"/>
        <w:spacing w:line="324" w:lineRule="auto"/>
        <w:jc w:val="left"/>
        <w:outlineLvl w:val="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二十、不可抗力情况下的免责约定</w:t>
      </w:r>
    </w:p>
    <w:p w14:paraId="26E415AA">
      <w:pPr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双方约定不可抗力情况指：双方不可预见、不可避免、不可克服的客观情况，但不包括双方的违约或疏忽。这些事件包括：战争、严重火灾、洪水、台风、地震等。</w:t>
      </w:r>
    </w:p>
    <w:p w14:paraId="171FE29E">
      <w:pPr>
        <w:wordWrap w:val="0"/>
        <w:topLinePunct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二十一、合同订立</w:t>
      </w:r>
    </w:p>
    <w:p w14:paraId="3D45824B">
      <w:pPr>
        <w:wordWrap w:val="0"/>
        <w:topLinePunct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1、订立时间：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2EA4483F">
      <w:pPr>
        <w:wordWrap w:val="0"/>
        <w:topLinePunct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2、订立地点：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</w:t>
      </w:r>
    </w:p>
    <w:p w14:paraId="6F7459EC">
      <w:pPr>
        <w:tabs>
          <w:tab w:val="left" w:pos="980"/>
        </w:tabs>
        <w:wordWrap w:val="0"/>
        <w:topLinePunct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3、本合同一式</w:t>
      </w:r>
      <w:r>
        <w:rPr>
          <w:rFonts w:hint="eastAsia" w:ascii="仿宋" w:hAnsi="仿宋" w:eastAsia="仿宋" w:cs="仿宋"/>
          <w:b/>
          <w:sz w:val="20"/>
          <w:szCs w:val="20"/>
          <w:u w:val="single"/>
        </w:rPr>
        <w:t>陆</w:t>
      </w:r>
      <w:r>
        <w:rPr>
          <w:rFonts w:hint="eastAsia" w:ascii="仿宋" w:hAnsi="仿宋" w:eastAsia="仿宋" w:cs="仿宋"/>
          <w:sz w:val="20"/>
          <w:szCs w:val="20"/>
        </w:rPr>
        <w:t>份，具有同等法律效力，采供双方各执</w:t>
      </w:r>
      <w:r>
        <w:rPr>
          <w:rFonts w:hint="eastAsia" w:ascii="仿宋" w:hAnsi="仿宋" w:eastAsia="仿宋" w:cs="仿宋"/>
          <w:b/>
          <w:bCs/>
          <w:sz w:val="20"/>
          <w:szCs w:val="20"/>
          <w:u w:val="single"/>
        </w:rPr>
        <w:t>叁</w:t>
      </w:r>
      <w:r>
        <w:rPr>
          <w:rFonts w:hint="eastAsia" w:ascii="仿宋" w:hAnsi="仿宋" w:eastAsia="仿宋" w:cs="仿宋"/>
          <w:sz w:val="20"/>
          <w:szCs w:val="20"/>
        </w:rPr>
        <w:t>份。各方法定代表人或者授权代理人签字并盖章后生效，合同执行完毕自动失效。（合同的服务承诺长期有效）；</w:t>
      </w:r>
    </w:p>
    <w:p w14:paraId="5DAAA60C">
      <w:pPr>
        <w:tabs>
          <w:tab w:val="left" w:pos="980"/>
        </w:tabs>
        <w:wordWrap w:val="0"/>
        <w:topLinePunct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4、除本合同约定，合同一经签订，不得擅自变更、中止或者终止合同。对确需变更、调整或者中止、终止合同的，应按规定履行相应的手续或签订补充协议。</w:t>
      </w:r>
    </w:p>
    <w:p w14:paraId="76B1092D">
      <w:pPr>
        <w:tabs>
          <w:tab w:val="left" w:pos="980"/>
        </w:tabs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（以下无正文）</w:t>
      </w:r>
    </w:p>
    <w:p w14:paraId="00B9F5FE">
      <w:pPr>
        <w:tabs>
          <w:tab w:val="left" w:pos="980"/>
        </w:tabs>
        <w:wordWrap w:val="0"/>
        <w:topLinePunct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791EC173">
      <w:pPr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b/>
          <w:sz w:val="20"/>
          <w:szCs w:val="20"/>
        </w:rPr>
        <w:t>甲方</w:t>
      </w:r>
      <w:r>
        <w:rPr>
          <w:rFonts w:hint="eastAsia" w:ascii="仿宋" w:hAnsi="仿宋" w:eastAsia="仿宋" w:cs="仿宋"/>
          <w:bCs/>
          <w:sz w:val="20"/>
          <w:szCs w:val="20"/>
        </w:rPr>
        <w:t>(</w:t>
      </w:r>
      <w:r>
        <w:rPr>
          <w:rFonts w:hint="eastAsia" w:ascii="仿宋" w:hAnsi="仿宋" w:eastAsia="仿宋" w:cs="仿宋"/>
          <w:sz w:val="20"/>
          <w:szCs w:val="20"/>
        </w:rPr>
        <w:t>公章):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</w:t>
      </w:r>
      <w:r>
        <w:rPr>
          <w:rFonts w:hint="eastAsia" w:ascii="仿宋" w:hAnsi="仿宋" w:eastAsia="仿宋" w:cs="仿宋"/>
          <w:b/>
          <w:sz w:val="20"/>
          <w:szCs w:val="20"/>
        </w:rPr>
        <w:t>乙方</w:t>
      </w:r>
      <w:r>
        <w:rPr>
          <w:rFonts w:hint="eastAsia" w:ascii="仿宋" w:hAnsi="仿宋" w:eastAsia="仿宋" w:cs="仿宋"/>
          <w:bCs/>
          <w:sz w:val="20"/>
          <w:szCs w:val="20"/>
        </w:rPr>
        <w:t>(</w:t>
      </w:r>
      <w:r>
        <w:rPr>
          <w:rFonts w:hint="eastAsia" w:ascii="仿宋" w:hAnsi="仿宋" w:eastAsia="仿宋" w:cs="仿宋"/>
          <w:sz w:val="20"/>
          <w:szCs w:val="20"/>
        </w:rPr>
        <w:t>公章):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</w:t>
      </w:r>
    </w:p>
    <w:p w14:paraId="2BF0511D">
      <w:pPr>
        <w:wordWrap w:val="0"/>
        <w:topLinePunct/>
        <w:adjustRightInd w:val="0"/>
        <w:snapToGrid w:val="0"/>
        <w:spacing w:line="324" w:lineRule="auto"/>
        <w:ind w:left="4000" w:hanging="4000" w:hangingChars="2000"/>
        <w:jc w:val="left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地址：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地址：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</w:p>
    <w:p w14:paraId="3D649FF9">
      <w:pPr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                     法定代表人或</w:t>
      </w:r>
    </w:p>
    <w:p w14:paraId="5859F683">
      <w:pPr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授权代理人（签字）：        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授权代理人（签字）：</w:t>
      </w:r>
    </w:p>
    <w:p w14:paraId="0E52DE61">
      <w:pPr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电话：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电话：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</w:t>
      </w:r>
    </w:p>
    <w:p w14:paraId="1C29DA1A">
      <w:pPr>
        <w:wordWrap w:val="0"/>
        <w:topLinePunct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      年   月   日         日期：      年   月   日</w:t>
      </w:r>
    </w:p>
    <w:p w14:paraId="0E30B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703D6"/>
    <w:rsid w:val="5497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正文缩进1"/>
    <w:basedOn w:val="1"/>
    <w:autoRedefine/>
    <w:qFormat/>
    <w:uiPriority w:val="0"/>
    <w:pPr>
      <w:spacing w:line="360" w:lineRule="auto"/>
      <w:outlineLvl w:val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2025-08-19T09:10:00Z</dcterms:created>
  <dc:creator>H</dc:creator>
  <cp:lastModifiedBy>H</cp:lastModifiedBy>
  <dcterms:modified xsi:type="dcterms:W3CDTF">2025-08-19T09:10:52Z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B6EE7E2434354DBEB1E76B2AF80FAC01_11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