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33E65">
      <w:pPr>
        <w:pStyle w:val="13"/>
        <w:jc w:val="center"/>
        <w:outlineLvl w:val="1"/>
        <w:rPr>
          <w:rFonts w:hint="default"/>
        </w:rPr>
      </w:pPr>
      <w:r>
        <w:rPr>
          <w:rFonts w:ascii="仿宋_GB2312" w:hAnsi="仿宋_GB2312" w:eastAsia="仿宋_GB2312" w:cs="仿宋_GB2312"/>
          <w:b/>
          <w:sz w:val="36"/>
        </w:rPr>
        <w:t>拟签订采购合同文本</w:t>
      </w:r>
    </w:p>
    <w:p w14:paraId="556A4E26">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bookmarkStart w:id="0" w:name="_Hlk107229277"/>
    </w:p>
    <w:p w14:paraId="6C35B774">
      <w:pPr>
        <w:autoSpaceDE w:val="0"/>
        <w:autoSpaceDN w:val="0"/>
        <w:adjustRightInd w:val="0"/>
        <w:snapToGrid w:val="0"/>
        <w:spacing w:line="360" w:lineRule="auto"/>
        <w:ind w:firstLine="640" w:firstLineChars="200"/>
        <w:rPr>
          <w:rFonts w:ascii="仿宋_GB2312" w:hAnsi="仿宋_GB2312" w:eastAsia="仿宋_GB2312" w:cs="仿宋_GB2312"/>
          <w:bCs/>
          <w:sz w:val="32"/>
          <w:szCs w:val="32"/>
          <w:u w:val="single"/>
        </w:rPr>
      </w:pPr>
      <w:r>
        <w:rPr>
          <w:rFonts w:hint="eastAsia" w:ascii="仿宋_GB2312" w:hAnsi="仿宋_GB2312" w:eastAsia="仿宋_GB2312" w:cs="仿宋_GB2312"/>
          <w:bCs/>
          <w:sz w:val="32"/>
          <w:szCs w:val="32"/>
        </w:rPr>
        <w:t>甲方（采  购  人）：</w:t>
      </w:r>
      <w:r>
        <w:rPr>
          <w:rFonts w:hint="eastAsia" w:ascii="仿宋_GB2312" w:hAnsi="仿宋_GB2312" w:eastAsia="仿宋_GB2312" w:cs="仿宋_GB2312"/>
          <w:bCs/>
          <w:sz w:val="32"/>
          <w:szCs w:val="32"/>
          <w:u w:val="single"/>
        </w:rPr>
        <w:t xml:space="preserve">                </w:t>
      </w:r>
    </w:p>
    <w:p w14:paraId="3BEDA29F">
      <w:pPr>
        <w:autoSpaceDE w:val="0"/>
        <w:autoSpaceDN w:val="0"/>
        <w:adjustRightInd w:val="0"/>
        <w:snapToGrid w:val="0"/>
        <w:spacing w:line="360" w:lineRule="auto"/>
        <w:ind w:firstLine="640" w:firstLineChars="200"/>
        <w:rPr>
          <w:rFonts w:ascii="仿宋_GB2312" w:hAnsi="仿宋_GB2312" w:eastAsia="仿宋_GB2312" w:cs="仿宋_GB2312"/>
          <w:bCs/>
          <w:sz w:val="32"/>
          <w:szCs w:val="32"/>
          <w:u w:val="single"/>
        </w:rPr>
      </w:pPr>
      <w:r>
        <w:rPr>
          <w:rFonts w:hint="eastAsia" w:ascii="仿宋_GB2312" w:hAnsi="仿宋_GB2312" w:eastAsia="仿宋_GB2312" w:cs="仿宋_GB2312"/>
          <w:bCs/>
          <w:sz w:val="32"/>
          <w:szCs w:val="32"/>
        </w:rPr>
        <w:t xml:space="preserve">乙方（成交供应商）： </w:t>
      </w:r>
      <w:r>
        <w:rPr>
          <w:rFonts w:hint="eastAsia" w:ascii="仿宋_GB2312" w:hAnsi="仿宋_GB2312" w:eastAsia="仿宋_GB2312" w:cs="仿宋_GB2312"/>
          <w:bCs/>
          <w:sz w:val="32"/>
          <w:szCs w:val="32"/>
          <w:u w:val="single"/>
        </w:rPr>
        <w:t xml:space="preserve">               </w:t>
      </w:r>
    </w:p>
    <w:p w14:paraId="1E7D3545">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u w:val="single"/>
        </w:rPr>
        <w:t xml:space="preserve"> 西安市智慧环保二期平台软件运维服务项目 (项目编号：SXHC2025-138)</w:t>
      </w:r>
      <w:r>
        <w:rPr>
          <w:rFonts w:hint="eastAsia" w:ascii="仿宋_GB2312" w:hAnsi="仿宋_GB2312" w:eastAsia="仿宋_GB2312" w:cs="仿宋_GB2312"/>
          <w:bCs/>
          <w:sz w:val="32"/>
          <w:szCs w:val="32"/>
        </w:rPr>
        <w:t>，由陕西华采招标有限公司组织竞争性磋商，</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(以下简称“甲方”)确定</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（以下简称“乙方”）为该项目的成交供应商。</w:t>
      </w:r>
    </w:p>
    <w:p w14:paraId="3BEB1DBE">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依据《中华人民共和国民法典》和《中华人民共和国政府采购法》之规定，双方在平等、自愿、互利的基础上，签订本合同，共同信守。</w:t>
      </w:r>
    </w:p>
    <w:p w14:paraId="09070BFD">
      <w:pPr>
        <w:pStyle w:val="13"/>
        <w:ind w:firstLine="480"/>
        <w:rPr>
          <w:rFonts w:hint="default" w:ascii="仿宋_GB2312" w:hAnsi="仿宋_GB2312" w:eastAsia="仿宋_GB2312" w:cs="仿宋_GB2312"/>
          <w:b w:val="0"/>
          <w:bCs/>
          <w:sz w:val="32"/>
          <w:szCs w:val="32"/>
          <w:highlight w:val="none"/>
          <w:u w:val="single"/>
          <w:lang w:eastAsia="zh-CN"/>
        </w:rPr>
      </w:pPr>
      <w:bookmarkStart w:id="1" w:name="_Toc11985"/>
      <w:r>
        <w:rPr>
          <w:rFonts w:ascii="仿宋_GB2312" w:hAnsi="仿宋_GB2312" w:eastAsia="仿宋_GB2312" w:cs="仿宋_GB2312"/>
          <w:b w:val="0"/>
          <w:bCs/>
          <w:sz w:val="32"/>
          <w:szCs w:val="32"/>
          <w:highlight w:val="none"/>
          <w:lang w:eastAsia="zh-CN"/>
        </w:rPr>
        <w:t>一</w:t>
      </w:r>
      <w:r>
        <w:rPr>
          <w:rFonts w:ascii="仿宋_GB2312" w:hAnsi="仿宋_GB2312" w:eastAsia="仿宋_GB2312" w:cs="仿宋_GB2312"/>
          <w:b w:val="0"/>
          <w:bCs/>
          <w:sz w:val="32"/>
          <w:szCs w:val="32"/>
          <w:highlight w:val="none"/>
        </w:rPr>
        <w:t>、委托工作内容</w:t>
      </w:r>
      <w:r>
        <w:rPr>
          <w:rFonts w:ascii="仿宋_GB2312" w:hAnsi="仿宋_GB2312" w:eastAsia="仿宋_GB2312" w:cs="仿宋_GB2312"/>
          <w:b w:val="0"/>
          <w:bCs/>
          <w:sz w:val="32"/>
          <w:szCs w:val="32"/>
          <w:highlight w:val="none"/>
          <w:lang w:eastAsia="zh-CN"/>
        </w:rPr>
        <w:t>：</w:t>
      </w:r>
      <w:r>
        <w:rPr>
          <w:rFonts w:hint="eastAsia" w:ascii="仿宋_GB2312" w:hAnsi="仿宋_GB2312" w:eastAsia="仿宋_GB2312" w:cs="仿宋_GB2312"/>
          <w:b w:val="0"/>
          <w:bCs/>
          <w:sz w:val="32"/>
          <w:szCs w:val="32"/>
          <w:highlight w:val="none"/>
          <w:lang w:eastAsia="zh-CN"/>
        </w:rPr>
        <w:t>对重点污染源自动监控系统升级改造项目和西安市智慧环保平台功能拓展项目（简称智慧环保二期平台软件），共计11个子系统提供运维服务，包括日常数据处理服务、日常巡检服务、数据接口服务、数据分析服务、日常事件处理等。提供驻场人员及远程技术支持，保障智慧环保二期平台软件的正常运行，符合上级单位对网络安全、数据安全、数据共享等要求。根据工作安排，对现有功能模块进行功能扩展，满足相关实际业务需求</w:t>
      </w:r>
      <w:r>
        <w:rPr>
          <w:rFonts w:ascii="仿宋_GB2312" w:hAnsi="仿宋_GB2312" w:eastAsia="仿宋_GB2312" w:cs="仿宋_GB2312"/>
          <w:b w:val="0"/>
          <w:bCs/>
          <w:kern w:val="2"/>
          <w:sz w:val="32"/>
          <w:szCs w:val="32"/>
          <w:highlight w:val="none"/>
          <w:lang w:eastAsia="zh-CN"/>
        </w:rPr>
        <w:t>。</w:t>
      </w:r>
    </w:p>
    <w:p w14:paraId="539D00F1">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r>
        <w:rPr>
          <w:rFonts w:hint="eastAsia" w:ascii="仿宋_GB2312" w:hAnsi="仿宋_GB2312" w:eastAsia="仿宋_GB2312" w:cs="仿宋_GB2312"/>
          <w:b/>
          <w:sz w:val="32"/>
          <w:szCs w:val="32"/>
        </w:rPr>
        <w:t>二、合同价款</w:t>
      </w:r>
      <w:bookmarkEnd w:id="1"/>
    </w:p>
    <w:p w14:paraId="0A2F5E58">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（一）合同价款为人民币（大写）</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w:t>
      </w:r>
    </w:p>
    <w:p w14:paraId="55AB328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（二）合同价款</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zh-CN"/>
        </w:rPr>
        <w:t>乙方响应本次采购要求中全部工作内容的价格体现,包括完成采购内容所需的直接费、间接费、利润、税金及其他相关的一切费用。</w:t>
      </w:r>
    </w:p>
    <w:p w14:paraId="3B9E753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（三）合同价款一次性包死，不受市场价格变化因素的影响。分阶段付款是为了确保项目按进度顺利进行，避免因资金问题影响项目进展。</w:t>
      </w:r>
    </w:p>
    <w:p w14:paraId="006311FE">
      <w:pPr>
        <w:autoSpaceDE w:val="0"/>
        <w:autoSpaceDN w:val="0"/>
        <w:adjustRightInd w:val="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三、款项结算</w:t>
      </w:r>
    </w:p>
    <w:p w14:paraId="4026AC80">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（一）付款方式：</w:t>
      </w:r>
      <w:r>
        <w:rPr>
          <w:rFonts w:hint="eastAsia" w:ascii="仿宋_GB2312" w:hAnsi="仿宋_GB2312" w:eastAsia="仿宋_GB2312" w:cs="仿宋_GB2312"/>
          <w:sz w:val="32"/>
          <w:szCs w:val="32"/>
        </w:rPr>
        <w:t>合同总价款小写：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，大写：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。合同签订后支付合同价款的30%，即人民币小写：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，大写：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。运维结束后根据考核情况（考核标准详见</w:t>
      </w:r>
      <w:r>
        <w:rPr>
          <w:rFonts w:hint="eastAsia" w:ascii="仿宋_GB2312" w:hAnsi="仿宋_GB2312" w:eastAsia="仿宋_GB2312" w:cs="仿宋_GB2312"/>
          <w:sz w:val="32"/>
          <w:szCs w:val="32"/>
          <w:lang w:val="en-US" w:eastAsia="zh-CN"/>
        </w:rPr>
        <w:t>本条第六款</w:t>
      </w:r>
      <w:r>
        <w:rPr>
          <w:rFonts w:hint="eastAsia" w:ascii="仿宋_GB2312" w:hAnsi="仿宋_GB2312" w:eastAsia="仿宋_GB2312" w:cs="仿宋_GB2312"/>
          <w:sz w:val="32"/>
          <w:szCs w:val="32"/>
        </w:rPr>
        <w:t>）支付合同剩余价款。若验收不合格或部分不合格，甲方有权根据实际情况扣减相应比例的尾款，具体扣减比例由双方协商确定。</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乙方应在接到甲方整改通知后的10个工作日内完成整改，并重新提交验收申请，整改次数不得超过两次。若两次整改后仍未能通过验收，甲方有权选择终止合同并拒绝支付剩余款项。若乙方未按时提交完整验收材料，每逾期一日，应按合同总金额的0.5‰向甲方支付违约金。</w:t>
      </w:r>
    </w:p>
    <w:p w14:paraId="2BF588E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（二）结算方式：银行转账。</w:t>
      </w:r>
    </w:p>
    <w:p w14:paraId="5C7B1F52">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（三）结算单位</w:t>
      </w:r>
      <w:r>
        <w:rPr>
          <w:rFonts w:hint="eastAsia" w:ascii="仿宋_GB2312" w:hAnsi="仿宋_GB2312" w:eastAsia="仿宋_GB2312" w:cs="仿宋_GB2312"/>
          <w:bCs/>
          <w:sz w:val="36"/>
          <w:szCs w:val="36"/>
        </w:rPr>
        <w:t>：</w:t>
      </w:r>
      <w:r>
        <w:rPr>
          <w:rFonts w:hint="eastAsia" w:ascii="仿宋_GB2312" w:hAnsi="仿宋_GB2312" w:eastAsia="仿宋_GB2312" w:cs="仿宋_GB2312"/>
          <w:sz w:val="32"/>
          <w:szCs w:val="32"/>
        </w:rPr>
        <w:t>乙方持发票、合同、验收单，与甲方结算，乙方未开具有效、符合甲方要求发票的甲方有权拒绝付款且不承担任何违约责任。</w:t>
      </w:r>
    </w:p>
    <w:p w14:paraId="6ED40D00">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甲方付款前，乙方应当按照甲方付款金额提供符合甲方要求、国家规定的增值税发票，甲方收到发票核验无误后按照内部流程安排付款。如因乙方原因导致甲方逾期付款的，甲方不承担任何责任。合同期内，若因政府财政集中拨付原因致甲方收款滞后，进而致使甲方在当期延迟向乙方支付的情形，乙方应给与甲方充分的谅解和豁免责任，不视同甲方违约。</w:t>
      </w:r>
    </w:p>
    <w:p w14:paraId="2BA5EF68">
      <w:pPr>
        <w:pStyle w:val="14"/>
        <w:widowControl/>
        <w:spacing w:line="360" w:lineRule="auto"/>
        <w:ind w:left="480" w:firstLine="0" w:firstLineChars="0"/>
        <w:jc w:val="left"/>
        <w:rPr>
          <w:rFonts w:ascii="仿宋_GB2312" w:hAnsi="仿宋_GB2312" w:eastAsia="仿宋_GB2312" w:cs="仿宋_GB2312"/>
          <w:color w:val="000000"/>
          <w:kern w:val="0"/>
          <w:sz w:val="32"/>
          <w:szCs w:val="32"/>
          <w:lang w:bidi="ar"/>
        </w:rPr>
      </w:pPr>
      <w:bookmarkStart w:id="2" w:name="_Toc32064"/>
      <w:r>
        <w:rPr>
          <w:rFonts w:hint="eastAsia" w:ascii="仿宋_GB2312" w:hAnsi="仿宋_GB2312" w:eastAsia="仿宋_GB2312" w:cs="仿宋_GB2312"/>
          <w:bCs/>
          <w:sz w:val="32"/>
          <w:szCs w:val="32"/>
        </w:rPr>
        <w:t>（四）</w:t>
      </w:r>
      <w:r>
        <w:rPr>
          <w:rFonts w:hint="eastAsia" w:ascii="仿宋_GB2312" w:hAnsi="仿宋_GB2312" w:eastAsia="仿宋_GB2312" w:cs="仿宋_GB2312"/>
          <w:color w:val="000000"/>
          <w:kern w:val="0"/>
          <w:sz w:val="32"/>
          <w:szCs w:val="32"/>
          <w:lang w:bidi="ar"/>
        </w:rPr>
        <w:t>考核方式</w:t>
      </w:r>
    </w:p>
    <w:p w14:paraId="17DE209B">
      <w:pPr>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采用月考核方式，实行百分制进行评分。每月分别统计扣分情况，运维期结束年底统一结算。</w:t>
      </w:r>
    </w:p>
    <w:p w14:paraId="3F959A26">
      <w:pPr>
        <w:pStyle w:val="14"/>
        <w:widowControl/>
        <w:spacing w:line="360" w:lineRule="auto"/>
        <w:ind w:firstLine="419" w:firstLineChars="131"/>
        <w:jc w:val="left"/>
        <w:rPr>
          <w:rFonts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（五）考核内容</w:t>
      </w:r>
    </w:p>
    <w:p w14:paraId="6947745A">
      <w:pPr>
        <w:widowControl/>
        <w:spacing w:line="360" w:lineRule="auto"/>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1.系统巡检、系统运行状态监测专项；</w:t>
      </w:r>
    </w:p>
    <w:p w14:paraId="754784A6">
      <w:pPr>
        <w:widowControl/>
        <w:spacing w:line="360" w:lineRule="auto"/>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2.运维资料周报、月报；</w:t>
      </w:r>
    </w:p>
    <w:p w14:paraId="53B8B9FB">
      <w:pPr>
        <w:pStyle w:val="14"/>
        <w:widowControl/>
        <w:spacing w:line="360" w:lineRule="auto"/>
        <w:ind w:firstLine="419" w:firstLineChars="131"/>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（六）运维费核算方法</w:t>
      </w:r>
    </w:p>
    <w:p w14:paraId="70C3BEC1">
      <w:pPr>
        <w:widowControl/>
        <w:spacing w:line="360" w:lineRule="auto"/>
        <w:ind w:firstLine="640" w:firstLineChars="200"/>
        <w:jc w:val="left"/>
        <w:rPr>
          <w:rFonts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1.按月考核，每月总分100 分，每月分别统计扣分情况，运维期结束后统一结算。</w:t>
      </w:r>
    </w:p>
    <w:p w14:paraId="2079D386">
      <w:pPr>
        <w:widowControl/>
        <w:spacing w:line="360" w:lineRule="auto"/>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2.当月考核总分为 95分（含）以上时，甲方履行合同支付要求，全额支付乙方合同中运维费总额÷12（运维期为 1 年，按月核算）。 </w:t>
      </w:r>
    </w:p>
    <w:p w14:paraId="7CB4743F">
      <w:pPr>
        <w:widowControl/>
        <w:spacing w:line="360" w:lineRule="auto"/>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3.考核总分为 80 分（含）至 95分时，为初级警告，支付金额=考核得分/100* 当月运维费用。 </w:t>
      </w:r>
    </w:p>
    <w:p w14:paraId="31DC9A69">
      <w:pPr>
        <w:widowControl/>
        <w:spacing w:line="360" w:lineRule="auto"/>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当月考核总分为80分以下，或连续两月考核总分为90分以下时，为二级警告，扣除当月一半运维费用，乙方针对扣分项提交整改方案，经甲方审核后按照方案执行落实，方案执行费甲方酌情从运维费中扣除予以支付。整改后仍不合格时，不予支付当月运维费用。</w:t>
      </w:r>
    </w:p>
    <w:p w14:paraId="574459D5">
      <w:pPr>
        <w:widowControl/>
        <w:spacing w:line="360" w:lineRule="auto"/>
        <w:ind w:firstLine="640" w:firstLineChars="200"/>
        <w:jc w:val="left"/>
        <w:rPr>
          <w:rFonts w:ascii="仿宋_GB2312" w:hAnsi="仿宋_GB2312" w:eastAsia="仿宋_GB2312" w:cs="仿宋_GB2312"/>
          <w:b/>
          <w:bCs/>
          <w:color w:val="000000"/>
          <w:kern w:val="0"/>
          <w:sz w:val="32"/>
          <w:szCs w:val="32"/>
          <w:lang w:bidi="ar"/>
        </w:rPr>
      </w:pPr>
      <w:r>
        <w:rPr>
          <w:rFonts w:hint="eastAsia" w:ascii="仿宋_GB2312" w:hAnsi="仿宋_GB2312" w:eastAsia="仿宋_GB2312" w:cs="仿宋_GB2312"/>
          <w:color w:val="000000"/>
          <w:kern w:val="0"/>
          <w:sz w:val="32"/>
          <w:szCs w:val="32"/>
          <w:lang w:bidi="ar"/>
        </w:rPr>
        <w:t>5.当月考核总分不足60分或连续三个月考核总分为90分以下时，为三级警告，扣除当月全部运维费用，乙方针对扣分项提交整改方案，经甲方审核后按照方案执行落实，整改后仍不合格时，甲方有权适时终止合同，造成损失的，有权提出经济赔偿。</w:t>
      </w:r>
    </w:p>
    <w:p w14:paraId="60A22F60">
      <w:pPr>
        <w:pStyle w:val="14"/>
        <w:widowControl/>
        <w:spacing w:line="360" w:lineRule="auto"/>
        <w:ind w:firstLine="643"/>
        <w:jc w:val="left"/>
        <w:rPr>
          <w:rFonts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附：运维服务考核评分表</w:t>
      </w:r>
    </w:p>
    <w:tbl>
      <w:tblPr>
        <w:tblStyle w:val="8"/>
        <w:tblW w:w="9763"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895"/>
        <w:gridCol w:w="1032"/>
        <w:gridCol w:w="3300"/>
        <w:gridCol w:w="3603"/>
        <w:gridCol w:w="933"/>
      </w:tblGrid>
      <w:tr w14:paraId="128A2A3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446" w:hRule="atLeast"/>
          <w:jc w:val="center"/>
        </w:trPr>
        <w:tc>
          <w:tcPr>
            <w:tcW w:w="895" w:type="dxa"/>
            <w:tcBorders>
              <w:bottom w:val="single" w:color="auto" w:sz="4" w:space="0"/>
              <w:right w:val="single" w:color="auto" w:sz="4" w:space="0"/>
            </w:tcBorders>
            <w:vAlign w:val="center"/>
          </w:tcPr>
          <w:p w14:paraId="793AFEA5">
            <w:pPr>
              <w:widowControl/>
              <w:adjustRightInd w:val="0"/>
              <w:snapToGrid w:val="0"/>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一级指标</w:t>
            </w:r>
          </w:p>
        </w:tc>
        <w:tc>
          <w:tcPr>
            <w:tcW w:w="1032" w:type="dxa"/>
            <w:tcBorders>
              <w:left w:val="nil"/>
              <w:bottom w:val="single" w:color="auto" w:sz="4" w:space="0"/>
              <w:right w:val="single" w:color="auto" w:sz="4" w:space="0"/>
            </w:tcBorders>
            <w:vAlign w:val="center"/>
          </w:tcPr>
          <w:p w14:paraId="7BA315A0">
            <w:pPr>
              <w:widowControl/>
              <w:adjustRightInd w:val="0"/>
              <w:snapToGrid w:val="0"/>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二级</w:t>
            </w:r>
          </w:p>
          <w:p w14:paraId="6747FEF1">
            <w:pPr>
              <w:widowControl/>
              <w:adjustRightInd w:val="0"/>
              <w:snapToGrid w:val="0"/>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指标</w:t>
            </w:r>
          </w:p>
        </w:tc>
        <w:tc>
          <w:tcPr>
            <w:tcW w:w="3300" w:type="dxa"/>
            <w:tcBorders>
              <w:left w:val="nil"/>
              <w:bottom w:val="single" w:color="auto" w:sz="4" w:space="0"/>
              <w:right w:val="single" w:color="auto" w:sz="4" w:space="0"/>
            </w:tcBorders>
            <w:vAlign w:val="center"/>
          </w:tcPr>
          <w:p w14:paraId="500C5F42">
            <w:pPr>
              <w:widowControl/>
              <w:adjustRightInd w:val="0"/>
              <w:snapToGrid w:val="0"/>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考核内容</w:t>
            </w:r>
          </w:p>
        </w:tc>
        <w:tc>
          <w:tcPr>
            <w:tcW w:w="3603" w:type="dxa"/>
            <w:tcBorders>
              <w:left w:val="nil"/>
              <w:bottom w:val="single" w:color="auto" w:sz="4" w:space="0"/>
              <w:right w:val="single" w:color="auto" w:sz="4" w:space="0"/>
            </w:tcBorders>
            <w:vAlign w:val="center"/>
          </w:tcPr>
          <w:p w14:paraId="05AF3C8C">
            <w:pPr>
              <w:widowControl/>
              <w:adjustRightInd w:val="0"/>
              <w:snapToGrid w:val="0"/>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考核说明</w:t>
            </w:r>
          </w:p>
        </w:tc>
        <w:tc>
          <w:tcPr>
            <w:tcW w:w="933" w:type="dxa"/>
            <w:tcBorders>
              <w:left w:val="nil"/>
              <w:bottom w:val="single" w:color="auto" w:sz="4" w:space="0"/>
            </w:tcBorders>
            <w:vAlign w:val="center"/>
          </w:tcPr>
          <w:p w14:paraId="2EB28AF8">
            <w:pPr>
              <w:widowControl/>
              <w:adjustRightInd w:val="0"/>
              <w:snapToGrid w:val="0"/>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分值</w:t>
            </w:r>
          </w:p>
        </w:tc>
      </w:tr>
      <w:tr w14:paraId="4AECB57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56" w:hRule="atLeast"/>
          <w:jc w:val="center"/>
        </w:trPr>
        <w:tc>
          <w:tcPr>
            <w:tcW w:w="895" w:type="dxa"/>
            <w:vMerge w:val="restart"/>
            <w:tcBorders>
              <w:top w:val="nil"/>
              <w:bottom w:val="single" w:color="auto" w:sz="4" w:space="0"/>
              <w:right w:val="single" w:color="auto" w:sz="4" w:space="0"/>
            </w:tcBorders>
            <w:vAlign w:val="center"/>
          </w:tcPr>
          <w:p w14:paraId="5981EC20">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日常报表编写</w:t>
            </w:r>
          </w:p>
        </w:tc>
        <w:tc>
          <w:tcPr>
            <w:tcW w:w="1032" w:type="dxa"/>
            <w:tcBorders>
              <w:top w:val="nil"/>
              <w:left w:val="nil"/>
              <w:bottom w:val="single" w:color="auto" w:sz="4" w:space="0"/>
              <w:right w:val="single" w:color="auto" w:sz="4" w:space="0"/>
            </w:tcBorders>
            <w:vAlign w:val="center"/>
          </w:tcPr>
          <w:p w14:paraId="684C5C4B">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周报编制情况</w:t>
            </w:r>
          </w:p>
        </w:tc>
        <w:tc>
          <w:tcPr>
            <w:tcW w:w="3300" w:type="dxa"/>
            <w:tcBorders>
              <w:top w:val="nil"/>
              <w:left w:val="nil"/>
              <w:bottom w:val="single" w:color="auto" w:sz="4" w:space="0"/>
              <w:right w:val="single" w:color="auto" w:sz="4" w:space="0"/>
            </w:tcBorders>
            <w:vAlign w:val="center"/>
          </w:tcPr>
          <w:p w14:paraId="547D8CD3">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根据客户需求汇总统计前一周服务器巡检数据。</w:t>
            </w:r>
          </w:p>
        </w:tc>
        <w:tc>
          <w:tcPr>
            <w:tcW w:w="3603" w:type="dxa"/>
            <w:tcBorders>
              <w:top w:val="nil"/>
              <w:left w:val="nil"/>
              <w:bottom w:val="single" w:color="auto" w:sz="4" w:space="0"/>
              <w:right w:val="single" w:color="auto" w:sz="4" w:space="0"/>
            </w:tcBorders>
            <w:vAlign w:val="center"/>
          </w:tcPr>
          <w:p w14:paraId="6F9063D9">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按甲方要求，乙方编制报告，未及时提供一次扣2分，总计8分。</w:t>
            </w:r>
          </w:p>
        </w:tc>
        <w:tc>
          <w:tcPr>
            <w:tcW w:w="933" w:type="dxa"/>
            <w:tcBorders>
              <w:top w:val="nil"/>
              <w:left w:val="nil"/>
              <w:bottom w:val="single" w:color="auto" w:sz="4" w:space="0"/>
            </w:tcBorders>
            <w:vAlign w:val="center"/>
          </w:tcPr>
          <w:p w14:paraId="11537CF0">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8</w:t>
            </w:r>
          </w:p>
        </w:tc>
      </w:tr>
      <w:tr w14:paraId="01AD4C9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11" w:hRule="atLeast"/>
          <w:jc w:val="center"/>
        </w:trPr>
        <w:tc>
          <w:tcPr>
            <w:tcW w:w="895" w:type="dxa"/>
            <w:vMerge w:val="continue"/>
            <w:tcBorders>
              <w:top w:val="nil"/>
              <w:bottom w:val="single" w:color="auto" w:sz="4" w:space="0"/>
              <w:right w:val="single" w:color="auto" w:sz="4" w:space="0"/>
            </w:tcBorders>
            <w:vAlign w:val="center"/>
          </w:tcPr>
          <w:p w14:paraId="75FA6B7F">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nil"/>
              <w:left w:val="nil"/>
              <w:bottom w:val="single" w:color="auto" w:sz="4" w:space="0"/>
              <w:right w:val="single" w:color="auto" w:sz="4" w:space="0"/>
            </w:tcBorders>
            <w:vAlign w:val="center"/>
          </w:tcPr>
          <w:p w14:paraId="22FADC1A">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月报编制情况</w:t>
            </w:r>
          </w:p>
        </w:tc>
        <w:tc>
          <w:tcPr>
            <w:tcW w:w="3300" w:type="dxa"/>
            <w:tcBorders>
              <w:top w:val="nil"/>
              <w:left w:val="nil"/>
              <w:bottom w:val="single" w:color="auto" w:sz="4" w:space="0"/>
              <w:right w:val="single" w:color="auto" w:sz="4" w:space="0"/>
            </w:tcBorders>
            <w:vAlign w:val="center"/>
          </w:tcPr>
          <w:p w14:paraId="0CDA99C1">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根据客户需求每月编制上月安全巡检数据报告。</w:t>
            </w:r>
          </w:p>
        </w:tc>
        <w:tc>
          <w:tcPr>
            <w:tcW w:w="3603" w:type="dxa"/>
            <w:tcBorders>
              <w:top w:val="nil"/>
              <w:left w:val="nil"/>
              <w:bottom w:val="single" w:color="auto" w:sz="4" w:space="0"/>
              <w:right w:val="single" w:color="auto" w:sz="4" w:space="0"/>
            </w:tcBorders>
            <w:vAlign w:val="center"/>
          </w:tcPr>
          <w:p w14:paraId="39493F74">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按甲方要求，乙方编制报告，未及时提供一次扣5分，总计5分。</w:t>
            </w:r>
          </w:p>
        </w:tc>
        <w:tc>
          <w:tcPr>
            <w:tcW w:w="933" w:type="dxa"/>
            <w:tcBorders>
              <w:top w:val="nil"/>
              <w:left w:val="nil"/>
              <w:bottom w:val="single" w:color="auto" w:sz="4" w:space="0"/>
            </w:tcBorders>
            <w:vAlign w:val="center"/>
          </w:tcPr>
          <w:p w14:paraId="4A1423C6">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5</w:t>
            </w:r>
          </w:p>
        </w:tc>
      </w:tr>
      <w:tr w14:paraId="0F61E68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895" w:type="dxa"/>
            <w:vMerge w:val="restart"/>
            <w:tcBorders>
              <w:top w:val="nil"/>
              <w:bottom w:val="single" w:color="auto" w:sz="4" w:space="0"/>
              <w:right w:val="single" w:color="auto" w:sz="4" w:space="0"/>
            </w:tcBorders>
            <w:vAlign w:val="center"/>
          </w:tcPr>
          <w:p w14:paraId="705FA7F3">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服务器巡检服务</w:t>
            </w:r>
          </w:p>
        </w:tc>
        <w:tc>
          <w:tcPr>
            <w:tcW w:w="1032" w:type="dxa"/>
            <w:tcBorders>
              <w:top w:val="nil"/>
              <w:left w:val="nil"/>
              <w:bottom w:val="single" w:color="auto" w:sz="4" w:space="0"/>
              <w:right w:val="single" w:color="auto" w:sz="4" w:space="0"/>
            </w:tcBorders>
            <w:vAlign w:val="center"/>
          </w:tcPr>
          <w:p w14:paraId="20BAFB7C">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服务器日志清理</w:t>
            </w:r>
          </w:p>
        </w:tc>
        <w:tc>
          <w:tcPr>
            <w:tcW w:w="3300" w:type="dxa"/>
            <w:tcBorders>
              <w:top w:val="nil"/>
              <w:left w:val="nil"/>
              <w:bottom w:val="single" w:color="auto" w:sz="4" w:space="0"/>
              <w:right w:val="single" w:color="auto" w:sz="4" w:space="0"/>
            </w:tcBorders>
            <w:vAlign w:val="center"/>
          </w:tcPr>
          <w:p w14:paraId="404E854F">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每周对服务器日志进行清理。</w:t>
            </w:r>
          </w:p>
        </w:tc>
        <w:tc>
          <w:tcPr>
            <w:tcW w:w="3603" w:type="dxa"/>
            <w:tcBorders>
              <w:top w:val="nil"/>
              <w:left w:val="nil"/>
              <w:bottom w:val="single" w:color="auto" w:sz="4" w:space="0"/>
              <w:right w:val="single" w:color="auto" w:sz="4" w:space="0"/>
            </w:tcBorders>
            <w:vAlign w:val="center"/>
          </w:tcPr>
          <w:p w14:paraId="1F5D098F">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每周对服务器日志进行清理，未按时清理，一次扣1分，总计4分。</w:t>
            </w:r>
          </w:p>
        </w:tc>
        <w:tc>
          <w:tcPr>
            <w:tcW w:w="933" w:type="dxa"/>
            <w:tcBorders>
              <w:top w:val="nil"/>
              <w:left w:val="nil"/>
              <w:bottom w:val="single" w:color="auto" w:sz="4" w:space="0"/>
            </w:tcBorders>
            <w:vAlign w:val="center"/>
          </w:tcPr>
          <w:p w14:paraId="4F446EF7">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4</w:t>
            </w:r>
          </w:p>
        </w:tc>
      </w:tr>
      <w:tr w14:paraId="0EA3389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224" w:hRule="atLeast"/>
          <w:jc w:val="center"/>
        </w:trPr>
        <w:tc>
          <w:tcPr>
            <w:tcW w:w="895" w:type="dxa"/>
            <w:vMerge w:val="continue"/>
            <w:tcBorders>
              <w:top w:val="nil"/>
              <w:bottom w:val="single" w:color="auto" w:sz="4" w:space="0"/>
              <w:right w:val="single" w:color="auto" w:sz="4" w:space="0"/>
            </w:tcBorders>
            <w:vAlign w:val="center"/>
          </w:tcPr>
          <w:p w14:paraId="39D598FE">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nil"/>
              <w:left w:val="nil"/>
              <w:bottom w:val="single" w:color="auto" w:sz="4" w:space="0"/>
              <w:right w:val="single" w:color="auto" w:sz="4" w:space="0"/>
            </w:tcBorders>
            <w:vAlign w:val="center"/>
          </w:tcPr>
          <w:p w14:paraId="525B1AD8">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服务器使用情况</w:t>
            </w:r>
          </w:p>
        </w:tc>
        <w:tc>
          <w:tcPr>
            <w:tcW w:w="3300" w:type="dxa"/>
            <w:tcBorders>
              <w:top w:val="nil"/>
              <w:left w:val="nil"/>
              <w:bottom w:val="single" w:color="auto" w:sz="4" w:space="0"/>
              <w:right w:val="single" w:color="auto" w:sz="4" w:space="0"/>
            </w:tcBorders>
            <w:vAlign w:val="center"/>
          </w:tcPr>
          <w:p w14:paraId="0C21B0C1">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每周对服务器使用情况相关设备的可用率、CPU利用率，内存占用率、磁盘空间占用率等进行巡检并记录，及时发现故障。</w:t>
            </w:r>
          </w:p>
        </w:tc>
        <w:tc>
          <w:tcPr>
            <w:tcW w:w="3603" w:type="dxa"/>
            <w:tcBorders>
              <w:top w:val="nil"/>
              <w:left w:val="nil"/>
              <w:bottom w:val="single" w:color="auto" w:sz="4" w:space="0"/>
              <w:right w:val="single" w:color="auto" w:sz="4" w:space="0"/>
            </w:tcBorders>
            <w:vAlign w:val="center"/>
          </w:tcPr>
          <w:p w14:paraId="03869F41">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每周对服务器运行状态进行检查，否则按次扣分，未按时检查，因检查未发现隐患导致故障，一次扣1分，总计4分。</w:t>
            </w:r>
          </w:p>
        </w:tc>
        <w:tc>
          <w:tcPr>
            <w:tcW w:w="933" w:type="dxa"/>
            <w:tcBorders>
              <w:top w:val="nil"/>
              <w:left w:val="nil"/>
              <w:bottom w:val="single" w:color="auto" w:sz="4" w:space="0"/>
            </w:tcBorders>
            <w:vAlign w:val="center"/>
          </w:tcPr>
          <w:p w14:paraId="5E982A7F">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4</w:t>
            </w:r>
          </w:p>
        </w:tc>
      </w:tr>
      <w:tr w14:paraId="35725FE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895" w:type="dxa"/>
            <w:vMerge w:val="continue"/>
            <w:tcBorders>
              <w:top w:val="nil"/>
              <w:bottom w:val="single" w:color="auto" w:sz="4" w:space="0"/>
              <w:right w:val="single" w:color="auto" w:sz="4" w:space="0"/>
            </w:tcBorders>
            <w:vAlign w:val="center"/>
          </w:tcPr>
          <w:p w14:paraId="26BE7BEE">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nil"/>
              <w:left w:val="nil"/>
              <w:bottom w:val="single" w:color="auto" w:sz="4" w:space="0"/>
              <w:right w:val="single" w:color="auto" w:sz="4" w:space="0"/>
            </w:tcBorders>
            <w:vAlign w:val="center"/>
          </w:tcPr>
          <w:p w14:paraId="74A51E18">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系统及数据库运行情况</w:t>
            </w:r>
          </w:p>
        </w:tc>
        <w:tc>
          <w:tcPr>
            <w:tcW w:w="3300" w:type="dxa"/>
            <w:tcBorders>
              <w:top w:val="nil"/>
              <w:left w:val="nil"/>
              <w:bottom w:val="single" w:color="auto" w:sz="4" w:space="0"/>
              <w:right w:val="single" w:color="auto" w:sz="4" w:space="0"/>
            </w:tcBorders>
            <w:vAlign w:val="center"/>
          </w:tcPr>
          <w:p w14:paraId="7D80673E">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操作系统、数据库及应用系统的运行维护。</w:t>
            </w:r>
          </w:p>
        </w:tc>
        <w:tc>
          <w:tcPr>
            <w:tcW w:w="3603" w:type="dxa"/>
            <w:tcBorders>
              <w:top w:val="nil"/>
              <w:left w:val="nil"/>
              <w:bottom w:val="single" w:color="auto" w:sz="4" w:space="0"/>
              <w:right w:val="single" w:color="auto" w:sz="4" w:space="0"/>
            </w:tcBorders>
            <w:vAlign w:val="center"/>
          </w:tcPr>
          <w:p w14:paraId="42059E59">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每周对相关操作系统、数据库及应用系统运行状态进行检查，否则按次扣分，未按时检查，因检查未发现隐患导致故障，一次扣1分，总计4分。</w:t>
            </w:r>
          </w:p>
        </w:tc>
        <w:tc>
          <w:tcPr>
            <w:tcW w:w="933" w:type="dxa"/>
            <w:tcBorders>
              <w:top w:val="nil"/>
              <w:left w:val="nil"/>
              <w:bottom w:val="single" w:color="auto" w:sz="4" w:space="0"/>
            </w:tcBorders>
            <w:vAlign w:val="center"/>
          </w:tcPr>
          <w:p w14:paraId="6C989AAA">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4</w:t>
            </w:r>
          </w:p>
        </w:tc>
      </w:tr>
      <w:tr w14:paraId="29DDC09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164" w:hRule="atLeast"/>
          <w:jc w:val="center"/>
        </w:trPr>
        <w:tc>
          <w:tcPr>
            <w:tcW w:w="895" w:type="dxa"/>
            <w:vMerge w:val="continue"/>
            <w:tcBorders>
              <w:top w:val="nil"/>
              <w:bottom w:val="single" w:color="auto" w:sz="4" w:space="0"/>
              <w:right w:val="single" w:color="auto" w:sz="4" w:space="0"/>
            </w:tcBorders>
            <w:vAlign w:val="center"/>
          </w:tcPr>
          <w:p w14:paraId="7FD5C302">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nil"/>
              <w:left w:val="nil"/>
              <w:bottom w:val="single" w:color="auto" w:sz="4" w:space="0"/>
              <w:right w:val="single" w:color="auto" w:sz="4" w:space="0"/>
            </w:tcBorders>
            <w:vAlign w:val="center"/>
          </w:tcPr>
          <w:p w14:paraId="46A7165E">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系统质量评估</w:t>
            </w:r>
          </w:p>
        </w:tc>
        <w:tc>
          <w:tcPr>
            <w:tcW w:w="3300" w:type="dxa"/>
            <w:tcBorders>
              <w:top w:val="nil"/>
              <w:left w:val="nil"/>
              <w:bottom w:val="single" w:color="auto" w:sz="4" w:space="0"/>
              <w:right w:val="single" w:color="auto" w:sz="4" w:space="0"/>
            </w:tcBorders>
            <w:vAlign w:val="center"/>
          </w:tcPr>
          <w:p w14:paraId="1311EAB2">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故障次数和历时；用户申告次数和修复及时率，发生安全事件的次数、类型和影响</w:t>
            </w:r>
          </w:p>
        </w:tc>
        <w:tc>
          <w:tcPr>
            <w:tcW w:w="3603" w:type="dxa"/>
            <w:tcBorders>
              <w:top w:val="nil"/>
              <w:left w:val="nil"/>
              <w:bottom w:val="single" w:color="auto" w:sz="4" w:space="0"/>
              <w:right w:val="single" w:color="auto" w:sz="4" w:space="0"/>
            </w:tcBorders>
            <w:vAlign w:val="center"/>
          </w:tcPr>
          <w:p w14:paraId="31655A46">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根据故障次数、历时及响应处理时效性进行检查，响应不及时一次扣1分，总计6分。</w:t>
            </w:r>
          </w:p>
        </w:tc>
        <w:tc>
          <w:tcPr>
            <w:tcW w:w="933" w:type="dxa"/>
            <w:tcBorders>
              <w:top w:val="nil"/>
              <w:left w:val="nil"/>
              <w:bottom w:val="single" w:color="auto" w:sz="4" w:space="0"/>
            </w:tcBorders>
            <w:vAlign w:val="center"/>
          </w:tcPr>
          <w:p w14:paraId="1844FE55">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6</w:t>
            </w:r>
          </w:p>
        </w:tc>
      </w:tr>
      <w:tr w14:paraId="06059C4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013" w:hRule="atLeast"/>
          <w:jc w:val="center"/>
        </w:trPr>
        <w:tc>
          <w:tcPr>
            <w:tcW w:w="895" w:type="dxa"/>
            <w:vMerge w:val="continue"/>
            <w:tcBorders>
              <w:top w:val="nil"/>
              <w:bottom w:val="single" w:color="auto" w:sz="4" w:space="0"/>
              <w:right w:val="single" w:color="auto" w:sz="4" w:space="0"/>
            </w:tcBorders>
            <w:vAlign w:val="center"/>
          </w:tcPr>
          <w:p w14:paraId="3B336103">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nil"/>
              <w:left w:val="nil"/>
              <w:bottom w:val="single" w:color="auto" w:sz="4" w:space="0"/>
              <w:right w:val="single" w:color="auto" w:sz="4" w:space="0"/>
            </w:tcBorders>
            <w:vAlign w:val="center"/>
          </w:tcPr>
          <w:p w14:paraId="3D1D9458">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响应实效</w:t>
            </w:r>
          </w:p>
        </w:tc>
        <w:tc>
          <w:tcPr>
            <w:tcW w:w="3300" w:type="dxa"/>
            <w:tcBorders>
              <w:top w:val="nil"/>
              <w:left w:val="nil"/>
              <w:bottom w:val="single" w:color="auto" w:sz="4" w:space="0"/>
              <w:right w:val="single" w:color="auto" w:sz="4" w:space="0"/>
            </w:tcBorders>
            <w:vAlign w:val="center"/>
          </w:tcPr>
          <w:p w14:paraId="32D0CF28">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人员接到甲方临时指派的运维任务或故障处理的响应实效。</w:t>
            </w:r>
          </w:p>
        </w:tc>
        <w:tc>
          <w:tcPr>
            <w:tcW w:w="3603" w:type="dxa"/>
            <w:tcBorders>
              <w:top w:val="nil"/>
              <w:left w:val="nil"/>
              <w:bottom w:val="single" w:color="auto" w:sz="4" w:space="0"/>
              <w:right w:val="single" w:color="auto" w:sz="4" w:space="0"/>
            </w:tcBorders>
            <w:vAlign w:val="center"/>
          </w:tcPr>
          <w:p w14:paraId="0FA80D8C">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指派的运维任务或故障未及时响应，未按时处理，一次扣4分，总计8分。</w:t>
            </w:r>
          </w:p>
        </w:tc>
        <w:tc>
          <w:tcPr>
            <w:tcW w:w="933" w:type="dxa"/>
            <w:tcBorders>
              <w:top w:val="nil"/>
              <w:left w:val="nil"/>
              <w:bottom w:val="single" w:color="auto" w:sz="4" w:space="0"/>
            </w:tcBorders>
            <w:vAlign w:val="center"/>
          </w:tcPr>
          <w:p w14:paraId="3D1C696F">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8</w:t>
            </w:r>
          </w:p>
        </w:tc>
      </w:tr>
      <w:tr w14:paraId="47DF1B4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765" w:hRule="atLeast"/>
          <w:jc w:val="center"/>
        </w:trPr>
        <w:tc>
          <w:tcPr>
            <w:tcW w:w="895" w:type="dxa"/>
            <w:vMerge w:val="restart"/>
            <w:tcBorders>
              <w:top w:val="nil"/>
              <w:bottom w:val="single" w:color="auto" w:sz="4" w:space="0"/>
              <w:right w:val="single" w:color="auto" w:sz="4" w:space="0"/>
            </w:tcBorders>
            <w:vAlign w:val="center"/>
          </w:tcPr>
          <w:p w14:paraId="2049C257">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安全巡检</w:t>
            </w:r>
          </w:p>
        </w:tc>
        <w:tc>
          <w:tcPr>
            <w:tcW w:w="1032" w:type="dxa"/>
            <w:tcBorders>
              <w:top w:val="nil"/>
              <w:left w:val="nil"/>
              <w:bottom w:val="single" w:color="auto" w:sz="4" w:space="0"/>
              <w:right w:val="single" w:color="auto" w:sz="4" w:space="0"/>
            </w:tcBorders>
            <w:vAlign w:val="center"/>
          </w:tcPr>
          <w:p w14:paraId="48B135F5">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系统安全巡检</w:t>
            </w:r>
          </w:p>
        </w:tc>
        <w:tc>
          <w:tcPr>
            <w:tcW w:w="3300" w:type="dxa"/>
            <w:tcBorders>
              <w:top w:val="nil"/>
              <w:left w:val="nil"/>
              <w:bottom w:val="single" w:color="auto" w:sz="4" w:space="0"/>
              <w:right w:val="single" w:color="auto" w:sz="4" w:space="0"/>
            </w:tcBorders>
            <w:vAlign w:val="center"/>
          </w:tcPr>
          <w:p w14:paraId="516FD43D">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服务器弱口令强度检查等。</w:t>
            </w:r>
          </w:p>
        </w:tc>
        <w:tc>
          <w:tcPr>
            <w:tcW w:w="3603" w:type="dxa"/>
            <w:tcBorders>
              <w:top w:val="nil"/>
              <w:left w:val="nil"/>
              <w:bottom w:val="single" w:color="auto" w:sz="4" w:space="0"/>
              <w:right w:val="single" w:color="auto" w:sz="4" w:space="0"/>
            </w:tcBorders>
            <w:vAlign w:val="center"/>
          </w:tcPr>
          <w:p w14:paraId="4A2E1900">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每月对系统安全状态进行巡检，未按时巡检，因巡检未发现隐患导致故障，一次扣2分，总计4分。</w:t>
            </w:r>
          </w:p>
        </w:tc>
        <w:tc>
          <w:tcPr>
            <w:tcW w:w="933" w:type="dxa"/>
            <w:tcBorders>
              <w:top w:val="nil"/>
              <w:left w:val="nil"/>
              <w:bottom w:val="single" w:color="auto" w:sz="4" w:space="0"/>
            </w:tcBorders>
            <w:vAlign w:val="center"/>
          </w:tcPr>
          <w:p w14:paraId="658203F8">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4</w:t>
            </w:r>
          </w:p>
        </w:tc>
      </w:tr>
      <w:tr w14:paraId="5011B15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174" w:hRule="atLeast"/>
          <w:jc w:val="center"/>
        </w:trPr>
        <w:tc>
          <w:tcPr>
            <w:tcW w:w="895" w:type="dxa"/>
            <w:vMerge w:val="continue"/>
            <w:tcBorders>
              <w:top w:val="nil"/>
              <w:bottom w:val="single" w:color="auto" w:sz="4" w:space="0"/>
              <w:right w:val="single" w:color="auto" w:sz="4" w:space="0"/>
            </w:tcBorders>
            <w:vAlign w:val="center"/>
          </w:tcPr>
          <w:p w14:paraId="552773D9">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nil"/>
              <w:left w:val="nil"/>
              <w:bottom w:val="single" w:color="auto" w:sz="4" w:space="0"/>
              <w:right w:val="single" w:color="auto" w:sz="4" w:space="0"/>
            </w:tcBorders>
            <w:vAlign w:val="center"/>
          </w:tcPr>
          <w:p w14:paraId="659436FA">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数据安全运维</w:t>
            </w:r>
          </w:p>
        </w:tc>
        <w:tc>
          <w:tcPr>
            <w:tcW w:w="3300" w:type="dxa"/>
            <w:tcBorders>
              <w:top w:val="nil"/>
              <w:left w:val="nil"/>
              <w:bottom w:val="single" w:color="auto" w:sz="4" w:space="0"/>
              <w:right w:val="single" w:color="auto" w:sz="4" w:space="0"/>
            </w:tcBorders>
            <w:vAlign w:val="center"/>
          </w:tcPr>
          <w:p w14:paraId="020E0B49">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数据管理合规性、数据备份合规性、数据恢复合规性等。</w:t>
            </w:r>
          </w:p>
        </w:tc>
        <w:tc>
          <w:tcPr>
            <w:tcW w:w="3603" w:type="dxa"/>
            <w:tcBorders>
              <w:top w:val="nil"/>
              <w:left w:val="nil"/>
              <w:bottom w:val="single" w:color="auto" w:sz="4" w:space="0"/>
              <w:right w:val="single" w:color="auto" w:sz="4" w:space="0"/>
            </w:tcBorders>
            <w:vAlign w:val="center"/>
          </w:tcPr>
          <w:p w14:paraId="6FD3A9A9">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每月对系统运行过程中数据安全运维操作过程合规检查，未按时检查扣1分。因未检查而产生隐患，一次扣3分，总计6分。</w:t>
            </w:r>
          </w:p>
        </w:tc>
        <w:tc>
          <w:tcPr>
            <w:tcW w:w="933" w:type="dxa"/>
            <w:tcBorders>
              <w:top w:val="nil"/>
              <w:left w:val="nil"/>
              <w:bottom w:val="single" w:color="auto" w:sz="4" w:space="0"/>
            </w:tcBorders>
            <w:vAlign w:val="center"/>
          </w:tcPr>
          <w:p w14:paraId="2620B6CE">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6</w:t>
            </w:r>
          </w:p>
        </w:tc>
      </w:tr>
      <w:tr w14:paraId="7183A21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895" w:type="dxa"/>
            <w:vMerge w:val="restart"/>
            <w:tcBorders>
              <w:top w:val="nil"/>
              <w:right w:val="single" w:color="auto" w:sz="4" w:space="0"/>
            </w:tcBorders>
            <w:vAlign w:val="center"/>
          </w:tcPr>
          <w:p w14:paraId="51CDFCEC">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人员考核</w:t>
            </w:r>
          </w:p>
        </w:tc>
        <w:tc>
          <w:tcPr>
            <w:tcW w:w="1032" w:type="dxa"/>
            <w:tcBorders>
              <w:top w:val="nil"/>
              <w:left w:val="nil"/>
              <w:bottom w:val="single" w:color="auto" w:sz="4" w:space="0"/>
              <w:right w:val="single" w:color="auto" w:sz="4" w:space="0"/>
            </w:tcBorders>
            <w:vAlign w:val="center"/>
          </w:tcPr>
          <w:p w14:paraId="666CD627">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人员素质</w:t>
            </w:r>
          </w:p>
        </w:tc>
        <w:tc>
          <w:tcPr>
            <w:tcW w:w="3300" w:type="dxa"/>
            <w:tcBorders>
              <w:top w:val="nil"/>
              <w:left w:val="nil"/>
              <w:bottom w:val="single" w:color="auto" w:sz="4" w:space="0"/>
              <w:right w:val="single" w:color="auto" w:sz="4" w:space="0"/>
            </w:tcBorders>
            <w:vAlign w:val="center"/>
          </w:tcPr>
          <w:p w14:paraId="78609000">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人员着装、人员行为、工位清洁，人员技术业务水平、管理能力及敬业爱岗精神等</w:t>
            </w:r>
          </w:p>
        </w:tc>
        <w:tc>
          <w:tcPr>
            <w:tcW w:w="3603" w:type="dxa"/>
            <w:tcBorders>
              <w:top w:val="nil"/>
              <w:left w:val="nil"/>
              <w:bottom w:val="single" w:color="auto" w:sz="4" w:space="0"/>
              <w:right w:val="single" w:color="auto" w:sz="4" w:space="0"/>
            </w:tcBorders>
            <w:vAlign w:val="center"/>
          </w:tcPr>
          <w:p w14:paraId="2B81372E">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人员综合素质进行检查，出现一次问题扣1分，总计5分。</w:t>
            </w:r>
          </w:p>
        </w:tc>
        <w:tc>
          <w:tcPr>
            <w:tcW w:w="933" w:type="dxa"/>
            <w:tcBorders>
              <w:top w:val="nil"/>
              <w:left w:val="nil"/>
              <w:bottom w:val="single" w:color="auto" w:sz="4" w:space="0"/>
            </w:tcBorders>
            <w:vAlign w:val="center"/>
          </w:tcPr>
          <w:p w14:paraId="172E97D6">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5</w:t>
            </w:r>
          </w:p>
        </w:tc>
      </w:tr>
      <w:tr w14:paraId="1C9AC8F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35" w:hRule="atLeast"/>
          <w:jc w:val="center"/>
        </w:trPr>
        <w:tc>
          <w:tcPr>
            <w:tcW w:w="895" w:type="dxa"/>
            <w:vMerge w:val="continue"/>
            <w:tcBorders>
              <w:right w:val="single" w:color="auto" w:sz="4" w:space="0"/>
            </w:tcBorders>
            <w:vAlign w:val="center"/>
          </w:tcPr>
          <w:p w14:paraId="61EE32C8">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single" w:color="auto" w:sz="4" w:space="0"/>
              <w:left w:val="single" w:color="auto" w:sz="4" w:space="0"/>
              <w:bottom w:val="single" w:color="auto" w:sz="4" w:space="0"/>
              <w:right w:val="single" w:color="auto" w:sz="4" w:space="0"/>
            </w:tcBorders>
            <w:vAlign w:val="center"/>
          </w:tcPr>
          <w:p w14:paraId="0A1F0830">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资料整理</w:t>
            </w:r>
          </w:p>
        </w:tc>
        <w:tc>
          <w:tcPr>
            <w:tcW w:w="3300" w:type="dxa"/>
            <w:tcBorders>
              <w:top w:val="single" w:color="auto" w:sz="4" w:space="0"/>
              <w:left w:val="nil"/>
              <w:bottom w:val="single" w:color="auto" w:sz="4" w:space="0"/>
              <w:right w:val="single" w:color="auto" w:sz="4" w:space="0"/>
            </w:tcBorders>
            <w:vAlign w:val="center"/>
          </w:tcPr>
          <w:p w14:paraId="6389D1A2">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各类技术、业务文件和资料要集订成册后归档。</w:t>
            </w:r>
          </w:p>
        </w:tc>
        <w:tc>
          <w:tcPr>
            <w:tcW w:w="3603" w:type="dxa"/>
            <w:tcBorders>
              <w:top w:val="single" w:color="auto" w:sz="4" w:space="0"/>
              <w:left w:val="single" w:color="auto" w:sz="4" w:space="0"/>
              <w:bottom w:val="single" w:color="auto" w:sz="4" w:space="0"/>
              <w:right w:val="single" w:color="auto" w:sz="4" w:space="0"/>
            </w:tcBorders>
            <w:vAlign w:val="center"/>
          </w:tcPr>
          <w:p w14:paraId="393C1688">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提供本项目内的各类资料及时归档，如若缺失，未按时提交资料，一次扣1分，总计6分。</w:t>
            </w:r>
          </w:p>
        </w:tc>
        <w:tc>
          <w:tcPr>
            <w:tcW w:w="933" w:type="dxa"/>
            <w:tcBorders>
              <w:top w:val="single" w:color="auto" w:sz="4" w:space="0"/>
              <w:left w:val="nil"/>
              <w:bottom w:val="single" w:color="auto" w:sz="4" w:space="0"/>
            </w:tcBorders>
            <w:vAlign w:val="center"/>
          </w:tcPr>
          <w:p w14:paraId="513941B6">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6</w:t>
            </w:r>
          </w:p>
        </w:tc>
      </w:tr>
      <w:tr w14:paraId="0803F52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759" w:hRule="atLeast"/>
          <w:jc w:val="center"/>
        </w:trPr>
        <w:tc>
          <w:tcPr>
            <w:tcW w:w="895" w:type="dxa"/>
            <w:vMerge w:val="continue"/>
            <w:tcBorders>
              <w:bottom w:val="single" w:color="auto" w:sz="4" w:space="0"/>
              <w:right w:val="single" w:color="auto" w:sz="4" w:space="0"/>
            </w:tcBorders>
            <w:vAlign w:val="center"/>
          </w:tcPr>
          <w:p w14:paraId="791BBFFB">
            <w:pPr>
              <w:widowControl/>
              <w:adjustRightInd w:val="0"/>
              <w:snapToGrid w:val="0"/>
              <w:jc w:val="left"/>
              <w:rPr>
                <w:rFonts w:ascii="仿宋_GB2312" w:hAnsi="仿宋_GB2312" w:eastAsia="仿宋_GB2312" w:cs="仿宋_GB2312"/>
                <w:color w:val="000000"/>
                <w:kern w:val="0"/>
                <w:sz w:val="28"/>
                <w:szCs w:val="28"/>
                <w:lang w:bidi="ar"/>
              </w:rPr>
            </w:pPr>
          </w:p>
        </w:tc>
        <w:tc>
          <w:tcPr>
            <w:tcW w:w="1032" w:type="dxa"/>
            <w:tcBorders>
              <w:top w:val="single" w:color="auto" w:sz="4" w:space="0"/>
              <w:left w:val="nil"/>
              <w:bottom w:val="single" w:color="auto" w:sz="4" w:space="0"/>
              <w:right w:val="single" w:color="auto" w:sz="4" w:space="0"/>
            </w:tcBorders>
            <w:vAlign w:val="center"/>
          </w:tcPr>
          <w:p w14:paraId="38A0F8BE">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需求响应</w:t>
            </w:r>
          </w:p>
        </w:tc>
        <w:tc>
          <w:tcPr>
            <w:tcW w:w="3300" w:type="dxa"/>
            <w:tcBorders>
              <w:top w:val="single" w:color="auto" w:sz="4" w:space="0"/>
              <w:left w:val="nil"/>
              <w:bottom w:val="single" w:color="auto" w:sz="4" w:space="0"/>
              <w:right w:val="single" w:color="auto" w:sz="4" w:space="0"/>
            </w:tcBorders>
            <w:vAlign w:val="center"/>
          </w:tcPr>
          <w:p w14:paraId="127374E8">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用户针对该系统提出的功能优化和升级等需求，经评估后确认需要完成的内容，需按期完成。</w:t>
            </w:r>
          </w:p>
        </w:tc>
        <w:tc>
          <w:tcPr>
            <w:tcW w:w="3603" w:type="dxa"/>
            <w:tcBorders>
              <w:top w:val="single" w:color="auto" w:sz="4" w:space="0"/>
              <w:left w:val="nil"/>
              <w:bottom w:val="single" w:color="auto" w:sz="4" w:space="0"/>
              <w:right w:val="single" w:color="auto" w:sz="4" w:space="0"/>
            </w:tcBorders>
            <w:vAlign w:val="center"/>
          </w:tcPr>
          <w:p w14:paraId="7258A0A0">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未按约定内容完成，一次扣5分，总计15分。</w:t>
            </w:r>
          </w:p>
        </w:tc>
        <w:tc>
          <w:tcPr>
            <w:tcW w:w="933" w:type="dxa"/>
            <w:tcBorders>
              <w:top w:val="single" w:color="auto" w:sz="4" w:space="0"/>
              <w:left w:val="nil"/>
              <w:bottom w:val="single" w:color="auto" w:sz="4" w:space="0"/>
            </w:tcBorders>
            <w:vAlign w:val="center"/>
          </w:tcPr>
          <w:p w14:paraId="4D170ABE">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15</w:t>
            </w:r>
          </w:p>
        </w:tc>
      </w:tr>
      <w:tr w14:paraId="6A4D827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8" w:hRule="atLeast"/>
          <w:jc w:val="center"/>
        </w:trPr>
        <w:tc>
          <w:tcPr>
            <w:tcW w:w="895" w:type="dxa"/>
            <w:tcBorders>
              <w:top w:val="nil"/>
              <w:bottom w:val="single" w:color="auto" w:sz="4" w:space="0"/>
              <w:right w:val="single" w:color="auto" w:sz="4" w:space="0"/>
            </w:tcBorders>
            <w:vAlign w:val="center"/>
          </w:tcPr>
          <w:p w14:paraId="1AE11371">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数据维护</w:t>
            </w:r>
          </w:p>
        </w:tc>
        <w:tc>
          <w:tcPr>
            <w:tcW w:w="1032" w:type="dxa"/>
            <w:tcBorders>
              <w:top w:val="nil"/>
              <w:left w:val="nil"/>
              <w:bottom w:val="single" w:color="auto" w:sz="4" w:space="0"/>
              <w:right w:val="single" w:color="auto" w:sz="4" w:space="0"/>
            </w:tcBorders>
            <w:vAlign w:val="center"/>
          </w:tcPr>
          <w:p w14:paraId="47B39EF5">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数据备份</w:t>
            </w:r>
          </w:p>
        </w:tc>
        <w:tc>
          <w:tcPr>
            <w:tcW w:w="3300" w:type="dxa"/>
            <w:tcBorders>
              <w:top w:val="nil"/>
              <w:left w:val="nil"/>
              <w:bottom w:val="single" w:color="auto" w:sz="4" w:space="0"/>
              <w:right w:val="single" w:color="auto" w:sz="4" w:space="0"/>
            </w:tcBorders>
            <w:vAlign w:val="center"/>
          </w:tcPr>
          <w:p w14:paraId="50E5ECBA">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数据定期备份及异常情况下的恢复。</w:t>
            </w:r>
          </w:p>
        </w:tc>
        <w:tc>
          <w:tcPr>
            <w:tcW w:w="3603" w:type="dxa"/>
            <w:tcBorders>
              <w:top w:val="nil"/>
              <w:left w:val="nil"/>
              <w:bottom w:val="single" w:color="auto" w:sz="4" w:space="0"/>
              <w:right w:val="single" w:color="auto" w:sz="4" w:space="0"/>
            </w:tcBorders>
            <w:vAlign w:val="center"/>
          </w:tcPr>
          <w:p w14:paraId="1FB77F9A">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乙方未按约定实施完成，一次扣1分，总计5分。</w:t>
            </w:r>
          </w:p>
        </w:tc>
        <w:tc>
          <w:tcPr>
            <w:tcW w:w="933" w:type="dxa"/>
            <w:tcBorders>
              <w:top w:val="nil"/>
              <w:left w:val="nil"/>
              <w:bottom w:val="single" w:color="auto" w:sz="4" w:space="0"/>
            </w:tcBorders>
            <w:vAlign w:val="center"/>
          </w:tcPr>
          <w:p w14:paraId="5DA6FD3A">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5</w:t>
            </w:r>
          </w:p>
        </w:tc>
      </w:tr>
      <w:tr w14:paraId="255747F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17" w:hRule="atLeast"/>
          <w:jc w:val="center"/>
        </w:trPr>
        <w:tc>
          <w:tcPr>
            <w:tcW w:w="895" w:type="dxa"/>
            <w:tcBorders>
              <w:top w:val="nil"/>
              <w:bottom w:val="single" w:color="auto" w:sz="4" w:space="0"/>
              <w:right w:val="single" w:color="auto" w:sz="4" w:space="0"/>
            </w:tcBorders>
            <w:vAlign w:val="center"/>
          </w:tcPr>
          <w:p w14:paraId="3A922A3A">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重大影响</w:t>
            </w:r>
          </w:p>
        </w:tc>
        <w:tc>
          <w:tcPr>
            <w:tcW w:w="1032" w:type="dxa"/>
            <w:tcBorders>
              <w:top w:val="nil"/>
              <w:left w:val="nil"/>
              <w:bottom w:val="single" w:color="auto" w:sz="4" w:space="0"/>
              <w:right w:val="single" w:color="auto" w:sz="4" w:space="0"/>
            </w:tcBorders>
            <w:vAlign w:val="center"/>
          </w:tcPr>
          <w:p w14:paraId="146AD29B">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重大影响</w:t>
            </w:r>
          </w:p>
        </w:tc>
        <w:tc>
          <w:tcPr>
            <w:tcW w:w="3300" w:type="dxa"/>
            <w:tcBorders>
              <w:top w:val="nil"/>
              <w:left w:val="nil"/>
              <w:bottom w:val="single" w:color="auto" w:sz="4" w:space="0"/>
              <w:right w:val="single" w:color="auto" w:sz="4" w:space="0"/>
            </w:tcBorders>
            <w:vAlign w:val="center"/>
          </w:tcPr>
          <w:p w14:paraId="611E4E7C">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重大影响，包括但不限于 ：非外部影响情况下（如网络供应商问题、云服务器运维方问题）系统非正常停运24小时及以上，或因乙方失误导致出现的重大安全事故、系统数据丢失、泄露、有关设备损坏。</w:t>
            </w:r>
          </w:p>
        </w:tc>
        <w:tc>
          <w:tcPr>
            <w:tcW w:w="3603" w:type="dxa"/>
            <w:tcBorders>
              <w:top w:val="nil"/>
              <w:left w:val="nil"/>
              <w:bottom w:val="single" w:color="auto" w:sz="4" w:space="0"/>
              <w:right w:val="single" w:color="auto" w:sz="4" w:space="0"/>
            </w:tcBorders>
            <w:vAlign w:val="center"/>
          </w:tcPr>
          <w:p w14:paraId="62B5E481">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由于乙方工作失误造成重大影响，根据影响程度，由甲方酌情扣除分数，上限 20 分。未出现重大影响不扣分。</w:t>
            </w:r>
          </w:p>
        </w:tc>
        <w:tc>
          <w:tcPr>
            <w:tcW w:w="933" w:type="dxa"/>
            <w:tcBorders>
              <w:top w:val="nil"/>
              <w:left w:val="nil"/>
              <w:bottom w:val="single" w:color="auto" w:sz="4" w:space="0"/>
            </w:tcBorders>
            <w:vAlign w:val="center"/>
          </w:tcPr>
          <w:p w14:paraId="770C138F">
            <w:pPr>
              <w:widowControl/>
              <w:adjustRightInd w:val="0"/>
              <w:snapToGrid w:val="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20</w:t>
            </w:r>
          </w:p>
        </w:tc>
      </w:tr>
      <w:tr w14:paraId="199345F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46" w:hRule="atLeast"/>
          <w:jc w:val="center"/>
        </w:trPr>
        <w:tc>
          <w:tcPr>
            <w:tcW w:w="895" w:type="dxa"/>
            <w:tcBorders>
              <w:top w:val="nil"/>
              <w:right w:val="single" w:color="auto" w:sz="4" w:space="0"/>
            </w:tcBorders>
            <w:vAlign w:val="center"/>
          </w:tcPr>
          <w:p w14:paraId="2070A1AE">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注：</w:t>
            </w:r>
          </w:p>
        </w:tc>
        <w:tc>
          <w:tcPr>
            <w:tcW w:w="8868" w:type="dxa"/>
            <w:gridSpan w:val="4"/>
            <w:tcBorders>
              <w:top w:val="single" w:color="auto" w:sz="4" w:space="0"/>
              <w:left w:val="nil"/>
            </w:tcBorders>
            <w:vAlign w:val="center"/>
          </w:tcPr>
          <w:p w14:paraId="1BF7469D">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1. 运维期间得到甲方肯定并提出嘉奖或收到表扬信的，1 次加 10 分；</w:t>
            </w:r>
          </w:p>
          <w:p w14:paraId="785CA390">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2. 运维期间有突出贡献得到甲方认可的，1 次加 10 分；</w:t>
            </w:r>
          </w:p>
          <w:p w14:paraId="14FBC3CD">
            <w:pPr>
              <w:widowControl/>
              <w:adjustRightInd w:val="0"/>
              <w:snapToGrid w:val="0"/>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3. 运维期间被甲方或其他相关部门、上级单位通报批评的，1次扣10分。</w:t>
            </w:r>
          </w:p>
        </w:tc>
      </w:tr>
    </w:tbl>
    <w:p w14:paraId="5C09651C">
      <w:pPr>
        <w:autoSpaceDE w:val="0"/>
        <w:autoSpaceDN w:val="0"/>
        <w:adjustRightInd w:val="0"/>
        <w:spacing w:line="360" w:lineRule="auto"/>
        <w:ind w:firstLine="645"/>
        <w:outlineLvl w:val="1"/>
        <w:rPr>
          <w:rFonts w:ascii="仿宋_GB2312" w:hAnsi="仿宋_GB2312" w:eastAsia="仿宋_GB2312" w:cs="仿宋_GB2312"/>
          <w:b/>
          <w:sz w:val="32"/>
          <w:szCs w:val="32"/>
        </w:rPr>
      </w:pPr>
      <w:r>
        <w:rPr>
          <w:rFonts w:hint="eastAsia" w:ascii="仿宋_GB2312" w:hAnsi="仿宋_GB2312" w:eastAsia="仿宋_GB2312" w:cs="仿宋_GB2312"/>
          <w:b/>
          <w:sz w:val="32"/>
          <w:szCs w:val="32"/>
        </w:rPr>
        <w:t>四、服务地点及</w:t>
      </w:r>
      <w:bookmarkEnd w:id="2"/>
      <w:r>
        <w:rPr>
          <w:rFonts w:hint="eastAsia" w:ascii="仿宋_GB2312" w:hAnsi="仿宋_GB2312" w:eastAsia="仿宋_GB2312" w:cs="仿宋_GB2312"/>
          <w:b/>
          <w:sz w:val="32"/>
          <w:szCs w:val="32"/>
        </w:rPr>
        <w:t>服务期限</w:t>
      </w:r>
    </w:p>
    <w:p w14:paraId="1E0355AB">
      <w:pPr>
        <w:autoSpaceDE w:val="0"/>
        <w:autoSpaceDN w:val="0"/>
        <w:adjustRightInd w:val="0"/>
        <w:spacing w:line="360" w:lineRule="auto"/>
        <w:ind w:firstLine="640" w:firstLineChars="200"/>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（一）服务地点：西安市智慧环保综合指挥中心，具体以甲方指定地点为准。</w:t>
      </w:r>
    </w:p>
    <w:p w14:paraId="3748ED81">
      <w:pPr>
        <w:autoSpaceDE w:val="0"/>
        <w:autoSpaceDN w:val="0"/>
        <w:adjustRightInd w:val="0"/>
        <w:spacing w:line="360" w:lineRule="auto"/>
        <w:ind w:firstLine="640" w:firstLineChars="200"/>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（二）服务期限：自合同签订之日起一年。</w:t>
      </w:r>
    </w:p>
    <w:p w14:paraId="602D6666">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3" w:name="_Toc6938"/>
      <w:r>
        <w:rPr>
          <w:rFonts w:hint="eastAsia" w:ascii="仿宋_GB2312" w:hAnsi="仿宋_GB2312" w:eastAsia="仿宋_GB2312" w:cs="仿宋_GB2312"/>
          <w:b/>
          <w:sz w:val="32"/>
          <w:szCs w:val="32"/>
        </w:rPr>
        <w:t>五、双方的权利和义务</w:t>
      </w:r>
      <w:bookmarkEnd w:id="3"/>
    </w:p>
    <w:p w14:paraId="79BE2A3F">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（一）甲方的权利义务</w:t>
      </w:r>
    </w:p>
    <w:p w14:paraId="70070FD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甲方有权享有乙方按照上述约定提供的服务，乙方提供的服务质量应当满足国家标准、地方标准、行业标准及甲方要求（多个标准之间相冲突的执行最高标准），确保西安市工地扬尘自动监控管理系统在合同期限内正常、稳定运行；</w:t>
      </w:r>
    </w:p>
    <w:p w14:paraId="45AACB2A">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甲方有权要求乙方安排符合本项目服务要求的人员提供服务，且提供的服务质量达到前述约定标准。如乙方违反协议约定，未安排适格人员或服务未达到服务质量要求的，甲方有权要求乙方限期改正，逾期未改正的或改正后仍不符合约定或给甲方造成损失的，乙方应承担相应的违约责任；</w:t>
      </w:r>
    </w:p>
    <w:p w14:paraId="0FA36F2D">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3.甲方依据合同对乙方的工作进行督促和检查。</w:t>
      </w:r>
    </w:p>
    <w:p w14:paraId="0D7B098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（二）乙方权利义务</w:t>
      </w:r>
    </w:p>
    <w:p w14:paraId="6E81D83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1.在服务实施过程中，甲方应为乙方提供必要的工作便利与指导，配合乙方履行职责。</w:t>
      </w:r>
    </w:p>
    <w:p w14:paraId="48FC3BD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2.乙方必须具有履行本合同书所需的技能，必须按照相关的职业准则完成其全部职责。</w:t>
      </w:r>
    </w:p>
    <w:p w14:paraId="17F0005F">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3.在合同履行过程中乙方如需另聘专家咨询或协助，在合同中乙方义务范围以内发生的费用，由乙方承担；超出合同中乙方义务范围并发生费用，应征得甲方书面同意后，由甲方承担费用。</w:t>
      </w:r>
    </w:p>
    <w:p w14:paraId="1E8D0AC8">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乙方为履行合同义务所派出的人员须经甲方审查同意。乙方应当保证服务人员连续稳定，保证交付工作正常进行，乙方确需更换现场人员的，应将更换理由书面告知甲方并取得同意；乙方人员引发的纠纷（包括但不限于：劳动争议、社会保险）等由乙方负责处理。</w:t>
      </w:r>
    </w:p>
    <w:p w14:paraId="5D648E7A">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5.乙方向甲方收取的合同报酬，是其关于本合同书的唯一报酬。乙方及其人员不得接受与本合同书有关的或与其承担义务有关的其他津贴、回扣等报酬和非直接支付。</w:t>
      </w:r>
    </w:p>
    <w:p w14:paraId="298D5785">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乙方不得将本合同下的义务全部或部分分包或转包给任何第三方，未经甲方书面同意擅自分包或转包的，甲方有权解除合同，要求乙方退还已收取费用，承担相当于合同总金额30%的违约金，违约金不足以弥补损失的，按照甲方的损失赔偿。</w:t>
      </w:r>
    </w:p>
    <w:p w14:paraId="431307B2">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7.如协议履行过程中相关系统不能正常运行或发生数据丢失等重大事故的，乙方应在收到甲方通知后2小时内响应，8小时内排除故障。</w:t>
      </w:r>
    </w:p>
    <w:p w14:paraId="66E8087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8.磋商文件、乙方的响应文件、澄清函、合同附件为本合同的有效组成部分，乙方应按照合同约定履行义务。</w:t>
      </w:r>
    </w:p>
    <w:p w14:paraId="6721ECC9">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r>
        <w:rPr>
          <w:rFonts w:hint="eastAsia" w:ascii="仿宋_GB2312" w:hAnsi="仿宋_GB2312" w:eastAsia="仿宋_GB2312" w:cs="仿宋_GB2312"/>
          <w:b/>
          <w:sz w:val="32"/>
          <w:szCs w:val="32"/>
        </w:rPr>
        <w:t>六、服务质量保证</w:t>
      </w:r>
    </w:p>
    <w:p w14:paraId="6393F9BA">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（一）乙方需建立高效的管理团队，项目团队组成</w:t>
      </w:r>
      <w:r>
        <w:rPr>
          <w:rFonts w:hint="eastAsia" w:ascii="仿宋_GB2312" w:hAnsi="仿宋_GB2312" w:eastAsia="仿宋_GB2312" w:cs="仿宋_GB2312"/>
          <w:bCs/>
          <w:sz w:val="32"/>
          <w:szCs w:val="32"/>
          <w:highlight w:val="none"/>
          <w:lang w:val="en-US" w:eastAsia="zh-CN"/>
        </w:rPr>
        <w:t>成员应具备相关行业经验，团队构成</w:t>
      </w:r>
      <w:r>
        <w:rPr>
          <w:rFonts w:hint="eastAsia" w:ascii="仿宋_GB2312" w:hAnsi="仿宋_GB2312" w:eastAsia="仿宋_GB2312" w:cs="仿宋_GB2312"/>
          <w:bCs/>
          <w:sz w:val="32"/>
          <w:szCs w:val="32"/>
        </w:rPr>
        <w:t>合理。</w:t>
      </w:r>
    </w:p>
    <w:p w14:paraId="52D33EA2">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（二）乙方需派一名项目负责人，直接与甲方沟通，项目经理接收甲方提出的问题与要求，并</w:t>
      </w:r>
      <w:r>
        <w:rPr>
          <w:rFonts w:hint="eastAsia" w:ascii="仿宋_GB2312" w:hAnsi="仿宋_GB2312" w:eastAsia="仿宋_GB2312" w:cs="仿宋_GB2312"/>
          <w:bCs/>
          <w:sz w:val="32"/>
          <w:szCs w:val="32"/>
          <w:highlight w:val="none"/>
          <w:lang w:val="en-US" w:eastAsia="zh-CN"/>
        </w:rPr>
        <w:t>在甲方要求的合理时间内</w:t>
      </w:r>
      <w:r>
        <w:rPr>
          <w:rFonts w:hint="eastAsia" w:ascii="仿宋_GB2312" w:hAnsi="仿宋_GB2312" w:eastAsia="仿宋_GB2312" w:cs="仿宋_GB2312"/>
          <w:bCs/>
          <w:sz w:val="32"/>
          <w:szCs w:val="32"/>
        </w:rPr>
        <w:t>及时反馈给工作组，解决在项目实施过程中遇到的问题。</w:t>
      </w:r>
    </w:p>
    <w:p w14:paraId="4536CF86">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（三）项目在实施过程中会出现不可预料的需求变更，乙方需积极配合甲方的需求变更，并按照变更后的需求继续实施。</w:t>
      </w:r>
    </w:p>
    <w:p w14:paraId="0FA73DD2">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（四）乙方需设有详细的技术资料档案和服务档案以便于更好地提供服务，项目结束后</w:t>
      </w:r>
      <w:r>
        <w:rPr>
          <w:rFonts w:hint="eastAsia" w:ascii="仿宋_GB2312" w:hAnsi="仿宋_GB2312" w:eastAsia="仿宋_GB2312" w:cs="仿宋_GB2312"/>
          <w:bCs/>
          <w:sz w:val="32"/>
          <w:szCs w:val="32"/>
          <w:highlight w:val="none"/>
          <w:lang w:val="en-US" w:eastAsia="zh-CN"/>
        </w:rPr>
        <w:t>5个工作日内，</w:t>
      </w:r>
      <w:r>
        <w:rPr>
          <w:rFonts w:hint="eastAsia" w:ascii="仿宋_GB2312" w:hAnsi="仿宋_GB2312" w:eastAsia="仿宋_GB2312" w:cs="仿宋_GB2312"/>
          <w:bCs/>
          <w:sz w:val="32"/>
          <w:szCs w:val="32"/>
        </w:rPr>
        <w:t>乙方须向甲方提交所有实施方案流程及说明文档。</w:t>
      </w:r>
      <w:r>
        <w:rPr>
          <w:rFonts w:hint="eastAsia" w:ascii="仿宋_GB2312" w:hAnsi="仿宋_GB2312" w:eastAsia="仿宋_GB2312" w:cs="仿宋_GB2312"/>
          <w:bCs/>
          <w:sz w:val="32"/>
          <w:szCs w:val="32"/>
          <w:highlight w:val="none"/>
          <w:lang w:val="en-US" w:eastAsia="zh-CN"/>
        </w:rPr>
        <w:t>乙方应当</w:t>
      </w:r>
      <w:r>
        <w:rPr>
          <w:rFonts w:hint="eastAsia" w:ascii="仿宋_GB2312" w:hAnsi="仿宋_GB2312" w:eastAsia="仿宋_GB2312" w:cs="仿宋_GB2312"/>
          <w:bCs/>
          <w:sz w:val="32"/>
          <w:szCs w:val="32"/>
          <w:highlight w:val="none"/>
        </w:rPr>
        <w:t>确保资料完整性和准确性。若乙方未能妥善保管上述资料，导致资料丢失或损坏，乙方应支付甲方违约金</w:t>
      </w:r>
      <w:r>
        <w:rPr>
          <w:rFonts w:hint="eastAsia" w:ascii="仿宋_GB2312" w:hAnsi="仿宋_GB2312" w:eastAsia="仿宋_GB2312" w:cs="仿宋_GB2312"/>
          <w:bCs/>
          <w:sz w:val="32"/>
          <w:szCs w:val="32"/>
          <w:highlight w:val="none"/>
          <w:lang w:val="en-US" w:eastAsia="zh-CN"/>
        </w:rPr>
        <w:t>合同金额的10%</w:t>
      </w:r>
      <w:r>
        <w:rPr>
          <w:rFonts w:hint="eastAsia" w:ascii="仿宋_GB2312" w:hAnsi="仿宋_GB2312" w:eastAsia="仿宋_GB2312" w:cs="仿宋_GB2312"/>
          <w:bCs/>
          <w:sz w:val="32"/>
          <w:szCs w:val="32"/>
          <w:highlight w:val="none"/>
        </w:rPr>
        <w:t>或赔偿因此给甲方造成的实际损失。</w:t>
      </w:r>
    </w:p>
    <w:p w14:paraId="51AEE7B1">
      <w:pPr>
        <w:spacing w:line="360" w:lineRule="auto"/>
        <w:ind w:firstLine="643" w:firstLineChars="200"/>
        <w:outlineLvl w:val="1"/>
        <w:rPr>
          <w:rFonts w:ascii="仿宋_GB2312" w:hAnsi="仿宋_GB2312" w:eastAsia="仿宋_GB2312" w:cs="仿宋_GB2312"/>
          <w:b/>
          <w:sz w:val="32"/>
          <w:szCs w:val="32"/>
        </w:rPr>
      </w:pPr>
      <w:bookmarkStart w:id="4" w:name="_Toc25596"/>
      <w:r>
        <w:rPr>
          <w:rFonts w:hint="eastAsia" w:ascii="仿宋_GB2312" w:hAnsi="仿宋_GB2312" w:eastAsia="仿宋_GB2312" w:cs="仿宋_GB2312"/>
          <w:b/>
          <w:sz w:val="32"/>
          <w:szCs w:val="32"/>
        </w:rPr>
        <w:t>七、知识产权</w:t>
      </w:r>
      <w:bookmarkEnd w:id="4"/>
    </w:p>
    <w:p w14:paraId="62BD4B36">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（一）本项目</w:t>
      </w:r>
      <w:r>
        <w:rPr>
          <w:rFonts w:hint="eastAsia" w:ascii="仿宋_GB2312" w:hAnsi="仿宋_GB2312" w:eastAsia="仿宋_GB2312" w:cs="仿宋_GB2312"/>
          <w:sz w:val="32"/>
          <w:szCs w:val="32"/>
          <w:lang w:val="en-US" w:eastAsia="zh-CN"/>
        </w:rPr>
        <w:t>产生的所有</w:t>
      </w:r>
      <w:r>
        <w:rPr>
          <w:rFonts w:hint="eastAsia" w:ascii="仿宋_GB2312" w:hAnsi="仿宋_GB2312" w:eastAsia="仿宋_GB2312" w:cs="仿宋_GB2312"/>
          <w:sz w:val="32"/>
          <w:szCs w:val="32"/>
        </w:rPr>
        <w:t>知识产权</w:t>
      </w:r>
      <w:r>
        <w:rPr>
          <w:rFonts w:hint="eastAsia" w:ascii="仿宋_GB2312" w:hAnsi="仿宋_GB2312" w:eastAsia="仿宋_GB2312" w:cs="仿宋_GB2312"/>
          <w:sz w:val="32"/>
          <w:szCs w:val="32"/>
          <w:lang w:eastAsia="zh-CN"/>
        </w:rPr>
        <w:t>，包括但不限于软件、文档、数据、技术方案、源代码及相关技术资料等，均</w:t>
      </w:r>
      <w:r>
        <w:rPr>
          <w:rFonts w:hint="eastAsia" w:ascii="仿宋_GB2312" w:hAnsi="仿宋_GB2312" w:eastAsia="仿宋_GB2312" w:cs="仿宋_GB2312"/>
          <w:sz w:val="32"/>
          <w:szCs w:val="32"/>
        </w:rPr>
        <w:t>归甲方所有。乙方未经甲方书面许可，不得以任何形式使用、复制、传播或授权第三方使用前述知识产权。若乙方违反本条款，甲方有权要求立即停止侵权行为，并有权要求乙方支付合同总价款20%的违约金，并赔偿因此给甲方造成的全部经济损失。</w:t>
      </w:r>
    </w:p>
    <w:p w14:paraId="240A9927">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（二）乙方无论出于任何目的如在其他地方使用该成果，必须经甲方</w:t>
      </w:r>
      <w:r>
        <w:rPr>
          <w:rFonts w:hint="eastAsia" w:ascii="仿宋_GB2312" w:hAnsi="仿宋_GB2312" w:eastAsia="仿宋_GB2312" w:cs="仿宋_GB2312"/>
          <w:sz w:val="32"/>
          <w:szCs w:val="32"/>
          <w:lang w:val="en-US" w:eastAsia="zh-CN"/>
        </w:rPr>
        <w:t>书面</w:t>
      </w:r>
      <w:r>
        <w:rPr>
          <w:rFonts w:hint="eastAsia" w:ascii="仿宋_GB2312" w:hAnsi="仿宋_GB2312" w:eastAsia="仿宋_GB2312" w:cs="仿宋_GB2312"/>
          <w:sz w:val="32"/>
          <w:szCs w:val="32"/>
        </w:rPr>
        <w:t>同意方可使用。乙方为执行本合同而提供的技术资料的使用权归甲方所有，且甲方拥有对该技术资料的修改权和再许可权。未经甲方书面同意，乙方不得擅自修改或再许可第三方使用。否则，贵甲方有权要求终止涉及到该中标知识产权的任何使用活动并保留追究</w:t>
      </w:r>
      <w:r>
        <w:rPr>
          <w:rFonts w:hint="eastAsia" w:ascii="仿宋_GB2312" w:hAnsi="仿宋_GB2312" w:eastAsia="仿宋_GB2312" w:cs="仿宋_GB2312"/>
          <w:sz w:val="32"/>
          <w:szCs w:val="32"/>
          <w:lang w:val="en-US" w:eastAsia="zh-CN"/>
        </w:rPr>
        <w:t>乙</w:t>
      </w:r>
      <w:r>
        <w:rPr>
          <w:rFonts w:hint="eastAsia" w:ascii="仿宋_GB2312" w:hAnsi="仿宋_GB2312" w:eastAsia="仿宋_GB2312" w:cs="仿宋_GB2312"/>
          <w:sz w:val="32"/>
          <w:szCs w:val="32"/>
        </w:rPr>
        <w:t xml:space="preserve">方相应的法律责任的权利。 </w:t>
      </w:r>
    </w:p>
    <w:p w14:paraId="1E6121AB">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（三）乙方为执行本合同而提供的技术资料使用权归甲方所有。</w:t>
      </w:r>
    </w:p>
    <w:p w14:paraId="2D920246">
      <w:pPr>
        <w:spacing w:line="360" w:lineRule="auto"/>
        <w:ind w:firstLine="643" w:firstLineChars="200"/>
        <w:outlineLvl w:val="1"/>
        <w:rPr>
          <w:rFonts w:ascii="仿宋_GB2312" w:hAnsi="仿宋_GB2312" w:eastAsia="仿宋_GB2312" w:cs="仿宋_GB2312"/>
          <w:b/>
          <w:sz w:val="32"/>
          <w:szCs w:val="32"/>
        </w:rPr>
      </w:pPr>
      <w:bookmarkStart w:id="5" w:name="_Toc29783"/>
      <w:r>
        <w:rPr>
          <w:rFonts w:hint="eastAsia" w:ascii="仿宋_GB2312" w:hAnsi="仿宋_GB2312" w:eastAsia="仿宋_GB2312" w:cs="仿宋_GB2312"/>
          <w:b/>
          <w:sz w:val="32"/>
          <w:szCs w:val="32"/>
        </w:rPr>
        <w:t>八、保密规定</w:t>
      </w:r>
      <w:bookmarkEnd w:id="5"/>
    </w:p>
    <w:p w14:paraId="737C28FC">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甲、乙双方及其各自的员工、代理人、顾问和其他参与本项目工作的人员（以下统称“保密人员”）应永久恪守</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签署或履行本合同而获知的对方秘密信息及其它秘密资料。若法律法规另有规定或经对方书面同意解除保密义务的情况除外。任何一方如将获知的对方秘密信息泄露给第三方，应赔偿因泄密而给对方造成的一切损失并承担相应的法律责任（包括刑事责任）。</w:t>
      </w:r>
    </w:p>
    <w:p w14:paraId="0CEB8678">
      <w:pPr>
        <w:snapToGrid w:val="0"/>
        <w:spacing w:line="360" w:lineRule="auto"/>
        <w:ind w:firstLine="643" w:firstLineChars="200"/>
        <w:outlineLvl w:val="1"/>
        <w:rPr>
          <w:rFonts w:ascii="仿宋_GB2312" w:hAnsi="仿宋_GB2312" w:eastAsia="仿宋_GB2312" w:cs="仿宋_GB2312"/>
          <w:b/>
          <w:sz w:val="32"/>
          <w:szCs w:val="32"/>
        </w:rPr>
      </w:pPr>
      <w:bookmarkStart w:id="6" w:name="_Toc29009"/>
      <w:r>
        <w:rPr>
          <w:rFonts w:hint="eastAsia" w:ascii="仿宋_GB2312" w:hAnsi="仿宋_GB2312" w:eastAsia="仿宋_GB2312" w:cs="仿宋_GB2312"/>
          <w:b/>
          <w:sz w:val="32"/>
          <w:szCs w:val="32"/>
        </w:rPr>
        <w:t>九、其他事项</w:t>
      </w:r>
      <w:bookmarkEnd w:id="6"/>
    </w:p>
    <w:p w14:paraId="5E9007A1">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（一）乙方不得转让、分包给其它单位或个人。</w:t>
      </w:r>
    </w:p>
    <w:p w14:paraId="0A0EB3F9">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（二）乙方的响应文件和承诺等内容将列入合同。</w:t>
      </w:r>
    </w:p>
    <w:p w14:paraId="284DD217">
      <w:pPr>
        <w:snapToGrid w:val="0"/>
        <w:spacing w:line="360" w:lineRule="auto"/>
        <w:ind w:firstLine="643" w:firstLineChars="200"/>
        <w:outlineLvl w:val="1"/>
        <w:rPr>
          <w:rFonts w:ascii="仿宋_GB2312" w:hAnsi="仿宋_GB2312" w:eastAsia="仿宋_GB2312" w:cs="仿宋_GB2312"/>
          <w:b/>
          <w:sz w:val="32"/>
          <w:szCs w:val="32"/>
        </w:rPr>
      </w:pPr>
      <w:bookmarkStart w:id="7" w:name="_Toc22962"/>
      <w:r>
        <w:rPr>
          <w:rFonts w:hint="eastAsia" w:ascii="仿宋_GB2312" w:hAnsi="仿宋_GB2312" w:eastAsia="仿宋_GB2312" w:cs="仿宋_GB2312"/>
          <w:b/>
          <w:sz w:val="32"/>
          <w:szCs w:val="32"/>
        </w:rPr>
        <w:t>十、验收</w:t>
      </w:r>
      <w:bookmarkEnd w:id="7"/>
    </w:p>
    <w:p w14:paraId="1AC33DEA">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（一）本项目验收费用，由乙方自行承担。</w:t>
      </w:r>
    </w:p>
    <w:p w14:paraId="1B705A65">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服务期满后，由乙方向甲方递交验收通知书，经甲方确认后，组织乙方进行系统验收（必要时甲方可委托具有相关资质的第三方检测机构/技术专家对本次服务进行系统验收，需要国家法定检验部门进行检验或验收的由乙方负责联系）。验收合格后，填写项目验收单作为对本次服务的最终认可。</w:t>
      </w:r>
    </w:p>
    <w:p w14:paraId="03B9F37B">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（三）验收依据：</w:t>
      </w:r>
    </w:p>
    <w:p w14:paraId="5416AAEE">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本合同及附加文本；</w:t>
      </w:r>
    </w:p>
    <w:p w14:paraId="0A8D2B19">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磋商文件、成交供应商的响应文件及澄清（承诺）函；</w:t>
      </w:r>
    </w:p>
    <w:p w14:paraId="44EBBAA8">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国家相应的标准、规范。</w:t>
      </w:r>
    </w:p>
    <w:p w14:paraId="7F0EC665">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8" w:name="_Toc1622"/>
      <w:r>
        <w:rPr>
          <w:rFonts w:hint="eastAsia" w:ascii="仿宋_GB2312" w:hAnsi="仿宋_GB2312" w:eastAsia="仿宋_GB2312" w:cs="仿宋_GB2312"/>
          <w:b/>
          <w:sz w:val="32"/>
          <w:szCs w:val="32"/>
        </w:rPr>
        <w:t>十一、违约责任</w:t>
      </w:r>
      <w:bookmarkEnd w:id="8"/>
    </w:p>
    <w:p w14:paraId="07FACF53">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（一）若乙方存在以下任一违约行为，应向甲方支付当于合同总价20%的违约金，并赔偿因此给甲方造成的全部损失（包括但不限于直接经济损失、间接经济损失及维权费用）：</w:t>
      </w:r>
    </w:p>
    <w:p w14:paraId="3E139F0C">
      <w:pPr>
        <w:autoSpaceDE w:val="0"/>
        <w:autoSpaceDN w:val="0"/>
        <w:adjustRightInd w:val="0"/>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val="en-US" w:eastAsia="zh-CN"/>
        </w:rPr>
        <w:t xml:space="preserve">1. </w:t>
      </w:r>
      <w:r>
        <w:rPr>
          <w:rFonts w:hint="eastAsia" w:ascii="仿宋_GB2312" w:hAnsi="仿宋_GB2312" w:eastAsia="仿宋_GB2312" w:cs="仿宋_GB2312"/>
          <w:bCs/>
          <w:sz w:val="32"/>
          <w:szCs w:val="32"/>
        </w:rPr>
        <w:t>未按合同要求提供服务或服务质量不能满足本次</w:t>
      </w:r>
      <w:r>
        <w:rPr>
          <w:rFonts w:hint="eastAsia" w:ascii="仿宋_GB2312" w:hAnsi="仿宋_GB2312" w:eastAsia="仿宋_GB2312" w:cs="仿宋_GB2312"/>
          <w:bCs/>
          <w:sz w:val="32"/>
          <w:szCs w:val="32"/>
          <w:lang w:val="en-US" w:eastAsia="zh-CN"/>
        </w:rPr>
        <w:t>磋商</w:t>
      </w:r>
      <w:r>
        <w:rPr>
          <w:rFonts w:hint="eastAsia" w:ascii="仿宋_GB2312" w:hAnsi="仿宋_GB2312" w:eastAsia="仿宋_GB2312" w:cs="仿宋_GB2312"/>
          <w:bCs/>
          <w:sz w:val="32"/>
          <w:szCs w:val="32"/>
        </w:rPr>
        <w:t>要求</w:t>
      </w:r>
      <w:r>
        <w:rPr>
          <w:rFonts w:hint="eastAsia" w:ascii="仿宋_GB2312" w:hAnsi="仿宋_GB2312" w:eastAsia="仿宋_GB2312" w:cs="仿宋_GB2312"/>
          <w:bCs/>
          <w:sz w:val="32"/>
          <w:szCs w:val="32"/>
          <w:lang w:eastAsia="zh-CN"/>
        </w:rPr>
        <w:t>；</w:t>
      </w:r>
    </w:p>
    <w:p w14:paraId="0A0332BA">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 xml:space="preserve"> 迟延履行超过10个工作日；</w:t>
      </w:r>
    </w:p>
    <w:p w14:paraId="2071EF53">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3</w:t>
      </w:r>
      <w:r>
        <w:rPr>
          <w:rFonts w:hint="eastAsia" w:ascii="仿宋_GB2312" w:hAnsi="仿宋_GB2312" w:eastAsia="仿宋_GB2312" w:cs="仿宋_GB2312"/>
          <w:bCs/>
          <w:sz w:val="32"/>
          <w:szCs w:val="32"/>
        </w:rPr>
        <w:t>. 人员配备不足或擅自更换核心人员；</w:t>
      </w:r>
    </w:p>
    <w:p w14:paraId="4B5EB5E4">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rPr>
        <w:t>. 其他违反合同约定的行为。</w:t>
      </w:r>
    </w:p>
    <w:p w14:paraId="34669405">
      <w:pPr>
        <w:autoSpaceDE w:val="0"/>
        <w:autoSpaceDN w:val="0"/>
        <w:adjustRightInd w:val="0"/>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违约金不足以弥补损失的，乙方应补足差额。</w:t>
      </w:r>
    </w:p>
    <w:p w14:paraId="017EF914">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（二）如乙方违约，甲方有权立即终止合同，并</w:t>
      </w:r>
      <w:r>
        <w:rPr>
          <w:rFonts w:hint="eastAsia" w:ascii="仿宋_GB2312" w:hAnsi="仿宋_GB2312" w:eastAsia="仿宋_GB2312" w:cs="仿宋_GB2312"/>
          <w:bCs/>
          <w:sz w:val="32"/>
          <w:szCs w:val="32"/>
        </w:rPr>
        <w:t>会同监督机构、采购代理机构有权终止合同和对乙方违约行为进行追究，同时按政府采购法的有关规定进行相应的处罚。</w:t>
      </w:r>
    </w:p>
    <w:p w14:paraId="05943513">
      <w:pPr>
        <w:autoSpaceDE w:val="0"/>
        <w:autoSpaceDN w:val="0"/>
        <w:adjustRightInd w:val="0"/>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三</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本协议未做约定的</w:t>
      </w:r>
      <w:r>
        <w:rPr>
          <w:rFonts w:hint="eastAsia" w:ascii="仿宋_GB2312" w:hAnsi="仿宋_GB2312" w:eastAsia="仿宋_GB2312" w:cs="仿宋_GB2312"/>
          <w:bCs/>
          <w:sz w:val="32"/>
          <w:szCs w:val="32"/>
        </w:rPr>
        <w:t>按《中华人民共和国民法典》中的相关条款执行</w:t>
      </w:r>
      <w:r>
        <w:rPr>
          <w:rFonts w:hint="eastAsia" w:ascii="仿宋_GB2312" w:hAnsi="仿宋_GB2312" w:eastAsia="仿宋_GB2312" w:cs="仿宋_GB2312"/>
          <w:bCs/>
          <w:sz w:val="32"/>
          <w:szCs w:val="32"/>
          <w:lang w:eastAsia="zh-CN"/>
        </w:rPr>
        <w:t>。</w:t>
      </w:r>
    </w:p>
    <w:p w14:paraId="572A31E8">
      <w:pPr>
        <w:numPr>
          <w:ilvl w:val="-1"/>
          <w:numId w:val="0"/>
        </w:numPr>
        <w:autoSpaceDE w:val="0"/>
        <w:autoSpaceDN w:val="0"/>
        <w:adjustRightInd w:val="0"/>
        <w:spacing w:line="360" w:lineRule="auto"/>
        <w:ind w:firstLine="643" w:firstLineChars="200"/>
        <w:rPr>
          <w:rFonts w:hint="default"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十二、其他约定</w:t>
      </w:r>
    </w:p>
    <w:p w14:paraId="4E0320C8">
      <w:pPr>
        <w:numPr>
          <w:ilvl w:val="-1"/>
          <w:numId w:val="0"/>
        </w:num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为更好的履行本合同，双方应以书面方式采用当面递交、快递方式向合同约定的地址发送相关通知。接收通知方拒收、无人接收或未查阅的，不影响通知送达的有效性。上述地址同时作为有效司法送达地址。一方变更接收通知方式的，应以书面形式向对方确认变更，否则视为未变更。</w:t>
      </w:r>
    </w:p>
    <w:p w14:paraId="280E6F33">
      <w:pPr>
        <w:numPr>
          <w:ilvl w:val="0"/>
          <w:numId w:val="0"/>
        </w:numPr>
        <w:autoSpaceDE w:val="0"/>
        <w:autoSpaceDN w:val="0"/>
        <w:adjustRightInd w:val="0"/>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（二）若发生供应链中断或其他不可抗力事件，乙方应及时通知甲方，并提供应急方案，确保服务的连续性和质量。</w:t>
      </w:r>
    </w:p>
    <w:p w14:paraId="5168F449">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9" w:name="_Toc1025"/>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val="en-US" w:eastAsia="zh-CN"/>
        </w:rPr>
        <w:t>三</w:t>
      </w:r>
      <w:r>
        <w:rPr>
          <w:rFonts w:hint="eastAsia" w:ascii="仿宋_GB2312" w:hAnsi="仿宋_GB2312" w:eastAsia="仿宋_GB2312" w:cs="仿宋_GB2312"/>
          <w:b/>
          <w:sz w:val="32"/>
          <w:szCs w:val="32"/>
        </w:rPr>
        <w:t>、合同争议解决的方式</w:t>
      </w:r>
      <w:bookmarkEnd w:id="9"/>
    </w:p>
    <w:p w14:paraId="20638E5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（一）本合同须经甲、乙双方的法定代表人（授权代表</w:t>
      </w:r>
      <w:r>
        <w:rPr>
          <w:rFonts w:hint="eastAsia" w:ascii="仿宋_GB2312" w:hAnsi="仿宋_GB2312" w:eastAsia="仿宋_GB2312" w:cs="仿宋_GB2312"/>
          <w:bCs/>
          <w:sz w:val="32"/>
          <w:szCs w:val="32"/>
          <w:lang w:val="en-US" w:eastAsia="zh-CN"/>
        </w:rPr>
        <w:t>或负责人</w:t>
      </w:r>
      <w:r>
        <w:rPr>
          <w:rFonts w:hint="eastAsia" w:ascii="仿宋_GB2312" w:hAnsi="仿宋_GB2312" w:eastAsia="仿宋_GB2312" w:cs="仿宋_GB2312"/>
          <w:bCs/>
          <w:sz w:val="32"/>
          <w:szCs w:val="32"/>
        </w:rPr>
        <w:t>）在合同书上签字并加盖本单位公章后正式生效。</w:t>
      </w:r>
    </w:p>
    <w:p w14:paraId="5B480084">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（二）合同生效后，甲、乙双方须严格执行本合同条款的规定，全面履行合同，</w:t>
      </w:r>
      <w:r>
        <w:rPr>
          <w:rFonts w:hint="eastAsia" w:ascii="仿宋_GB2312" w:hAnsi="仿宋_GB2312" w:eastAsia="仿宋_GB2312" w:cs="仿宋_GB2312"/>
          <w:bCs/>
          <w:sz w:val="32"/>
          <w:szCs w:val="32"/>
          <w:lang w:val="en-US" w:eastAsia="zh-CN"/>
        </w:rPr>
        <w:t>除合同明确约定外，</w:t>
      </w:r>
      <w:r>
        <w:rPr>
          <w:rFonts w:hint="eastAsia" w:ascii="仿宋_GB2312" w:hAnsi="仿宋_GB2312" w:eastAsia="仿宋_GB2312" w:cs="仿宋_GB2312"/>
          <w:bCs/>
          <w:sz w:val="32"/>
          <w:szCs w:val="32"/>
        </w:rPr>
        <w:t>违者按《中华人民共和国民法典》的有关规定承担相应责任。</w:t>
      </w:r>
    </w:p>
    <w:p w14:paraId="7C65B026">
      <w:pPr>
        <w:autoSpaceDE w:val="0"/>
        <w:autoSpaceDN w:val="0"/>
        <w:adjustRightIn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三</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双方因履行本协议产生争议的应积极协商处理，无法协商一致的，双方均有权将争议事项提交甲方所在地有管辖权的人民法院处理。</w:t>
      </w:r>
    </w:p>
    <w:p w14:paraId="1904B6C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四</w:t>
      </w:r>
      <w:r>
        <w:rPr>
          <w:rFonts w:hint="eastAsia" w:ascii="仿宋_GB2312" w:hAnsi="仿宋_GB2312" w:eastAsia="仿宋_GB2312" w:cs="仿宋_GB2312"/>
          <w:bCs/>
          <w:sz w:val="32"/>
          <w:szCs w:val="32"/>
        </w:rPr>
        <w:t>）本合同一式</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份，甲乙双方各执</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份。</w:t>
      </w:r>
    </w:p>
    <w:p w14:paraId="2A262969">
      <w:pPr>
        <w:autoSpaceDE w:val="0"/>
        <w:autoSpaceDN w:val="0"/>
        <w:adjustRightInd w:val="0"/>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五</w:t>
      </w:r>
      <w:r>
        <w:rPr>
          <w:rFonts w:hint="eastAsia" w:ascii="仿宋_GB2312" w:hAnsi="仿宋_GB2312" w:eastAsia="仿宋_GB2312" w:cs="仿宋_GB2312"/>
          <w:bCs/>
          <w:sz w:val="32"/>
          <w:szCs w:val="32"/>
        </w:rPr>
        <w:t>）本合同如有未尽事宜，甲、乙双方协商解决。</w:t>
      </w:r>
    </w:p>
    <w:tbl>
      <w:tblPr>
        <w:tblStyle w:val="8"/>
        <w:tblW w:w="0" w:type="auto"/>
        <w:jc w:val="center"/>
        <w:tblLayout w:type="fixed"/>
        <w:tblCellMar>
          <w:top w:w="0" w:type="dxa"/>
          <w:left w:w="108" w:type="dxa"/>
          <w:bottom w:w="0" w:type="dxa"/>
          <w:right w:w="108" w:type="dxa"/>
        </w:tblCellMar>
      </w:tblPr>
      <w:tblGrid>
        <w:gridCol w:w="4201"/>
        <w:gridCol w:w="4202"/>
      </w:tblGrid>
      <w:tr w14:paraId="43247944">
        <w:tblPrEx>
          <w:tblCellMar>
            <w:top w:w="0" w:type="dxa"/>
            <w:left w:w="108" w:type="dxa"/>
            <w:bottom w:w="0" w:type="dxa"/>
            <w:right w:w="108" w:type="dxa"/>
          </w:tblCellMar>
        </w:tblPrEx>
        <w:trPr>
          <w:trHeight w:val="567" w:hRule="exact"/>
          <w:jc w:val="center"/>
        </w:trPr>
        <w:tc>
          <w:tcPr>
            <w:tcW w:w="4201" w:type="dxa"/>
            <w:vAlign w:val="center"/>
          </w:tcPr>
          <w:p w14:paraId="311A9E4E">
            <w:pPr>
              <w:autoSpaceDE w:val="0"/>
              <w:autoSpaceDN w:val="0"/>
              <w:adjustRightInd w:val="0"/>
              <w:rPr>
                <w:rFonts w:ascii="仿宋_GB2312" w:hAnsi="仿宋_GB2312" w:eastAsia="仿宋_GB2312" w:cs="仿宋_GB2312"/>
                <w:spacing w:val="-20"/>
                <w:kern w:val="0"/>
                <w:sz w:val="32"/>
                <w:szCs w:val="32"/>
              </w:rPr>
            </w:pPr>
            <w:bookmarkStart w:id="10" w:name="_GoBack"/>
            <w:bookmarkEnd w:id="10"/>
            <w:r>
              <w:rPr>
                <w:rFonts w:hint="eastAsia" w:ascii="仿宋_GB2312" w:hAnsi="仿宋_GB2312" w:eastAsia="仿宋_GB2312" w:cs="仿宋_GB2312"/>
                <w:spacing w:val="-20"/>
                <w:kern w:val="0"/>
                <w:sz w:val="32"/>
                <w:szCs w:val="32"/>
              </w:rPr>
              <w:t>甲  方</w:t>
            </w:r>
          </w:p>
        </w:tc>
        <w:tc>
          <w:tcPr>
            <w:tcW w:w="4202" w:type="dxa"/>
            <w:vAlign w:val="center"/>
          </w:tcPr>
          <w:p w14:paraId="791B98E4">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乙  方</w:t>
            </w:r>
          </w:p>
        </w:tc>
      </w:tr>
      <w:tr w14:paraId="4E2BEB08">
        <w:tblPrEx>
          <w:tblCellMar>
            <w:top w:w="0" w:type="dxa"/>
            <w:left w:w="108" w:type="dxa"/>
            <w:bottom w:w="0" w:type="dxa"/>
            <w:right w:w="108" w:type="dxa"/>
          </w:tblCellMar>
        </w:tblPrEx>
        <w:trPr>
          <w:trHeight w:val="567" w:hRule="exact"/>
          <w:jc w:val="center"/>
        </w:trPr>
        <w:tc>
          <w:tcPr>
            <w:tcW w:w="4201" w:type="dxa"/>
            <w:vAlign w:val="center"/>
          </w:tcPr>
          <w:p w14:paraId="08B0283C">
            <w:pPr>
              <w:autoSpaceDE w:val="0"/>
              <w:autoSpaceDN w:val="0"/>
              <w:adjustRightInd w:val="0"/>
              <w:ind w:firstLine="980" w:firstLineChars="35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c>
          <w:tcPr>
            <w:tcW w:w="4202" w:type="dxa"/>
            <w:vAlign w:val="center"/>
          </w:tcPr>
          <w:p w14:paraId="17D5C455">
            <w:pPr>
              <w:autoSpaceDE w:val="0"/>
              <w:autoSpaceDN w:val="0"/>
              <w:adjustRightInd w:val="0"/>
              <w:ind w:firstLine="1120" w:firstLineChars="4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r>
      <w:tr w14:paraId="49044117">
        <w:tblPrEx>
          <w:tblCellMar>
            <w:top w:w="0" w:type="dxa"/>
            <w:left w:w="108" w:type="dxa"/>
            <w:bottom w:w="0" w:type="dxa"/>
            <w:right w:w="108" w:type="dxa"/>
          </w:tblCellMar>
        </w:tblPrEx>
        <w:trPr>
          <w:trHeight w:val="567" w:hRule="exact"/>
          <w:jc w:val="center"/>
        </w:trPr>
        <w:tc>
          <w:tcPr>
            <w:tcW w:w="4201" w:type="dxa"/>
            <w:vAlign w:val="center"/>
          </w:tcPr>
          <w:p w14:paraId="475ABD7B">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地址： </w:t>
            </w:r>
          </w:p>
        </w:tc>
        <w:tc>
          <w:tcPr>
            <w:tcW w:w="4202" w:type="dxa"/>
            <w:vAlign w:val="center"/>
          </w:tcPr>
          <w:p w14:paraId="49E7886F">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地址：</w:t>
            </w:r>
          </w:p>
        </w:tc>
      </w:tr>
      <w:tr w14:paraId="42A53ADE">
        <w:tblPrEx>
          <w:tblCellMar>
            <w:top w:w="0" w:type="dxa"/>
            <w:left w:w="108" w:type="dxa"/>
            <w:bottom w:w="0" w:type="dxa"/>
            <w:right w:w="108" w:type="dxa"/>
          </w:tblCellMar>
        </w:tblPrEx>
        <w:trPr>
          <w:trHeight w:val="567" w:hRule="exact"/>
          <w:jc w:val="center"/>
        </w:trPr>
        <w:tc>
          <w:tcPr>
            <w:tcW w:w="4201" w:type="dxa"/>
            <w:vAlign w:val="center"/>
          </w:tcPr>
          <w:p w14:paraId="27BE1750">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法定代表人 </w:t>
            </w:r>
          </w:p>
        </w:tc>
        <w:tc>
          <w:tcPr>
            <w:tcW w:w="4202" w:type="dxa"/>
            <w:vAlign w:val="center"/>
          </w:tcPr>
          <w:p w14:paraId="29127A74">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法定代表人</w:t>
            </w:r>
          </w:p>
        </w:tc>
      </w:tr>
      <w:tr w14:paraId="15A68CEC">
        <w:tblPrEx>
          <w:tblCellMar>
            <w:top w:w="0" w:type="dxa"/>
            <w:left w:w="108" w:type="dxa"/>
            <w:bottom w:w="0" w:type="dxa"/>
            <w:right w:w="108" w:type="dxa"/>
          </w:tblCellMar>
        </w:tblPrEx>
        <w:trPr>
          <w:trHeight w:val="567" w:hRule="exact"/>
          <w:jc w:val="center"/>
        </w:trPr>
        <w:tc>
          <w:tcPr>
            <w:tcW w:w="4201" w:type="dxa"/>
            <w:vAlign w:val="center"/>
          </w:tcPr>
          <w:p w14:paraId="5AAD223E">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或授权代表：</w:t>
            </w:r>
          </w:p>
        </w:tc>
        <w:tc>
          <w:tcPr>
            <w:tcW w:w="4202" w:type="dxa"/>
            <w:vAlign w:val="center"/>
          </w:tcPr>
          <w:p w14:paraId="1226FE08">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或授权代表：</w:t>
            </w:r>
          </w:p>
        </w:tc>
      </w:tr>
      <w:tr w14:paraId="77FD4B5C">
        <w:tblPrEx>
          <w:tblCellMar>
            <w:top w:w="0" w:type="dxa"/>
            <w:left w:w="108" w:type="dxa"/>
            <w:bottom w:w="0" w:type="dxa"/>
            <w:right w:w="108" w:type="dxa"/>
          </w:tblCellMar>
        </w:tblPrEx>
        <w:trPr>
          <w:trHeight w:val="567" w:hRule="exact"/>
          <w:jc w:val="center"/>
        </w:trPr>
        <w:tc>
          <w:tcPr>
            <w:tcW w:w="4201" w:type="dxa"/>
            <w:vAlign w:val="center"/>
          </w:tcPr>
          <w:p w14:paraId="248B2B23">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c>
          <w:tcPr>
            <w:tcW w:w="4202" w:type="dxa"/>
            <w:vAlign w:val="center"/>
          </w:tcPr>
          <w:p w14:paraId="78C82909">
            <w:pPr>
              <w:autoSpaceDE w:val="0"/>
              <w:autoSpaceDN w:val="0"/>
              <w:adjustRightInd w:val="0"/>
              <w:ind w:left="840" w:hanging="840" w:hangingChars="3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r>
      <w:tr w14:paraId="6DDE313B">
        <w:tblPrEx>
          <w:tblCellMar>
            <w:top w:w="0" w:type="dxa"/>
            <w:left w:w="108" w:type="dxa"/>
            <w:bottom w:w="0" w:type="dxa"/>
            <w:right w:w="108" w:type="dxa"/>
          </w:tblCellMar>
        </w:tblPrEx>
        <w:trPr>
          <w:trHeight w:val="567" w:hRule="exact"/>
          <w:jc w:val="center"/>
        </w:trPr>
        <w:tc>
          <w:tcPr>
            <w:tcW w:w="4201" w:type="dxa"/>
            <w:vAlign w:val="center"/>
          </w:tcPr>
          <w:p w14:paraId="3AA8481C">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c>
          <w:tcPr>
            <w:tcW w:w="4202" w:type="dxa"/>
            <w:vAlign w:val="center"/>
          </w:tcPr>
          <w:p w14:paraId="0E436734">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r>
      <w:tr w14:paraId="3C1EAEA6">
        <w:tblPrEx>
          <w:tblCellMar>
            <w:top w:w="0" w:type="dxa"/>
            <w:left w:w="108" w:type="dxa"/>
            <w:bottom w:w="0" w:type="dxa"/>
            <w:right w:w="108" w:type="dxa"/>
          </w:tblCellMar>
        </w:tblPrEx>
        <w:trPr>
          <w:trHeight w:val="567" w:hRule="exact"/>
          <w:jc w:val="center"/>
        </w:trPr>
        <w:tc>
          <w:tcPr>
            <w:tcW w:w="4201" w:type="dxa"/>
            <w:vAlign w:val="center"/>
          </w:tcPr>
          <w:p w14:paraId="0DA0519E">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c>
          <w:tcPr>
            <w:tcW w:w="4202" w:type="dxa"/>
            <w:vAlign w:val="center"/>
          </w:tcPr>
          <w:p w14:paraId="609E768C">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r>
      <w:tr w14:paraId="77EBE8D7">
        <w:tblPrEx>
          <w:tblCellMar>
            <w:top w:w="0" w:type="dxa"/>
            <w:left w:w="108" w:type="dxa"/>
            <w:bottom w:w="0" w:type="dxa"/>
            <w:right w:w="108" w:type="dxa"/>
          </w:tblCellMar>
        </w:tblPrEx>
        <w:trPr>
          <w:trHeight w:val="567" w:hRule="exact"/>
          <w:jc w:val="center"/>
        </w:trPr>
        <w:tc>
          <w:tcPr>
            <w:tcW w:w="4201" w:type="dxa"/>
            <w:vAlign w:val="center"/>
          </w:tcPr>
          <w:p w14:paraId="5477FD0F">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c>
          <w:tcPr>
            <w:tcW w:w="4202" w:type="dxa"/>
            <w:vAlign w:val="center"/>
          </w:tcPr>
          <w:p w14:paraId="1947A911">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r>
      <w:bookmarkEnd w:id="0"/>
    </w:tbl>
    <w:p w14:paraId="092478A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0E7BC4"/>
    <w:rsid w:val="00C34048"/>
    <w:rsid w:val="050471D5"/>
    <w:rsid w:val="053C7039"/>
    <w:rsid w:val="05711A44"/>
    <w:rsid w:val="07055153"/>
    <w:rsid w:val="07F933E3"/>
    <w:rsid w:val="09CF2980"/>
    <w:rsid w:val="09D0533B"/>
    <w:rsid w:val="0B6F77E5"/>
    <w:rsid w:val="0BE77DA2"/>
    <w:rsid w:val="110E7BC4"/>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DDC31CB"/>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5499</Words>
  <Characters>5574</Characters>
  <Lines>0</Lines>
  <Paragraphs>0</Paragraphs>
  <TotalTime>4</TotalTime>
  <ScaleCrop>false</ScaleCrop>
  <LinksUpToDate>false</LinksUpToDate>
  <CharactersWithSpaces>5739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2025-08-20T06:43:00Z</dcterms:created>
  <dc:creator>华采</dc:creator>
  <cp:lastModifiedBy>华采</cp:lastModifiedBy>
  <dcterms:modified xsi:type="dcterms:W3CDTF">2025-08-25T01:47:31Z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519511F9E5EA4CF2AFAE28B105E5CD60_11</vt:lpwstr>
  </property>
  <property fmtid="{D5CDD505-2E9C-101B-9397-08002B2CF9AE}" pid="4" name="KSOTemplateDocerSaveRecord">
    <vt:lpwstr>eyJoZGlkIjoiZjJhNzdmOTM5YmVkNWYxMDI1ZDJkZDk5YzNhZTc2YzAiLCJ1c2VySWQiOiIyNzA3NjExMTQifQ==</vt:lpwstr>
  </property>
</Properties>
</file>