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7CD56E">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rPr>
          <w:rFonts w:hint="eastAsia" w:ascii="方正小标宋简体" w:hAnsi="方正小标宋简体" w:eastAsia="方正小标宋简体" w:cs="方正小标宋简体"/>
          <w:b w:val="0"/>
          <w:bCs w:val="0"/>
          <w:spacing w:val="-5"/>
          <w:sz w:val="44"/>
          <w:szCs w:val="44"/>
        </w:rPr>
      </w:pPr>
      <w:bookmarkStart w:id="0" w:name="_Hlk107229277"/>
      <w:r>
        <w:rPr>
          <w:rFonts w:hint="eastAsia" w:ascii="方正小标宋简体" w:hAnsi="方正小标宋简体" w:eastAsia="方正小标宋简体" w:cs="方正小标宋简体"/>
          <w:b w:val="0"/>
          <w:bCs w:val="0"/>
          <w:spacing w:val="-5"/>
          <w:sz w:val="44"/>
          <w:szCs w:val="44"/>
        </w:rPr>
        <w:t>拟签订的合同条款文本</w:t>
      </w:r>
    </w:p>
    <w:bookmarkEnd w:id="0"/>
    <w:p w14:paraId="5885F525">
      <w:pPr>
        <w:adjustRightInd w:val="0"/>
        <w:snapToGrid w:val="0"/>
        <w:spacing w:line="360" w:lineRule="auto"/>
        <w:jc w:val="center"/>
        <w:rPr>
          <w:rFonts w:hint="eastAsia" w:hAnsi="宋体" w:eastAsia="宋体"/>
          <w:b/>
          <w:lang w:eastAsia="zh-CN"/>
        </w:rPr>
      </w:pPr>
      <w:r>
        <w:rPr>
          <w:rFonts w:hint="eastAsia" w:hAnsi="宋体"/>
          <w:b/>
          <w:lang w:eastAsia="zh-CN"/>
        </w:rPr>
        <w:t>（</w:t>
      </w:r>
      <w:r>
        <w:rPr>
          <w:rFonts w:hint="eastAsia" w:hAnsi="宋体"/>
          <w:b/>
          <w:lang w:val="en-US" w:eastAsia="zh-CN"/>
        </w:rPr>
        <w:t>最终以签订合同为准</w:t>
      </w:r>
      <w:r>
        <w:rPr>
          <w:rFonts w:hint="eastAsia" w:hAnsi="宋体"/>
          <w:b/>
          <w:lang w:eastAsia="zh-CN"/>
        </w:rPr>
        <w:t>）</w:t>
      </w:r>
    </w:p>
    <w:p w14:paraId="63124F6A">
      <w:pPr>
        <w:keepNext/>
        <w:keepLines w:val="0"/>
        <w:pageBreakBefore w:val="0"/>
        <w:widowControl/>
        <w:kinsoku/>
        <w:wordWrap w:val="0"/>
        <w:overflowPunct w:val="0"/>
        <w:topLinePunct w:val="0"/>
        <w:autoSpaceDE w:val="0"/>
        <w:autoSpaceDN w:val="0"/>
        <w:bidi w:val="0"/>
        <w:adjustRightInd w:val="0"/>
        <w:snapToGrid w:val="0"/>
        <w:spacing w:before="313" w:line="460" w:lineRule="exact"/>
        <w:jc w:val="center"/>
        <w:outlineLvl w:val="0"/>
        <w:rPr>
          <w:rFonts w:ascii="微软雅黑" w:hAnsi="微软雅黑" w:eastAsia="微软雅黑" w:cs="微软雅黑"/>
          <w:b/>
          <w:bCs/>
          <w:color w:val="auto"/>
          <w:spacing w:val="14"/>
          <w:position w:val="-3"/>
          <w:sz w:val="73"/>
          <w:szCs w:val="73"/>
        </w:rPr>
      </w:pPr>
    </w:p>
    <w:p w14:paraId="59D0AE54">
      <w:pPr>
        <w:keepNext/>
        <w:keepLines w:val="0"/>
        <w:pageBreakBefore w:val="0"/>
        <w:widowControl/>
        <w:kinsoku/>
        <w:wordWrap w:val="0"/>
        <w:overflowPunct w:val="0"/>
        <w:topLinePunct w:val="0"/>
        <w:autoSpaceDE w:val="0"/>
        <w:autoSpaceDN w:val="0"/>
        <w:bidi w:val="0"/>
        <w:adjustRightInd w:val="0"/>
        <w:snapToGrid w:val="0"/>
        <w:spacing w:before="313" w:line="460" w:lineRule="exact"/>
        <w:jc w:val="center"/>
        <w:outlineLvl w:val="0"/>
        <w:rPr>
          <w:rFonts w:ascii="微软雅黑" w:hAnsi="微软雅黑" w:eastAsia="微软雅黑" w:cs="微软雅黑"/>
          <w:b/>
          <w:bCs/>
          <w:color w:val="auto"/>
          <w:spacing w:val="14"/>
          <w:position w:val="-3"/>
          <w:sz w:val="73"/>
          <w:szCs w:val="73"/>
        </w:rPr>
      </w:pPr>
    </w:p>
    <w:p w14:paraId="76D10411">
      <w:pPr>
        <w:keepNext/>
        <w:keepLines w:val="0"/>
        <w:pageBreakBefore w:val="0"/>
        <w:widowControl/>
        <w:kinsoku/>
        <w:wordWrap w:val="0"/>
        <w:overflowPunct w:val="0"/>
        <w:topLinePunct w:val="0"/>
        <w:autoSpaceDE w:val="0"/>
        <w:autoSpaceDN w:val="0"/>
        <w:bidi w:val="0"/>
        <w:adjustRightInd w:val="0"/>
        <w:snapToGrid w:val="0"/>
        <w:spacing w:before="313" w:line="460" w:lineRule="exact"/>
        <w:jc w:val="center"/>
        <w:outlineLvl w:val="0"/>
        <w:rPr>
          <w:rFonts w:ascii="微软雅黑" w:hAnsi="微软雅黑" w:eastAsia="微软雅黑" w:cs="微软雅黑"/>
          <w:b/>
          <w:bCs/>
          <w:color w:val="auto"/>
          <w:sz w:val="73"/>
          <w:szCs w:val="73"/>
        </w:rPr>
      </w:pPr>
      <w:r>
        <w:rPr>
          <w:rFonts w:ascii="微软雅黑" w:hAnsi="微软雅黑" w:eastAsia="微软雅黑" w:cs="微软雅黑"/>
          <w:b/>
          <w:bCs/>
          <w:color w:val="auto"/>
          <w:spacing w:val="14"/>
          <w:position w:val="-3"/>
          <w:sz w:val="73"/>
          <w:szCs w:val="73"/>
        </w:rPr>
        <w:t>政府采购合同</w:t>
      </w:r>
    </w:p>
    <w:p w14:paraId="79380A96">
      <w:pPr>
        <w:pStyle w:val="6"/>
        <w:keepNext/>
        <w:keepLines w:val="0"/>
        <w:pageBreakBefore w:val="0"/>
        <w:widowControl/>
        <w:kinsoku/>
        <w:wordWrap w:val="0"/>
        <w:overflowPunct w:val="0"/>
        <w:topLinePunct w:val="0"/>
        <w:autoSpaceDE w:val="0"/>
        <w:autoSpaceDN w:val="0"/>
        <w:bidi w:val="0"/>
        <w:adjustRightInd w:val="0"/>
        <w:snapToGrid w:val="0"/>
        <w:spacing w:line="460" w:lineRule="exact"/>
      </w:pPr>
    </w:p>
    <w:p w14:paraId="4B5AAB9E">
      <w:pPr>
        <w:pStyle w:val="6"/>
        <w:keepNext/>
        <w:keepLines w:val="0"/>
        <w:pageBreakBefore w:val="0"/>
        <w:widowControl/>
        <w:kinsoku/>
        <w:wordWrap w:val="0"/>
        <w:overflowPunct w:val="0"/>
        <w:topLinePunct w:val="0"/>
        <w:autoSpaceDE w:val="0"/>
        <w:autoSpaceDN w:val="0"/>
        <w:bidi w:val="0"/>
        <w:adjustRightInd w:val="0"/>
        <w:snapToGrid w:val="0"/>
        <w:spacing w:line="460" w:lineRule="exact"/>
      </w:pPr>
    </w:p>
    <w:p w14:paraId="38DC45C7">
      <w:pPr>
        <w:pStyle w:val="6"/>
        <w:keepNext/>
        <w:keepLines w:val="0"/>
        <w:pageBreakBefore w:val="0"/>
        <w:widowControl/>
        <w:kinsoku/>
        <w:wordWrap w:val="0"/>
        <w:overflowPunct w:val="0"/>
        <w:topLinePunct w:val="0"/>
        <w:autoSpaceDE w:val="0"/>
        <w:autoSpaceDN w:val="0"/>
        <w:bidi w:val="0"/>
        <w:adjustRightInd w:val="0"/>
        <w:snapToGrid w:val="0"/>
        <w:spacing w:line="460" w:lineRule="exact"/>
      </w:pPr>
    </w:p>
    <w:p w14:paraId="1AA6AE8D">
      <w:pPr>
        <w:pStyle w:val="6"/>
        <w:keepNext/>
        <w:keepLines w:val="0"/>
        <w:pageBreakBefore w:val="0"/>
        <w:widowControl/>
        <w:kinsoku/>
        <w:wordWrap w:val="0"/>
        <w:overflowPunct w:val="0"/>
        <w:topLinePunct w:val="0"/>
        <w:autoSpaceDE w:val="0"/>
        <w:autoSpaceDN w:val="0"/>
        <w:bidi w:val="0"/>
        <w:adjustRightInd w:val="0"/>
        <w:snapToGrid w:val="0"/>
        <w:spacing w:line="460" w:lineRule="exact"/>
      </w:pPr>
    </w:p>
    <w:p w14:paraId="61F9AADC">
      <w:pPr>
        <w:pStyle w:val="6"/>
        <w:keepNext/>
        <w:keepLines w:val="0"/>
        <w:pageBreakBefore w:val="0"/>
        <w:widowControl/>
        <w:kinsoku/>
        <w:wordWrap w:val="0"/>
        <w:overflowPunct w:val="0"/>
        <w:topLinePunct w:val="0"/>
        <w:autoSpaceDE w:val="0"/>
        <w:autoSpaceDN w:val="0"/>
        <w:bidi w:val="0"/>
        <w:adjustRightInd w:val="0"/>
        <w:snapToGrid w:val="0"/>
        <w:spacing w:line="460" w:lineRule="exact"/>
      </w:pPr>
    </w:p>
    <w:p w14:paraId="0BAA74C0">
      <w:pPr>
        <w:pStyle w:val="6"/>
        <w:keepNext/>
        <w:keepLines w:val="0"/>
        <w:pageBreakBefore w:val="0"/>
        <w:widowControl/>
        <w:kinsoku/>
        <w:wordWrap w:val="0"/>
        <w:overflowPunct w:val="0"/>
        <w:topLinePunct w:val="0"/>
        <w:autoSpaceDE w:val="0"/>
        <w:autoSpaceDN w:val="0"/>
        <w:bidi w:val="0"/>
        <w:adjustRightInd w:val="0"/>
        <w:snapToGrid w:val="0"/>
        <w:spacing w:line="460" w:lineRule="exact"/>
      </w:pPr>
    </w:p>
    <w:p w14:paraId="1F9399F9">
      <w:pPr>
        <w:pStyle w:val="6"/>
        <w:keepNext/>
        <w:keepLines w:val="0"/>
        <w:pageBreakBefore w:val="0"/>
        <w:widowControl/>
        <w:kinsoku/>
        <w:wordWrap w:val="0"/>
        <w:overflowPunct w:val="0"/>
        <w:topLinePunct w:val="0"/>
        <w:autoSpaceDE w:val="0"/>
        <w:autoSpaceDN w:val="0"/>
        <w:bidi w:val="0"/>
        <w:adjustRightInd w:val="0"/>
        <w:snapToGrid w:val="0"/>
        <w:spacing w:line="460" w:lineRule="exact"/>
        <w:jc w:val="both"/>
      </w:pPr>
    </w:p>
    <w:p w14:paraId="1207654C">
      <w:pPr>
        <w:pStyle w:val="6"/>
        <w:keepNext/>
        <w:keepLines w:val="0"/>
        <w:pageBreakBefore w:val="0"/>
        <w:widowControl/>
        <w:kinsoku/>
        <w:wordWrap w:val="0"/>
        <w:overflowPunct w:val="0"/>
        <w:topLinePunct w:val="0"/>
        <w:autoSpaceDE w:val="0"/>
        <w:autoSpaceDN w:val="0"/>
        <w:bidi w:val="0"/>
        <w:adjustRightInd w:val="0"/>
        <w:snapToGrid w:val="0"/>
        <w:spacing w:line="460" w:lineRule="exact"/>
      </w:pPr>
    </w:p>
    <w:p w14:paraId="3EC65BEE">
      <w:pPr>
        <w:pStyle w:val="6"/>
        <w:keepNext/>
        <w:keepLines w:val="0"/>
        <w:pageBreakBefore w:val="0"/>
        <w:widowControl/>
        <w:kinsoku/>
        <w:wordWrap w:val="0"/>
        <w:overflowPunct w:val="0"/>
        <w:topLinePunct w:val="0"/>
        <w:autoSpaceDE w:val="0"/>
        <w:autoSpaceDN w:val="0"/>
        <w:bidi w:val="0"/>
        <w:adjustRightInd w:val="0"/>
        <w:snapToGrid w:val="0"/>
        <w:spacing w:line="460" w:lineRule="exact"/>
      </w:pPr>
    </w:p>
    <w:p w14:paraId="516DDAFE">
      <w:pPr>
        <w:pStyle w:val="6"/>
        <w:keepNext/>
        <w:keepLines w:val="0"/>
        <w:pageBreakBefore w:val="0"/>
        <w:widowControl/>
        <w:kinsoku/>
        <w:wordWrap w:val="0"/>
        <w:overflowPunct w:val="0"/>
        <w:topLinePunct w:val="0"/>
        <w:autoSpaceDE w:val="0"/>
        <w:autoSpaceDN w:val="0"/>
        <w:bidi w:val="0"/>
        <w:adjustRightInd w:val="0"/>
        <w:snapToGrid w:val="0"/>
        <w:spacing w:line="460" w:lineRule="exact"/>
      </w:pPr>
    </w:p>
    <w:p w14:paraId="129D3F5C">
      <w:pPr>
        <w:keepNext/>
        <w:keepLines w:val="0"/>
        <w:pageBreakBefore w:val="0"/>
        <w:widowControl/>
        <w:kinsoku/>
        <w:wordWrap w:val="0"/>
        <w:overflowPunct w:val="0"/>
        <w:topLinePunct w:val="0"/>
        <w:autoSpaceDE w:val="0"/>
        <w:autoSpaceDN w:val="0"/>
        <w:bidi w:val="0"/>
        <w:adjustRightInd w:val="0"/>
        <w:snapToGrid w:val="0"/>
        <w:spacing w:before="97" w:line="460" w:lineRule="exact"/>
        <w:ind w:left="2537" w:leftChars="324" w:hanging="1857" w:hangingChars="619"/>
        <w:rPr>
          <w:rFonts w:hint="eastAsia" w:ascii="黑体" w:hAnsi="黑体" w:eastAsia="黑体" w:cs="黑体"/>
          <w:sz w:val="30"/>
          <w:szCs w:val="30"/>
          <w:u w:val="single"/>
          <w:lang w:val="en-US" w:eastAsia="zh-CN"/>
          <w14:textOutline w14:w="5448" w14:cap="sq" w14:cmpd="sng">
            <w14:solidFill>
              <w14:srgbClr w14:val="000000"/>
            </w14:solidFill>
            <w14:prstDash w14:val="solid"/>
            <w14:bevel/>
          </w14:textOutline>
        </w:rPr>
      </w:pPr>
      <w:r>
        <w:rPr>
          <w:rFonts w:ascii="黑体" w:hAnsi="黑体" w:eastAsia="黑体" w:cs="黑体"/>
          <w:sz w:val="30"/>
          <w:szCs w:val="30"/>
          <w14:textOutline w14:w="5448" w14:cap="sq" w14:cmpd="sng">
            <w14:solidFill>
              <w14:srgbClr w14:val="000000"/>
            </w14:solidFill>
            <w14:prstDash w14:val="solid"/>
            <w14:bevel/>
          </w14:textOutline>
        </w:rPr>
        <w:t>项目名称：</w:t>
      </w:r>
      <w:r>
        <w:rPr>
          <w:rFonts w:hint="eastAsia" w:ascii="黑体" w:hAnsi="黑体" w:eastAsia="黑体" w:cs="黑体"/>
          <w:sz w:val="30"/>
          <w:szCs w:val="30"/>
          <w:u w:val="single"/>
          <w:lang w:val="en-US" w:eastAsia="zh-CN"/>
          <w14:textOutline w14:w="5448" w14:cap="sq" w14:cmpd="sng">
            <w14:solidFill>
              <w14:srgbClr w14:val="000000"/>
            </w14:solidFill>
            <w14:prstDash w14:val="solid"/>
            <w14:bevel/>
          </w14:textOutline>
        </w:rPr>
        <w:t xml:space="preserve">2025年西安市工地扬尘自动监控管理系统   </w:t>
      </w:r>
    </w:p>
    <w:p w14:paraId="7E109630">
      <w:pPr>
        <w:keepNext/>
        <w:keepLines w:val="0"/>
        <w:pageBreakBefore w:val="0"/>
        <w:widowControl/>
        <w:kinsoku/>
        <w:wordWrap w:val="0"/>
        <w:overflowPunct w:val="0"/>
        <w:topLinePunct w:val="0"/>
        <w:autoSpaceDE w:val="0"/>
        <w:autoSpaceDN w:val="0"/>
        <w:bidi w:val="0"/>
        <w:adjustRightInd w:val="0"/>
        <w:snapToGrid w:val="0"/>
        <w:spacing w:before="97" w:line="460" w:lineRule="exact"/>
        <w:ind w:left="2528" w:leftChars="1034" w:hanging="357" w:hangingChars="119"/>
        <w:rPr>
          <w:rFonts w:hint="default" w:ascii="黑体" w:hAnsi="黑体" w:eastAsia="黑体" w:cs="黑体"/>
          <w:sz w:val="30"/>
          <w:szCs w:val="30"/>
          <w:u w:val="single"/>
          <w:lang w:val="en-US" w:eastAsia="zh-CN"/>
        </w:rPr>
      </w:pPr>
      <w:r>
        <w:rPr>
          <w:rFonts w:hint="eastAsia" w:ascii="黑体" w:hAnsi="黑体" w:eastAsia="黑体" w:cs="黑体"/>
          <w:sz w:val="30"/>
          <w:szCs w:val="30"/>
          <w:u w:val="single"/>
          <w:lang w:val="en-US" w:eastAsia="zh-CN"/>
          <w14:textOutline w14:w="5448" w14:cap="sq" w14:cmpd="sng">
            <w14:solidFill>
              <w14:srgbClr w14:val="000000"/>
            </w14:solidFill>
            <w14:prstDash w14:val="solid"/>
            <w14:bevel/>
          </w14:textOutline>
        </w:rPr>
        <w:t xml:space="preserve">延续运维项目1                          </w:t>
      </w:r>
    </w:p>
    <w:p w14:paraId="0649E7CE">
      <w:pPr>
        <w:keepNext/>
        <w:keepLines w:val="0"/>
        <w:pageBreakBefore w:val="0"/>
        <w:widowControl/>
        <w:kinsoku/>
        <w:wordWrap w:val="0"/>
        <w:overflowPunct w:val="0"/>
        <w:topLinePunct w:val="0"/>
        <w:autoSpaceDE w:val="0"/>
        <w:autoSpaceDN w:val="0"/>
        <w:bidi w:val="0"/>
        <w:adjustRightInd w:val="0"/>
        <w:snapToGrid w:val="0"/>
        <w:spacing w:before="1" w:line="460" w:lineRule="exact"/>
        <w:ind w:left="932" w:leftChars="0" w:hanging="250" w:firstLineChars="0"/>
        <w:rPr>
          <w:rFonts w:hint="default" w:ascii="黑体" w:hAnsi="黑体" w:eastAsia="黑体" w:cs="黑体"/>
          <w:sz w:val="30"/>
          <w:szCs w:val="30"/>
          <w:lang w:val="en-US" w:eastAsia="zh-CN"/>
        </w:rPr>
      </w:pPr>
      <w:r>
        <w:rPr>
          <w:rFonts w:ascii="黑体" w:hAnsi="黑体" w:eastAsia="黑体" w:cs="黑体"/>
          <w:spacing w:val="-1"/>
          <w:sz w:val="30"/>
          <w:szCs w:val="30"/>
          <w14:textOutline w14:w="5448" w14:cap="sq" w14:cmpd="sng">
            <w14:solidFill>
              <w14:srgbClr w14:val="000000"/>
            </w14:solidFill>
            <w14:prstDash w14:val="solid"/>
            <w14:bevel/>
          </w14:textOutline>
        </w:rPr>
        <w:t>采购人（甲方</w:t>
      </w:r>
      <w:r>
        <w:rPr>
          <w:rFonts w:ascii="黑体" w:hAnsi="黑体" w:eastAsia="黑体" w:cs="黑体"/>
          <w:spacing w:val="17"/>
          <w:sz w:val="30"/>
          <w:szCs w:val="30"/>
          <w14:textOutline w14:w="5448" w14:cap="sq" w14:cmpd="sng">
            <w14:solidFill>
              <w14:srgbClr w14:val="000000"/>
            </w14:solidFill>
            <w14:prstDash w14:val="solid"/>
            <w14:bevel/>
          </w14:textOutline>
        </w:rPr>
        <w:t>）：</w:t>
      </w:r>
      <w:r>
        <w:rPr>
          <w:rFonts w:ascii="黑体" w:hAnsi="黑体" w:eastAsia="黑体" w:cs="黑体"/>
          <w:spacing w:val="-1"/>
          <w:sz w:val="30"/>
          <w:szCs w:val="30"/>
          <w:u w:val="single" w:color="000000"/>
          <w14:textOutline w14:w="5448" w14:cap="sq" w14:cmpd="sng">
            <w14:solidFill>
              <w14:srgbClr w14:val="000000"/>
            </w14:solidFill>
            <w14:prstDash w14:val="solid"/>
            <w14:bevel/>
          </w14:textOutline>
        </w:rPr>
        <w:t>西安市智慧环保综合指挥中心</w:t>
      </w:r>
      <w:r>
        <w:rPr>
          <w:rFonts w:hint="eastAsia" w:ascii="黑体" w:hAnsi="黑体" w:eastAsia="黑体" w:cs="黑体"/>
          <w:spacing w:val="-1"/>
          <w:sz w:val="30"/>
          <w:szCs w:val="30"/>
          <w:u w:val="single" w:color="000000"/>
          <w:lang w:val="en-US" w:eastAsia="zh-CN"/>
          <w14:textOutline w14:w="5448" w14:cap="sq" w14:cmpd="sng">
            <w14:solidFill>
              <w14:srgbClr w14:val="000000"/>
            </w14:solidFill>
            <w14:prstDash w14:val="solid"/>
            <w14:bevel/>
          </w14:textOutline>
        </w:rPr>
        <w:t xml:space="preserve">        </w:t>
      </w:r>
    </w:p>
    <w:p w14:paraId="216C59D6">
      <w:pPr>
        <w:pStyle w:val="6"/>
        <w:keepNext/>
        <w:keepLines w:val="0"/>
        <w:pageBreakBefore w:val="0"/>
        <w:widowControl/>
        <w:kinsoku/>
        <w:wordWrap w:val="0"/>
        <w:overflowPunct w:val="0"/>
        <w:topLinePunct w:val="0"/>
        <w:autoSpaceDE w:val="0"/>
        <w:autoSpaceDN w:val="0"/>
        <w:bidi w:val="0"/>
        <w:adjustRightInd w:val="0"/>
        <w:snapToGrid w:val="0"/>
        <w:spacing w:line="460" w:lineRule="exact"/>
        <w:ind w:left="932" w:leftChars="0" w:hanging="250" w:firstLineChars="0"/>
      </w:pPr>
    </w:p>
    <w:p w14:paraId="7EE183DF">
      <w:pPr>
        <w:keepNext/>
        <w:keepLines w:val="0"/>
        <w:pageBreakBefore w:val="0"/>
        <w:widowControl/>
        <w:kinsoku/>
        <w:wordWrap w:val="0"/>
        <w:overflowPunct w:val="0"/>
        <w:topLinePunct w:val="0"/>
        <w:autoSpaceDE w:val="0"/>
        <w:autoSpaceDN w:val="0"/>
        <w:bidi w:val="0"/>
        <w:adjustRightInd w:val="0"/>
        <w:snapToGrid w:val="0"/>
        <w:spacing w:before="97" w:line="460" w:lineRule="exact"/>
        <w:ind w:left="932" w:leftChars="0" w:hanging="250" w:firstLineChars="0"/>
        <w:rPr>
          <w:rFonts w:hint="default" w:ascii="黑体" w:hAnsi="黑体" w:eastAsia="黑体" w:cs="黑体"/>
          <w:sz w:val="30"/>
          <w:szCs w:val="30"/>
          <w:u w:val="single"/>
          <w:lang w:val="en-US" w:eastAsia="zh-CN"/>
        </w:rPr>
      </w:pPr>
      <w:r>
        <w:rPr>
          <w:rFonts w:ascii="黑体" w:hAnsi="黑体" w:eastAsia="黑体" w:cs="黑体"/>
          <w:spacing w:val="-1"/>
          <w:sz w:val="30"/>
          <w:szCs w:val="30"/>
          <w14:textOutline w14:w="5448" w14:cap="sq" w14:cmpd="sng">
            <w14:solidFill>
              <w14:srgbClr w14:val="000000"/>
            </w14:solidFill>
            <w14:prstDash w14:val="solid"/>
            <w14:bevel/>
          </w14:textOutline>
        </w:rPr>
        <w:t>供应商（乙方</w:t>
      </w:r>
      <w:r>
        <w:rPr>
          <w:rFonts w:ascii="黑体" w:hAnsi="黑体" w:eastAsia="黑体" w:cs="黑体"/>
          <w:spacing w:val="17"/>
          <w:sz w:val="30"/>
          <w:szCs w:val="30"/>
          <w14:textOutline w14:w="5448" w14:cap="sq" w14:cmpd="sng">
            <w14:solidFill>
              <w14:srgbClr w14:val="000000"/>
            </w14:solidFill>
            <w14:prstDash w14:val="solid"/>
            <w14:bevel/>
          </w14:textOutline>
        </w:rPr>
        <w:t>）：</w:t>
      </w:r>
      <w:r>
        <w:rPr>
          <w:rFonts w:hint="eastAsia" w:ascii="黑体" w:hAnsi="黑体" w:eastAsia="黑体" w:cs="黑体"/>
          <w:spacing w:val="17"/>
          <w:sz w:val="30"/>
          <w:szCs w:val="30"/>
          <w:u w:val="single"/>
          <w:lang w:val="en-US" w:eastAsia="zh-CN"/>
          <w14:textOutline w14:w="5448" w14:cap="sq" w14:cmpd="sng">
            <w14:solidFill>
              <w14:srgbClr w14:val="000000"/>
            </w14:solidFill>
            <w14:prstDash w14:val="solid"/>
            <w14:bevel/>
          </w14:textOutline>
        </w:rPr>
        <w:t xml:space="preserve">                           </w:t>
      </w:r>
    </w:p>
    <w:p w14:paraId="3CBA88D4">
      <w:pPr>
        <w:keepNext/>
        <w:keepLines w:val="0"/>
        <w:pageBreakBefore w:val="0"/>
        <w:widowControl/>
        <w:kinsoku/>
        <w:wordWrap w:val="0"/>
        <w:overflowPunct w:val="0"/>
        <w:topLinePunct w:val="0"/>
        <w:autoSpaceDE w:val="0"/>
        <w:autoSpaceDN w:val="0"/>
        <w:bidi w:val="0"/>
        <w:adjustRightInd w:val="0"/>
        <w:snapToGrid w:val="0"/>
        <w:spacing w:line="460" w:lineRule="exact"/>
        <w:ind w:left="932" w:leftChars="0" w:hanging="250" w:firstLineChars="0"/>
      </w:pPr>
      <w:r>
        <w:rPr>
          <w:rFonts w:ascii="黑体" w:hAnsi="黑体" w:eastAsia="黑体" w:cs="黑体"/>
          <w:spacing w:val="-13"/>
          <w:sz w:val="30"/>
          <w:szCs w:val="30"/>
          <w14:textOutline w14:w="5448" w14:cap="sq" w14:cmpd="sng">
            <w14:solidFill>
              <w14:srgbClr w14:val="000000"/>
            </w14:solidFill>
            <w14:prstDash w14:val="solid"/>
            <w14:bevel/>
          </w14:textOutline>
        </w:rPr>
        <w:t>签</w:t>
      </w:r>
      <w:r>
        <w:rPr>
          <w:rFonts w:hint="eastAsia" w:ascii="黑体" w:hAnsi="黑体" w:eastAsia="黑体" w:cs="黑体"/>
          <w:spacing w:val="-13"/>
          <w:sz w:val="30"/>
          <w:szCs w:val="30"/>
          <w:lang w:val="en-US" w:eastAsia="zh-CN"/>
          <w14:textOutline w14:w="5448" w14:cap="sq" w14:cmpd="sng">
            <w14:solidFill>
              <w14:srgbClr w14:val="000000"/>
            </w14:solidFill>
            <w14:prstDash w14:val="solid"/>
            <w14:bevel/>
          </w14:textOutline>
        </w:rPr>
        <w:t xml:space="preserve">   </w:t>
      </w:r>
      <w:r>
        <w:rPr>
          <w:rFonts w:ascii="黑体" w:hAnsi="黑体" w:eastAsia="黑体" w:cs="黑体"/>
          <w:spacing w:val="-13"/>
          <w:sz w:val="30"/>
          <w:szCs w:val="30"/>
          <w14:textOutline w14:w="5448" w14:cap="sq" w14:cmpd="sng">
            <w14:solidFill>
              <w14:srgbClr w14:val="000000"/>
            </w14:solidFill>
            <w14:prstDash w14:val="solid"/>
            <w14:bevel/>
          </w14:textOutline>
        </w:rPr>
        <w:t>订</w:t>
      </w:r>
      <w:r>
        <w:rPr>
          <w:rFonts w:hint="eastAsia" w:ascii="黑体" w:hAnsi="黑体" w:eastAsia="黑体" w:cs="黑体"/>
          <w:spacing w:val="-13"/>
          <w:sz w:val="30"/>
          <w:szCs w:val="30"/>
          <w:lang w:val="en-US" w:eastAsia="zh-CN"/>
          <w14:textOutline w14:w="5448" w14:cap="sq" w14:cmpd="sng">
            <w14:solidFill>
              <w14:srgbClr w14:val="000000"/>
            </w14:solidFill>
            <w14:prstDash w14:val="solid"/>
            <w14:bevel/>
          </w14:textOutline>
        </w:rPr>
        <w:t xml:space="preserve">  </w:t>
      </w:r>
      <w:r>
        <w:rPr>
          <w:rFonts w:ascii="黑体" w:hAnsi="黑体" w:eastAsia="黑体" w:cs="黑体"/>
          <w:spacing w:val="-13"/>
          <w:sz w:val="30"/>
          <w:szCs w:val="30"/>
          <w14:textOutline w14:w="5448" w14:cap="sq" w14:cmpd="sng">
            <w14:solidFill>
              <w14:srgbClr w14:val="000000"/>
            </w14:solidFill>
            <w14:prstDash w14:val="solid"/>
            <w14:bevel/>
          </w14:textOutline>
        </w:rPr>
        <w:t>日</w:t>
      </w:r>
      <w:r>
        <w:rPr>
          <w:rFonts w:hint="eastAsia" w:ascii="黑体" w:hAnsi="黑体" w:eastAsia="黑体" w:cs="黑体"/>
          <w:spacing w:val="-13"/>
          <w:sz w:val="30"/>
          <w:szCs w:val="30"/>
          <w:lang w:val="en-US" w:eastAsia="zh-CN"/>
          <w14:textOutline w14:w="5448" w14:cap="sq" w14:cmpd="sng">
            <w14:solidFill>
              <w14:srgbClr w14:val="000000"/>
            </w14:solidFill>
            <w14:prstDash w14:val="solid"/>
            <w14:bevel/>
          </w14:textOutline>
        </w:rPr>
        <w:t xml:space="preserve">  </w:t>
      </w:r>
      <w:r>
        <w:rPr>
          <w:rFonts w:ascii="黑体" w:hAnsi="黑体" w:eastAsia="黑体" w:cs="黑体"/>
          <w:spacing w:val="-13"/>
          <w:sz w:val="30"/>
          <w:szCs w:val="30"/>
          <w14:textOutline w14:w="5448" w14:cap="sq" w14:cmpd="sng">
            <w14:solidFill>
              <w14:srgbClr w14:val="000000"/>
            </w14:solidFill>
            <w14:prstDash w14:val="solid"/>
            <w14:bevel/>
          </w14:textOutline>
        </w:rPr>
        <w:t>期：</w:t>
      </w:r>
      <w:r>
        <w:rPr>
          <w:rFonts w:hint="eastAsia" w:ascii="黑体" w:hAnsi="黑体" w:eastAsia="黑体" w:cs="黑体"/>
          <w:spacing w:val="-13"/>
          <w:sz w:val="30"/>
          <w:szCs w:val="30"/>
          <w:u w:val="single" w:color="000000"/>
          <w:lang w:val="en-US" w:eastAsia="zh-CN"/>
          <w14:textOutline w14:w="5448" w14:cap="sq" w14:cmpd="sng">
            <w14:solidFill>
              <w14:srgbClr w14:val="000000"/>
            </w14:solidFill>
            <w14:prstDash w14:val="solid"/>
            <w14:bevel/>
          </w14:textOutline>
        </w:rPr>
        <w:t xml:space="preserve">          年           </w:t>
      </w:r>
      <w:r>
        <w:rPr>
          <w:rFonts w:ascii="黑体" w:hAnsi="黑体" w:eastAsia="黑体" w:cs="黑体"/>
          <w:spacing w:val="-13"/>
          <w:sz w:val="30"/>
          <w:szCs w:val="30"/>
          <w:u w:val="single" w:color="000000"/>
          <w14:textOutline w14:w="5448" w14:cap="sq" w14:cmpd="sng">
            <w14:solidFill>
              <w14:srgbClr w14:val="000000"/>
            </w14:solidFill>
            <w14:prstDash w14:val="solid"/>
            <w14:bevel/>
          </w14:textOutline>
        </w:rPr>
        <w:t>月</w:t>
      </w:r>
      <w:r>
        <w:rPr>
          <w:rFonts w:hint="eastAsia" w:ascii="黑体" w:hAnsi="黑体" w:eastAsia="黑体" w:cs="黑体"/>
          <w:spacing w:val="-13"/>
          <w:sz w:val="30"/>
          <w:szCs w:val="30"/>
          <w:u w:val="single" w:color="000000"/>
          <w:lang w:val="en-US" w:eastAsia="zh-CN"/>
          <w14:textOutline w14:w="5448" w14:cap="sq" w14:cmpd="sng">
            <w14:solidFill>
              <w14:srgbClr w14:val="000000"/>
            </w14:solidFill>
            <w14:prstDash w14:val="solid"/>
            <w14:bevel/>
          </w14:textOutline>
        </w:rPr>
        <w:t xml:space="preserve">           </w:t>
      </w:r>
      <w:r>
        <w:rPr>
          <w:rFonts w:ascii="黑体" w:hAnsi="黑体" w:eastAsia="黑体" w:cs="黑体"/>
          <w:spacing w:val="-13"/>
          <w:sz w:val="30"/>
          <w:szCs w:val="30"/>
          <w:u w:val="single" w:color="000000"/>
          <w14:textOutline w14:w="5448" w14:cap="sq" w14:cmpd="sng">
            <w14:solidFill>
              <w14:srgbClr w14:val="000000"/>
            </w14:solidFill>
            <w14:prstDash w14:val="solid"/>
            <w14:bevel/>
          </w14:textOutline>
        </w:rPr>
        <w:t>日</w:t>
      </w:r>
      <w:r>
        <w:rPr>
          <w:rFonts w:hint="eastAsia" w:ascii="黑体" w:hAnsi="黑体" w:eastAsia="黑体" w:cs="黑体"/>
          <w:spacing w:val="-13"/>
          <w:sz w:val="30"/>
          <w:szCs w:val="30"/>
          <w:u w:val="single" w:color="000000"/>
          <w:lang w:val="en-US" w:eastAsia="zh-CN"/>
          <w14:textOutline w14:w="5448" w14:cap="sq" w14:cmpd="sng">
            <w14:solidFill>
              <w14:srgbClr w14:val="000000"/>
            </w14:solidFill>
            <w14:prstDash w14:val="solid"/>
            <w14:bevel/>
          </w14:textOutline>
        </w:rPr>
        <w:t xml:space="preserve">  </w:t>
      </w:r>
    </w:p>
    <w:p w14:paraId="19FA38EA">
      <w:pPr>
        <w:keepNext/>
        <w:keepLines w:val="0"/>
        <w:pageBreakBefore w:val="0"/>
        <w:widowControl/>
        <w:kinsoku/>
        <w:wordWrap w:val="0"/>
        <w:overflowPunct w:val="0"/>
        <w:topLinePunct w:val="0"/>
        <w:autoSpaceDE w:val="0"/>
        <w:autoSpaceDN w:val="0"/>
        <w:bidi w:val="0"/>
        <w:adjustRightInd w:val="0"/>
        <w:snapToGrid w:val="0"/>
        <w:spacing w:before="98" w:line="460" w:lineRule="exact"/>
        <w:ind w:left="932" w:leftChars="0" w:hanging="250" w:firstLineChars="0"/>
        <w:rPr>
          <w:rFonts w:ascii="黑体" w:hAnsi="黑体" w:eastAsia="黑体" w:cs="黑体"/>
          <w:spacing w:val="-3"/>
          <w:sz w:val="30"/>
          <w:szCs w:val="30"/>
          <w14:textOutline w14:w="5448" w14:cap="sq" w14:cmpd="sng">
            <w14:solidFill>
              <w14:srgbClr w14:val="000000"/>
            </w14:solidFill>
            <w14:prstDash w14:val="solid"/>
            <w14:bevel/>
          </w14:textOutline>
        </w:rPr>
      </w:pPr>
    </w:p>
    <w:p w14:paraId="4192AFA6">
      <w:pPr>
        <w:keepNext/>
        <w:keepLines w:val="0"/>
        <w:pageBreakBefore w:val="0"/>
        <w:widowControl/>
        <w:kinsoku/>
        <w:wordWrap w:val="0"/>
        <w:overflowPunct w:val="0"/>
        <w:topLinePunct w:val="0"/>
        <w:autoSpaceDE w:val="0"/>
        <w:autoSpaceDN w:val="0"/>
        <w:bidi w:val="0"/>
        <w:adjustRightInd w:val="0"/>
        <w:snapToGrid w:val="0"/>
        <w:spacing w:before="98" w:line="460" w:lineRule="exact"/>
        <w:ind w:left="932" w:leftChars="0" w:hanging="250" w:firstLineChars="0"/>
        <w:rPr>
          <w:rFonts w:ascii="黑体" w:hAnsi="黑体" w:eastAsia="黑体" w:cs="黑体"/>
          <w:sz w:val="30"/>
          <w:szCs w:val="30"/>
        </w:rPr>
        <w:sectPr>
          <w:pgSz w:w="11906" w:h="16840"/>
          <w:pgMar w:top="1431" w:right="1785" w:bottom="0" w:left="1785" w:header="0" w:footer="0" w:gutter="0"/>
          <w:cols w:space="720" w:num="1"/>
          <w:docGrid w:linePitch="0" w:charSpace="0"/>
        </w:sectPr>
      </w:pPr>
      <w:r>
        <w:rPr>
          <w:rFonts w:ascii="黑体" w:hAnsi="黑体" w:eastAsia="黑体" w:cs="黑体"/>
          <w:spacing w:val="-3"/>
          <w:sz w:val="30"/>
          <w:szCs w:val="30"/>
          <w14:textOutline w14:w="5448" w14:cap="sq" w14:cmpd="sng">
            <w14:solidFill>
              <w14:srgbClr w14:val="000000"/>
            </w14:solidFill>
            <w14:prstDash w14:val="solid"/>
            <w14:bevel/>
          </w14:textOutline>
        </w:rPr>
        <w:t>签订地点：</w:t>
      </w:r>
      <w:r>
        <w:rPr>
          <w:rFonts w:ascii="黑体" w:hAnsi="黑体" w:eastAsia="黑体" w:cs="黑体"/>
          <w:spacing w:val="-3"/>
          <w:sz w:val="30"/>
          <w:szCs w:val="30"/>
          <w:u w:val="single" w:color="000000"/>
          <w14:textOutline w14:w="5448" w14:cap="sq" w14:cmpd="sng">
            <w14:solidFill>
              <w14:srgbClr w14:val="000000"/>
            </w14:solidFill>
            <w14:prstDash w14:val="solid"/>
            <w14:bevel/>
          </w14:textOutline>
        </w:rPr>
        <w:t>陕西·西安</w:t>
      </w:r>
    </w:p>
    <w:p w14:paraId="1F54A6EB">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根据《中华人民共和国政府采购法》《政府采购竞争性磋商采购方式管理暂行办法》《中华人民共和国民法典》及2025年西安市工地扬尘自动监控管理系统延续运维项目1  （项目编号：</w:t>
      </w:r>
      <w:r>
        <w:rPr>
          <w:rFonts w:hint="eastAsia" w:ascii="仿宋_GB2312" w:hAnsi="仿宋_GB2312" w:eastAsia="仿宋_GB2312" w:cs="仿宋_GB2312"/>
          <w:color w:val="auto"/>
          <w:sz w:val="20"/>
          <w:szCs w:val="20"/>
          <w:lang w:val="en-US" w:eastAsia="zh-CN"/>
        </w:rPr>
        <w:t>SXHC2025-139</w:t>
      </w:r>
      <w:r>
        <w:rPr>
          <w:rFonts w:hint="eastAsia" w:ascii="仿宋_GB2312" w:hAnsi="仿宋_GB2312" w:eastAsia="仿宋_GB2312" w:cs="仿宋_GB2312"/>
          <w:color w:val="auto"/>
          <w:sz w:val="20"/>
          <w:szCs w:val="20"/>
        </w:rPr>
        <w:t>）的《</w:t>
      </w:r>
      <w:r>
        <w:rPr>
          <w:rFonts w:hint="eastAsia" w:ascii="仿宋_GB2312" w:hAnsi="仿宋_GB2312" w:eastAsia="仿宋_GB2312" w:cs="仿宋_GB2312"/>
          <w:color w:val="auto"/>
          <w:sz w:val="20"/>
          <w:szCs w:val="20"/>
          <w:lang w:val="en-US" w:eastAsia="zh-CN"/>
        </w:rPr>
        <w:t>磋商</w:t>
      </w:r>
      <w:r>
        <w:rPr>
          <w:rFonts w:hint="eastAsia" w:ascii="仿宋_GB2312" w:hAnsi="仿宋_GB2312" w:eastAsia="仿宋_GB2312" w:cs="仿宋_GB2312"/>
          <w:color w:val="auto"/>
          <w:sz w:val="20"/>
          <w:szCs w:val="20"/>
        </w:rPr>
        <w:t>文件》、乙方的《</w:t>
      </w:r>
      <w:r>
        <w:rPr>
          <w:rFonts w:hint="eastAsia" w:ascii="仿宋_GB2312" w:hAnsi="仿宋_GB2312" w:eastAsia="仿宋_GB2312" w:cs="仿宋_GB2312"/>
          <w:color w:val="auto"/>
          <w:sz w:val="20"/>
          <w:szCs w:val="20"/>
          <w:lang w:val="en-US" w:eastAsia="zh-CN"/>
        </w:rPr>
        <w:t>响应</w:t>
      </w:r>
      <w:r>
        <w:rPr>
          <w:rFonts w:hint="eastAsia" w:ascii="仿宋_GB2312" w:hAnsi="仿宋_GB2312" w:eastAsia="仿宋_GB2312" w:cs="仿宋_GB2312"/>
          <w:color w:val="auto"/>
          <w:sz w:val="20"/>
          <w:szCs w:val="20"/>
        </w:rPr>
        <w:t>文件》及《</w:t>
      </w:r>
      <w:r>
        <w:rPr>
          <w:rFonts w:hint="eastAsia" w:ascii="仿宋_GB2312" w:hAnsi="仿宋_GB2312" w:eastAsia="仿宋_GB2312" w:cs="仿宋_GB2312"/>
          <w:color w:val="auto"/>
          <w:sz w:val="20"/>
          <w:szCs w:val="20"/>
          <w:lang w:val="en-US" w:eastAsia="zh-CN"/>
        </w:rPr>
        <w:t>成交</w:t>
      </w:r>
      <w:r>
        <w:rPr>
          <w:rFonts w:hint="eastAsia" w:ascii="仿宋_GB2312" w:hAnsi="仿宋_GB2312" w:eastAsia="仿宋_GB2312" w:cs="仿宋_GB2312"/>
          <w:color w:val="auto"/>
          <w:sz w:val="20"/>
          <w:szCs w:val="20"/>
        </w:rPr>
        <w:t>通知书》，甲、乙双方同意签订本合同。详细技术说明及其他有关合同项目的特定信息由合同附件予以说明，合同附件及本项目的</w:t>
      </w:r>
      <w:r>
        <w:rPr>
          <w:rFonts w:hint="eastAsia" w:ascii="仿宋_GB2312" w:hAnsi="仿宋_GB2312" w:eastAsia="仿宋_GB2312" w:cs="仿宋_GB2312"/>
          <w:color w:val="auto"/>
          <w:sz w:val="20"/>
          <w:szCs w:val="20"/>
          <w:lang w:val="en-US" w:eastAsia="zh-CN"/>
        </w:rPr>
        <w:t>磋商</w:t>
      </w:r>
      <w:r>
        <w:rPr>
          <w:rFonts w:hint="eastAsia" w:ascii="仿宋_GB2312" w:hAnsi="仿宋_GB2312" w:eastAsia="仿宋_GB2312" w:cs="仿宋_GB2312"/>
          <w:color w:val="auto"/>
          <w:sz w:val="20"/>
          <w:szCs w:val="20"/>
        </w:rPr>
        <w:t>文件、</w:t>
      </w:r>
      <w:r>
        <w:rPr>
          <w:rFonts w:hint="eastAsia" w:ascii="仿宋_GB2312" w:hAnsi="仿宋_GB2312" w:eastAsia="仿宋_GB2312" w:cs="仿宋_GB2312"/>
          <w:color w:val="auto"/>
          <w:sz w:val="20"/>
          <w:szCs w:val="20"/>
          <w:lang w:val="en-US" w:eastAsia="zh-CN"/>
        </w:rPr>
        <w:t>响应</w:t>
      </w:r>
      <w:r>
        <w:rPr>
          <w:rFonts w:hint="eastAsia" w:ascii="仿宋_GB2312" w:hAnsi="仿宋_GB2312" w:eastAsia="仿宋_GB2312" w:cs="仿宋_GB2312"/>
          <w:color w:val="auto"/>
          <w:sz w:val="20"/>
          <w:szCs w:val="20"/>
        </w:rPr>
        <w:t>文件、《</w:t>
      </w:r>
      <w:r>
        <w:rPr>
          <w:rFonts w:hint="eastAsia" w:ascii="仿宋_GB2312" w:hAnsi="仿宋_GB2312" w:eastAsia="仿宋_GB2312" w:cs="仿宋_GB2312"/>
          <w:color w:val="auto"/>
          <w:sz w:val="20"/>
          <w:szCs w:val="20"/>
          <w:lang w:val="en-US" w:eastAsia="zh-CN"/>
        </w:rPr>
        <w:t>成交</w:t>
      </w:r>
      <w:r>
        <w:rPr>
          <w:rFonts w:hint="eastAsia" w:ascii="仿宋_GB2312" w:hAnsi="仿宋_GB2312" w:eastAsia="仿宋_GB2312" w:cs="仿宋_GB2312"/>
          <w:color w:val="auto"/>
          <w:sz w:val="20"/>
          <w:szCs w:val="20"/>
        </w:rPr>
        <w:t>通知书》等均为本合同不可分割的部分。双方同意共同遵守如下条款：</w:t>
      </w:r>
    </w:p>
    <w:p w14:paraId="78FFFF7B">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1、合同文件</w:t>
      </w:r>
    </w:p>
    <w:p w14:paraId="657D004D">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下列文件构成本合同的组成部分，应该认为是一个整体，彼此相互解释，相互补充。为便于解释，组成合同的多个文件的优先支配地位的次序如下：</w:t>
      </w:r>
    </w:p>
    <w:p w14:paraId="5575439B">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a.本合同书以及本合同补充协议</w:t>
      </w:r>
    </w:p>
    <w:p w14:paraId="0AC75C27">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lang w:eastAsia="zh-CN"/>
        </w:rPr>
      </w:pPr>
      <w:r>
        <w:rPr>
          <w:rFonts w:hint="eastAsia" w:ascii="仿宋_GB2312" w:hAnsi="仿宋_GB2312" w:eastAsia="仿宋_GB2312" w:cs="仿宋_GB2312"/>
          <w:color w:val="auto"/>
          <w:sz w:val="20"/>
          <w:szCs w:val="20"/>
        </w:rPr>
        <w:t>b.</w:t>
      </w:r>
      <w:r>
        <w:rPr>
          <w:rFonts w:hint="eastAsia" w:ascii="仿宋_GB2312" w:hAnsi="仿宋_GB2312" w:eastAsia="仿宋_GB2312" w:cs="仿宋_GB2312"/>
          <w:color w:val="auto"/>
          <w:sz w:val="20"/>
          <w:szCs w:val="20"/>
          <w:lang w:eastAsia="zh-CN"/>
        </w:rPr>
        <w:t>成交通知书</w:t>
      </w:r>
    </w:p>
    <w:p w14:paraId="57EA6C89">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c.合同特殊条款</w:t>
      </w:r>
    </w:p>
    <w:p w14:paraId="6CA80D84">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d.合同一般条款</w:t>
      </w:r>
    </w:p>
    <w:p w14:paraId="09B458D1">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w:t>
      </w:r>
      <w:r>
        <w:rPr>
          <w:rFonts w:hint="eastAsia" w:ascii="仿宋_GB2312" w:hAnsi="仿宋_GB2312" w:eastAsia="仿宋_GB2312" w:cs="仿宋_GB2312"/>
          <w:color w:val="auto"/>
          <w:sz w:val="20"/>
          <w:szCs w:val="20"/>
          <w:lang w:val="en-US" w:eastAsia="zh-CN"/>
        </w:rPr>
        <w:t>磋商</w:t>
      </w:r>
      <w:r>
        <w:rPr>
          <w:rFonts w:hint="eastAsia" w:ascii="仿宋_GB2312" w:hAnsi="仿宋_GB2312" w:eastAsia="仿宋_GB2312" w:cs="仿宋_GB2312"/>
          <w:color w:val="auto"/>
          <w:sz w:val="20"/>
          <w:szCs w:val="20"/>
        </w:rPr>
        <w:t>文件（含澄清文件）</w:t>
      </w:r>
    </w:p>
    <w:p w14:paraId="14EC4983">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f.</w:t>
      </w:r>
      <w:r>
        <w:rPr>
          <w:rFonts w:hint="eastAsia" w:ascii="仿宋_GB2312" w:hAnsi="仿宋_GB2312" w:eastAsia="仿宋_GB2312" w:cs="仿宋_GB2312"/>
          <w:color w:val="auto"/>
          <w:sz w:val="20"/>
          <w:szCs w:val="20"/>
          <w:lang w:val="en-US" w:eastAsia="zh-CN"/>
        </w:rPr>
        <w:t>响应</w:t>
      </w:r>
      <w:r>
        <w:rPr>
          <w:rFonts w:hint="eastAsia" w:ascii="仿宋_GB2312" w:hAnsi="仿宋_GB2312" w:eastAsia="仿宋_GB2312" w:cs="仿宋_GB2312"/>
          <w:color w:val="auto"/>
          <w:sz w:val="20"/>
          <w:szCs w:val="20"/>
        </w:rPr>
        <w:t>文件（含</w:t>
      </w:r>
      <w:r>
        <w:rPr>
          <w:rFonts w:hint="eastAsia" w:ascii="仿宋_GB2312" w:hAnsi="仿宋_GB2312" w:eastAsia="仿宋_GB2312" w:cs="仿宋_GB2312"/>
          <w:color w:val="auto"/>
          <w:sz w:val="20"/>
          <w:szCs w:val="20"/>
          <w:lang w:eastAsia="zh-CN"/>
        </w:rPr>
        <w:t>磋商文件</w:t>
      </w:r>
      <w:r>
        <w:rPr>
          <w:rFonts w:hint="eastAsia" w:ascii="仿宋_GB2312" w:hAnsi="仿宋_GB2312" w:eastAsia="仿宋_GB2312" w:cs="仿宋_GB2312"/>
          <w:color w:val="auto"/>
          <w:sz w:val="20"/>
          <w:szCs w:val="20"/>
        </w:rPr>
        <w:t>补充通知）</w:t>
      </w:r>
    </w:p>
    <w:p w14:paraId="09C611E1">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g.本合同附件</w:t>
      </w:r>
    </w:p>
    <w:p w14:paraId="4D8B55A4">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同一层次的合同文件内容有矛盾的以制定时间较后的为准。</w:t>
      </w:r>
    </w:p>
    <w:p w14:paraId="42828D3F">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2、合同总价</w:t>
      </w:r>
    </w:p>
    <w:p w14:paraId="2CF229E4">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本合同</w:t>
      </w:r>
      <w:r>
        <w:rPr>
          <w:rFonts w:hint="eastAsia" w:ascii="仿宋_GB2312" w:hAnsi="仿宋_GB2312" w:eastAsia="仿宋_GB2312" w:cs="仿宋_GB2312"/>
          <w:color w:val="auto"/>
          <w:sz w:val="20"/>
          <w:szCs w:val="20"/>
          <w:lang w:val="en-US" w:eastAsia="zh-CN"/>
        </w:rPr>
        <w:t>含税</w:t>
      </w:r>
      <w:r>
        <w:rPr>
          <w:rFonts w:hint="eastAsia" w:ascii="仿宋_GB2312" w:hAnsi="仿宋_GB2312" w:eastAsia="仿宋_GB2312" w:cs="仿宋_GB2312"/>
          <w:color w:val="auto"/>
          <w:sz w:val="20"/>
          <w:szCs w:val="20"/>
        </w:rPr>
        <w:t>总价为</w:t>
      </w:r>
      <w:r>
        <w:rPr>
          <w:rFonts w:hint="eastAsia" w:ascii="仿宋_GB2312" w:hAnsi="仿宋_GB2312" w:eastAsia="仿宋_GB2312" w:cs="仿宋_GB2312"/>
          <w:color w:val="auto"/>
          <w:sz w:val="20"/>
          <w:szCs w:val="20"/>
          <w:u w:val="single"/>
          <w:lang w:val="en-US" w:eastAsia="zh-CN"/>
        </w:rPr>
        <w:t xml:space="preserve">         </w:t>
      </w:r>
      <w:r>
        <w:rPr>
          <w:rFonts w:hint="eastAsia" w:ascii="仿宋_GB2312" w:hAnsi="仿宋_GB2312" w:eastAsia="仿宋_GB2312" w:cs="仿宋_GB2312"/>
          <w:color w:val="auto"/>
          <w:sz w:val="20"/>
          <w:szCs w:val="20"/>
        </w:rPr>
        <w:t>元人民币</w:t>
      </w:r>
      <w:r>
        <w:rPr>
          <w:rFonts w:hint="eastAsia" w:ascii="仿宋_GB2312" w:hAnsi="仿宋_GB2312" w:eastAsia="仿宋_GB2312" w:cs="仿宋_GB2312"/>
          <w:color w:val="auto"/>
          <w:sz w:val="20"/>
          <w:szCs w:val="20"/>
          <w:lang w:eastAsia="zh-CN"/>
        </w:rPr>
        <w:t>，</w:t>
      </w:r>
      <w:r>
        <w:rPr>
          <w:rFonts w:hint="eastAsia" w:ascii="仿宋_GB2312" w:hAnsi="仿宋_GB2312" w:eastAsia="仿宋_GB2312" w:cs="仿宋_GB2312"/>
          <w:color w:val="auto"/>
          <w:sz w:val="20"/>
          <w:szCs w:val="20"/>
          <w:lang w:val="en-US" w:eastAsia="zh-CN"/>
        </w:rPr>
        <w:t>大写：</w:t>
      </w:r>
      <w:r>
        <w:rPr>
          <w:rFonts w:hint="eastAsia" w:ascii="仿宋_GB2312" w:hAnsi="仿宋_GB2312" w:eastAsia="仿宋_GB2312" w:cs="仿宋_GB2312"/>
          <w:color w:val="auto"/>
          <w:sz w:val="20"/>
          <w:szCs w:val="20"/>
          <w:u w:val="single"/>
          <w:lang w:val="en-US" w:eastAsia="zh-CN"/>
        </w:rPr>
        <w:t xml:space="preserve">         </w:t>
      </w:r>
      <w:r>
        <w:rPr>
          <w:rFonts w:hint="eastAsia" w:ascii="仿宋_GB2312" w:hAnsi="仿宋_GB2312" w:eastAsia="仿宋_GB2312" w:cs="仿宋_GB2312"/>
          <w:color w:val="auto"/>
          <w:sz w:val="20"/>
          <w:szCs w:val="20"/>
        </w:rPr>
        <w:t>。合同总价包括但不限于：相关税费、乙方完成本次采购所要求服务以及合同义务履行完毕的其他一切相关费用</w:t>
      </w:r>
      <w:r>
        <w:rPr>
          <w:rFonts w:hint="eastAsia" w:ascii="仿宋_GB2312" w:hAnsi="仿宋_GB2312" w:eastAsia="仿宋_GB2312" w:cs="仿宋_GB2312"/>
          <w:color w:val="auto"/>
          <w:sz w:val="20"/>
          <w:szCs w:val="20"/>
          <w:lang w:eastAsia="zh-CN"/>
        </w:rPr>
        <w:t>，</w:t>
      </w:r>
      <w:r>
        <w:rPr>
          <w:rFonts w:hint="eastAsia" w:ascii="仿宋_GB2312" w:hAnsi="仿宋_GB2312" w:eastAsia="仿宋_GB2312" w:cs="仿宋_GB2312"/>
          <w:color w:val="auto"/>
          <w:sz w:val="20"/>
          <w:szCs w:val="20"/>
          <w:lang w:val="en-US" w:eastAsia="zh-CN"/>
        </w:rPr>
        <w:t>除此之外，甲方不再另行向乙方支付其他任何款项</w:t>
      </w:r>
      <w:r>
        <w:rPr>
          <w:rFonts w:hint="eastAsia" w:ascii="仿宋_GB2312" w:hAnsi="仿宋_GB2312" w:eastAsia="仿宋_GB2312" w:cs="仿宋_GB2312"/>
          <w:color w:val="auto"/>
          <w:sz w:val="20"/>
          <w:szCs w:val="20"/>
        </w:rPr>
        <w:t>。</w:t>
      </w:r>
    </w:p>
    <w:p w14:paraId="30FDDCFA">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3、本合同项下的运维服务的期限及服务地点：</w:t>
      </w:r>
    </w:p>
    <w:p w14:paraId="20553397">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lang w:val="en-US" w:eastAsia="zh-CN"/>
        </w:rPr>
        <w:t>服务期限：</w:t>
      </w:r>
      <w:r>
        <w:rPr>
          <w:rFonts w:hint="eastAsia" w:ascii="仿宋_GB2312" w:hAnsi="仿宋_GB2312" w:eastAsia="仿宋_GB2312" w:cs="仿宋_GB2312"/>
          <w:color w:val="auto"/>
          <w:sz w:val="20"/>
          <w:szCs w:val="20"/>
          <w:highlight w:val="none"/>
          <w:lang w:val="en-US" w:eastAsia="zh-CN"/>
        </w:rPr>
        <w:t>自合同签订之日起1年</w:t>
      </w:r>
      <w:r>
        <w:rPr>
          <w:rFonts w:hint="eastAsia" w:ascii="仿宋_GB2312" w:hAnsi="仿宋_GB2312" w:eastAsia="仿宋_GB2312" w:cs="仿宋_GB2312"/>
          <w:color w:val="auto"/>
          <w:sz w:val="20"/>
          <w:szCs w:val="20"/>
          <w:highlight w:val="none"/>
        </w:rPr>
        <w:t>。</w:t>
      </w:r>
    </w:p>
    <w:p w14:paraId="470FF46E">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服务地点：西安市智慧环保综合指挥中心，具体以</w:t>
      </w:r>
      <w:r>
        <w:rPr>
          <w:rFonts w:hint="eastAsia" w:ascii="仿宋_GB2312" w:hAnsi="仿宋_GB2312" w:eastAsia="仿宋_GB2312" w:cs="仿宋_GB2312"/>
          <w:color w:val="auto"/>
          <w:sz w:val="20"/>
          <w:szCs w:val="20"/>
          <w:lang w:eastAsia="zh-CN"/>
        </w:rPr>
        <w:t>甲方</w:t>
      </w:r>
      <w:r>
        <w:rPr>
          <w:rFonts w:hint="eastAsia" w:ascii="仿宋_GB2312" w:hAnsi="仿宋_GB2312" w:eastAsia="仿宋_GB2312" w:cs="仿宋_GB2312"/>
          <w:color w:val="auto"/>
          <w:sz w:val="20"/>
          <w:szCs w:val="20"/>
        </w:rPr>
        <w:t>指定地点为准。</w:t>
      </w:r>
    </w:p>
    <w:p w14:paraId="620BB0B8">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4、付款方式</w:t>
      </w:r>
    </w:p>
    <w:p w14:paraId="45DA3257">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本合同的付款方式为：</w:t>
      </w:r>
      <w:r>
        <w:rPr>
          <w:rFonts w:hint="eastAsia" w:ascii="仿宋_GB2312" w:hAnsi="仿宋_GB2312" w:eastAsia="仿宋_GB2312" w:cs="仿宋_GB2312"/>
          <w:color w:val="auto"/>
          <w:sz w:val="20"/>
          <w:szCs w:val="20"/>
          <w:lang w:val="en-US" w:eastAsia="zh-CN"/>
        </w:rPr>
        <w:t>合同总价款小写：</w:t>
      </w:r>
      <w:r>
        <w:rPr>
          <w:rFonts w:hint="eastAsia" w:ascii="仿宋_GB2312" w:hAnsi="仿宋_GB2312" w:eastAsia="仿宋_GB2312" w:cs="仿宋_GB2312"/>
          <w:color w:val="auto"/>
          <w:sz w:val="20"/>
          <w:szCs w:val="20"/>
          <w:u w:val="single"/>
          <w:lang w:val="en-US" w:eastAsia="zh-CN"/>
        </w:rPr>
        <w:t xml:space="preserve">          </w:t>
      </w:r>
      <w:r>
        <w:rPr>
          <w:rFonts w:hint="eastAsia" w:ascii="仿宋_GB2312" w:hAnsi="仿宋_GB2312" w:eastAsia="仿宋_GB2312" w:cs="仿宋_GB2312"/>
          <w:color w:val="auto"/>
          <w:sz w:val="20"/>
          <w:szCs w:val="20"/>
          <w:lang w:val="en-US" w:eastAsia="zh-CN"/>
        </w:rPr>
        <w:t>，大写：</w:t>
      </w:r>
      <w:r>
        <w:rPr>
          <w:rFonts w:hint="eastAsia" w:ascii="仿宋_GB2312" w:hAnsi="仿宋_GB2312" w:eastAsia="仿宋_GB2312" w:cs="仿宋_GB2312"/>
          <w:color w:val="auto"/>
          <w:sz w:val="20"/>
          <w:szCs w:val="20"/>
          <w:u w:val="single"/>
          <w:lang w:val="en-US" w:eastAsia="zh-CN"/>
        </w:rPr>
        <w:t xml:space="preserve">               </w:t>
      </w:r>
      <w:r>
        <w:rPr>
          <w:rFonts w:hint="eastAsia" w:ascii="仿宋_GB2312" w:hAnsi="仿宋_GB2312" w:eastAsia="仿宋_GB2312" w:cs="仿宋_GB2312"/>
          <w:color w:val="auto"/>
          <w:sz w:val="20"/>
          <w:szCs w:val="20"/>
          <w:lang w:val="en-US" w:eastAsia="zh-CN"/>
        </w:rPr>
        <w:t>。</w:t>
      </w:r>
      <w:r>
        <w:rPr>
          <w:rFonts w:hint="eastAsia" w:ascii="仿宋_GB2312" w:hAnsi="仿宋_GB2312" w:eastAsia="仿宋_GB2312" w:cs="仿宋_GB2312"/>
          <w:color w:val="auto"/>
          <w:sz w:val="20"/>
          <w:szCs w:val="20"/>
        </w:rPr>
        <w:t>合同签订后支付合同价款的30%</w:t>
      </w:r>
      <w:r>
        <w:rPr>
          <w:rFonts w:hint="eastAsia" w:ascii="仿宋_GB2312" w:hAnsi="仿宋_GB2312" w:eastAsia="仿宋_GB2312" w:cs="仿宋_GB2312"/>
          <w:color w:val="auto"/>
          <w:sz w:val="20"/>
          <w:szCs w:val="20"/>
          <w:lang w:eastAsia="zh-CN"/>
        </w:rPr>
        <w:t>，</w:t>
      </w:r>
      <w:r>
        <w:rPr>
          <w:rFonts w:hint="eastAsia" w:ascii="仿宋_GB2312" w:hAnsi="仿宋_GB2312" w:eastAsia="仿宋_GB2312" w:cs="仿宋_GB2312"/>
          <w:color w:val="auto"/>
          <w:sz w:val="20"/>
          <w:szCs w:val="20"/>
          <w:lang w:val="en-US" w:eastAsia="zh-CN"/>
        </w:rPr>
        <w:t>即人民币小写：</w:t>
      </w:r>
      <w:r>
        <w:rPr>
          <w:rFonts w:hint="eastAsia" w:ascii="仿宋_GB2312" w:hAnsi="仿宋_GB2312" w:eastAsia="仿宋_GB2312" w:cs="仿宋_GB2312"/>
          <w:color w:val="auto"/>
          <w:sz w:val="20"/>
          <w:szCs w:val="20"/>
          <w:u w:val="single"/>
          <w:lang w:val="en-US" w:eastAsia="zh-CN"/>
        </w:rPr>
        <w:t xml:space="preserve">           </w:t>
      </w:r>
      <w:r>
        <w:rPr>
          <w:rFonts w:hint="eastAsia" w:ascii="仿宋_GB2312" w:hAnsi="仿宋_GB2312" w:eastAsia="仿宋_GB2312" w:cs="仿宋_GB2312"/>
          <w:color w:val="auto"/>
          <w:sz w:val="20"/>
          <w:szCs w:val="20"/>
          <w:lang w:val="en-US" w:eastAsia="zh-CN"/>
        </w:rPr>
        <w:t>，大写：</w:t>
      </w:r>
      <w:r>
        <w:rPr>
          <w:rFonts w:hint="eastAsia" w:ascii="仿宋_GB2312" w:hAnsi="仿宋_GB2312" w:eastAsia="仿宋_GB2312" w:cs="仿宋_GB2312"/>
          <w:color w:val="auto"/>
          <w:sz w:val="20"/>
          <w:szCs w:val="20"/>
          <w:u w:val="single"/>
          <w:lang w:val="en-US" w:eastAsia="zh-CN"/>
        </w:rPr>
        <w:t xml:space="preserve">            </w:t>
      </w:r>
      <w:r>
        <w:rPr>
          <w:rFonts w:hint="eastAsia" w:ascii="仿宋_GB2312" w:hAnsi="仿宋_GB2312" w:eastAsia="仿宋_GB2312" w:cs="仿宋_GB2312"/>
          <w:color w:val="auto"/>
          <w:sz w:val="20"/>
          <w:szCs w:val="20"/>
          <w:u w:val="none"/>
          <w:lang w:val="en-US" w:eastAsia="zh-CN"/>
        </w:rPr>
        <w:t xml:space="preserve"> 。</w:t>
      </w:r>
      <w:r>
        <w:rPr>
          <w:rFonts w:hint="eastAsia" w:ascii="仿宋_GB2312" w:hAnsi="仿宋_GB2312" w:eastAsia="仿宋_GB2312" w:cs="仿宋_GB2312"/>
          <w:color w:val="auto"/>
          <w:sz w:val="20"/>
          <w:szCs w:val="20"/>
        </w:rPr>
        <w:t>运维结束</w:t>
      </w:r>
      <w:r>
        <w:rPr>
          <w:rFonts w:hint="eastAsia" w:ascii="仿宋_GB2312" w:hAnsi="仿宋_GB2312" w:eastAsia="仿宋_GB2312" w:cs="仿宋_GB2312"/>
          <w:color w:val="auto"/>
          <w:sz w:val="20"/>
          <w:szCs w:val="20"/>
          <w:lang w:val="en-US" w:eastAsia="zh-CN"/>
        </w:rPr>
        <w:t>后</w:t>
      </w:r>
      <w:r>
        <w:rPr>
          <w:rFonts w:hint="eastAsia" w:ascii="仿宋_GB2312" w:hAnsi="仿宋_GB2312" w:eastAsia="仿宋_GB2312" w:cs="仿宋_GB2312"/>
          <w:color w:val="auto"/>
          <w:sz w:val="20"/>
          <w:szCs w:val="20"/>
        </w:rPr>
        <w:t>根据考核情况（考核标准详见附件2）支付</w:t>
      </w:r>
      <w:r>
        <w:rPr>
          <w:rFonts w:hint="eastAsia" w:ascii="仿宋_GB2312" w:hAnsi="仿宋_GB2312" w:eastAsia="仿宋_GB2312" w:cs="仿宋_GB2312"/>
          <w:color w:val="auto"/>
          <w:sz w:val="20"/>
          <w:szCs w:val="20"/>
          <w:lang w:val="en-US" w:eastAsia="zh-CN"/>
        </w:rPr>
        <w:t>合同</w:t>
      </w:r>
      <w:r>
        <w:rPr>
          <w:rFonts w:hint="eastAsia" w:ascii="仿宋_GB2312" w:hAnsi="仿宋_GB2312" w:eastAsia="仿宋_GB2312" w:cs="仿宋_GB2312"/>
          <w:color w:val="auto"/>
          <w:sz w:val="20"/>
          <w:szCs w:val="20"/>
        </w:rPr>
        <w:t>剩余</w:t>
      </w:r>
      <w:r>
        <w:rPr>
          <w:rFonts w:hint="eastAsia" w:ascii="仿宋_GB2312" w:hAnsi="仿宋_GB2312" w:eastAsia="仿宋_GB2312" w:cs="仿宋_GB2312"/>
          <w:color w:val="auto"/>
          <w:sz w:val="20"/>
          <w:szCs w:val="20"/>
          <w:lang w:val="en-US" w:eastAsia="zh-CN"/>
        </w:rPr>
        <w:t>款项</w:t>
      </w:r>
      <w:r>
        <w:rPr>
          <w:rFonts w:hint="eastAsia" w:ascii="仿宋_GB2312" w:hAnsi="仿宋_GB2312" w:eastAsia="仿宋_GB2312" w:cs="仿宋_GB2312"/>
          <w:color w:val="auto"/>
          <w:sz w:val="20"/>
          <w:szCs w:val="20"/>
        </w:rPr>
        <w:t>。乙方持发票、合同</w:t>
      </w:r>
      <w:r>
        <w:rPr>
          <w:rFonts w:hint="eastAsia" w:ascii="仿宋_GB2312" w:hAnsi="仿宋_GB2312" w:eastAsia="仿宋_GB2312" w:cs="仿宋_GB2312"/>
          <w:color w:val="auto"/>
          <w:sz w:val="20"/>
          <w:szCs w:val="20"/>
          <w:lang w:eastAsia="zh-CN"/>
        </w:rPr>
        <w:t>、</w:t>
      </w:r>
      <w:r>
        <w:rPr>
          <w:rFonts w:hint="eastAsia" w:ascii="仿宋_GB2312" w:hAnsi="仿宋_GB2312" w:eastAsia="仿宋_GB2312" w:cs="仿宋_GB2312"/>
          <w:color w:val="auto"/>
          <w:sz w:val="20"/>
          <w:szCs w:val="20"/>
          <w:lang w:val="en-US" w:eastAsia="zh-CN"/>
        </w:rPr>
        <w:t>验收单</w:t>
      </w:r>
      <w:r>
        <w:rPr>
          <w:rFonts w:hint="eastAsia" w:ascii="仿宋_GB2312" w:hAnsi="仿宋_GB2312" w:eastAsia="仿宋_GB2312" w:cs="仿宋_GB2312"/>
          <w:color w:val="auto"/>
          <w:sz w:val="20"/>
          <w:szCs w:val="20"/>
        </w:rPr>
        <w:t>，与甲方结算，乙方未开具有效、符合甲方要求发票的甲方有权拒绝付款且不承担任何违约责任。</w:t>
      </w:r>
    </w:p>
    <w:p w14:paraId="4026AC80">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在甲方付款前，乙方应当按照甲方付款金额提供符合甲方要求、国家规定的增值税发票，甲方收到发票核验无误后按照内部流程安排付款。如因乙方原因导致发票核验不通过，甲方有权拒绝付款且不承担任何违约责任。如因乙方原因导致甲方逾期付款的，甲方不承担任何责任。合同期内，若因政府财政集中拨付原因致甲方收款滞后，进而致使甲方在当期延迟向乙方支付的情形，乙方应给与甲方充分的谅解和豁免责任，不视同甲方违约。</w:t>
      </w:r>
    </w:p>
    <w:p w14:paraId="73B95CFB">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5、服务规范</w:t>
      </w:r>
    </w:p>
    <w:p w14:paraId="3B2BBDDD">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提交服务的技术规范应与</w:t>
      </w:r>
      <w:r>
        <w:rPr>
          <w:rFonts w:hint="eastAsia" w:ascii="仿宋_GB2312" w:hAnsi="仿宋_GB2312" w:eastAsia="仿宋_GB2312" w:cs="仿宋_GB2312"/>
          <w:color w:val="auto"/>
          <w:sz w:val="20"/>
          <w:szCs w:val="20"/>
          <w:lang w:eastAsia="zh-CN"/>
        </w:rPr>
        <w:t>磋商文件</w:t>
      </w:r>
      <w:r>
        <w:rPr>
          <w:rFonts w:hint="eastAsia" w:ascii="仿宋_GB2312" w:hAnsi="仿宋_GB2312" w:eastAsia="仿宋_GB2312" w:cs="仿宋_GB2312"/>
          <w:color w:val="auto"/>
          <w:sz w:val="20"/>
          <w:szCs w:val="20"/>
        </w:rPr>
        <w:t>规定的服务规范和服务规范附件（如果有的话）及</w:t>
      </w:r>
      <w:r>
        <w:rPr>
          <w:rFonts w:hint="eastAsia" w:ascii="仿宋_GB2312" w:hAnsi="仿宋_GB2312" w:eastAsia="仿宋_GB2312" w:cs="仿宋_GB2312"/>
          <w:color w:val="auto"/>
          <w:sz w:val="20"/>
          <w:szCs w:val="20"/>
          <w:lang w:val="en-US" w:eastAsia="zh-CN"/>
        </w:rPr>
        <w:t>乙方</w:t>
      </w:r>
      <w:r>
        <w:rPr>
          <w:rFonts w:hint="eastAsia" w:ascii="仿宋_GB2312" w:hAnsi="仿宋_GB2312" w:eastAsia="仿宋_GB2312" w:cs="仿宋_GB2312"/>
          <w:color w:val="auto"/>
          <w:sz w:val="20"/>
          <w:szCs w:val="20"/>
          <w:lang w:eastAsia="zh-CN"/>
        </w:rPr>
        <w:t>响应文件</w:t>
      </w:r>
      <w:r>
        <w:rPr>
          <w:rFonts w:hint="eastAsia" w:ascii="仿宋_GB2312" w:hAnsi="仿宋_GB2312" w:eastAsia="仿宋_GB2312" w:cs="仿宋_GB2312"/>
          <w:color w:val="auto"/>
          <w:sz w:val="20"/>
          <w:szCs w:val="20"/>
        </w:rPr>
        <w:t>的服务规范偏差表（如果被甲方接受的话）相一致。若服务规范中无相应说明，则以国家、地方、行业颁布的相应标准及规范中的最高标准为准。</w:t>
      </w:r>
    </w:p>
    <w:p w14:paraId="4A6E3B7A">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6、服务资料</w:t>
      </w:r>
    </w:p>
    <w:p w14:paraId="414D6AC3">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合同项下服务资料（除合同特殊条款规定外）将以下列方式交付：</w:t>
      </w:r>
    </w:p>
    <w:p w14:paraId="40559B12">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合同生效后15天之内，乙方应将针对该项目的书面服务资料一套交付甲方。甲方认为资料不全的可以要求乙方补充提供。</w:t>
      </w:r>
    </w:p>
    <w:p w14:paraId="2F634163">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7、延迟服务</w:t>
      </w:r>
    </w:p>
    <w:p w14:paraId="1BCEEBF5">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7.1.乙方应按照“服务内容及要求”中甲方规定的时间表提供服务。</w:t>
      </w:r>
    </w:p>
    <w:p w14:paraId="152CBD19">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7.2.如果乙方无正当理由（包括但不限于不可抗力及其他合理原因）迟延提供服务</w:t>
      </w:r>
      <w:r>
        <w:rPr>
          <w:rFonts w:hint="eastAsia" w:ascii="仿宋_GB2312" w:hAnsi="仿宋_GB2312" w:eastAsia="仿宋_GB2312" w:cs="仿宋_GB2312"/>
          <w:color w:val="auto"/>
          <w:sz w:val="20"/>
          <w:szCs w:val="20"/>
          <w:lang w:val="en-US" w:eastAsia="zh-CN"/>
        </w:rPr>
        <w:t>超过10日</w:t>
      </w:r>
      <w:r>
        <w:rPr>
          <w:rFonts w:hint="eastAsia" w:ascii="仿宋_GB2312" w:hAnsi="仿宋_GB2312" w:eastAsia="仿宋_GB2312" w:cs="仿宋_GB2312"/>
          <w:color w:val="auto"/>
          <w:sz w:val="20"/>
          <w:szCs w:val="20"/>
        </w:rPr>
        <w:t>，甲方有权提出解除合同并要求乙方支付相当于合同总金额30%的违约金。此外，乙方应立即采取有效补救措施（包括但不限于增加人员、延长服务时间等），以确保服务尽快恢复正常运行。对于乙方提供的服务质量不符合约定标准的情况，乙方应按当月服务费用的10%支付违约金，违约金不足以弥补损失的，按照甲方的实际损失赔偿。。</w:t>
      </w:r>
    </w:p>
    <w:p w14:paraId="7CCBAD8E">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lang w:eastAsia="zh-CN"/>
        </w:rPr>
      </w:pPr>
      <w:r>
        <w:rPr>
          <w:rFonts w:hint="eastAsia" w:ascii="仿宋_GB2312" w:hAnsi="仿宋_GB2312" w:eastAsia="仿宋_GB2312" w:cs="仿宋_GB2312"/>
          <w:color w:val="auto"/>
          <w:sz w:val="20"/>
          <w:szCs w:val="20"/>
        </w:rPr>
        <w:t>7.3.在履行合同过程中，如果乙方遇到不能按时提供服务的情况，应及时以书面形式将不能按时提供服务的理由、预期延误时间通知甲方。甲方收到乙方通知后，认为其理由正当的，可酌情延长提供服务时间。但延迟时间不得超过15日</w:t>
      </w:r>
      <w:r>
        <w:rPr>
          <w:rFonts w:hint="eastAsia" w:ascii="仿宋_GB2312" w:hAnsi="仿宋_GB2312" w:eastAsia="仿宋_GB2312" w:cs="仿宋_GB2312"/>
          <w:color w:val="auto"/>
          <w:sz w:val="20"/>
          <w:szCs w:val="20"/>
          <w:lang w:eastAsia="zh-CN"/>
        </w:rPr>
        <w:t>。</w:t>
      </w:r>
    </w:p>
    <w:p w14:paraId="5972FF76">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8、甲方的权利义务</w:t>
      </w:r>
    </w:p>
    <w:p w14:paraId="70070FDC">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8.1.甲方有权享有乙方按照上述约定提供的服务，乙方提供的服务质量应当满足国家标准、地方标准、行业标准及甲方要求（多个标准之间相冲突的执行最高标准），确保西安市工地扬尘自动监控管理系统在合同期限内正常、稳定运行；</w:t>
      </w:r>
    </w:p>
    <w:p w14:paraId="45AACB2A">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8.2.甲方有权要求乙方安排符合本项目服务要求的人员提供服务，且提供的服务质量达到前述约定标准。如乙方违反协议约定，未安排适格人员或服务未达到服务质量要求的，甲方有权要求乙方限期改正，逾期未改正的或改正后仍不符合约定或给甲方造成损失的，乙方应承担相应的</w:t>
      </w:r>
      <w:r>
        <w:rPr>
          <w:rFonts w:hint="eastAsia" w:ascii="仿宋_GB2312" w:hAnsi="仿宋_GB2312" w:eastAsia="仿宋_GB2312" w:cs="仿宋_GB2312"/>
          <w:color w:val="auto"/>
          <w:sz w:val="20"/>
          <w:szCs w:val="20"/>
          <w:lang w:val="en-US" w:eastAsia="zh-CN"/>
        </w:rPr>
        <w:t>违约</w:t>
      </w:r>
      <w:r>
        <w:rPr>
          <w:rFonts w:hint="eastAsia" w:ascii="仿宋_GB2312" w:hAnsi="仿宋_GB2312" w:eastAsia="仿宋_GB2312" w:cs="仿宋_GB2312"/>
          <w:color w:val="auto"/>
          <w:sz w:val="20"/>
          <w:szCs w:val="20"/>
        </w:rPr>
        <w:t>责任；</w:t>
      </w:r>
    </w:p>
    <w:p w14:paraId="0FA36F2D">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8.3.甲方依据合同对乙方的工作进行督促和检查；</w:t>
      </w:r>
    </w:p>
    <w:p w14:paraId="0D7B098B">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9、乙方权利义务</w:t>
      </w:r>
    </w:p>
    <w:p w14:paraId="6E81D83C">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9.1.在服务实施过程中，甲方应为乙方提供必要的工作便利与指导，配合乙方履行职责。</w:t>
      </w:r>
    </w:p>
    <w:p w14:paraId="48FC3BDC">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9.2.乙方必须具有履行本合同书所需的技能，包括但不限于：提供专业的运维服务、确保设备正常运行、及时响应甲方的需求、提供技术支持等，并必须按照相关的职业准则完成其全部职责。</w:t>
      </w:r>
    </w:p>
    <w:p w14:paraId="17F0005F">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9.3.在合同履行过程中乙方如需另聘专家咨询或协助，在合同中乙方义务范围以内发生的费用，由乙方承担；超出合同中乙方义务范围并发生费用，应征得甲方书面同意后，由甲方承担费用。</w:t>
      </w:r>
    </w:p>
    <w:p w14:paraId="1E8D0AC8">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9.4乙方为履行合同义务所派出的人员须经甲方审查同意。乙方应当保证服务人员连续稳定，保证交付工作正常进行，乙方确需更换现场人员的，应将更换理由书面告知甲方并取得同意；乙方人员引发的纠纷（包括但不限于：劳动争议、社会保险）等由乙方负责处理。</w:t>
      </w:r>
    </w:p>
    <w:p w14:paraId="5D648E7A">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9.5.乙方向甲方收取的合同报酬，是其关于本合同书的唯一报酬。乙方及其人员不得接受与本合同书有关的或与其承担义务有关的其他津贴、回扣等报酬和非直接支付。</w:t>
      </w:r>
    </w:p>
    <w:p w14:paraId="298D5785">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9.6.乙方不得将本合同下的义务全部或部分分包或转包给任何第三方，否则甲方有权解除合同，要求乙方退还已收取费用，承担相当于合同总金额30%的违约金，违约金不足以弥补损失的，按照甲方的损失赔偿。实际损失包括但不限于直接损失、间接损失、为减少违约损失支付的诉讼费用、律师费、差旅费等费用。</w:t>
      </w:r>
    </w:p>
    <w:p w14:paraId="431307B2">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9.7.如协议履行过程中相关系统不能正常运行的，乙方应在收到甲方通知后2小时内响应，8小时内排除故障。此外，乙方应立即采取有效补救措施，包括但不限于增加人员、延长服务时间等，以确保服务尽快恢复正常运行。</w:t>
      </w:r>
    </w:p>
    <w:p w14:paraId="66E8087B">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9.8.</w:t>
      </w:r>
      <w:r>
        <w:rPr>
          <w:rFonts w:hint="eastAsia" w:ascii="仿宋_GB2312" w:hAnsi="仿宋_GB2312" w:eastAsia="仿宋_GB2312" w:cs="仿宋_GB2312"/>
          <w:color w:val="auto"/>
          <w:sz w:val="20"/>
          <w:szCs w:val="20"/>
          <w:lang w:eastAsia="zh-CN"/>
        </w:rPr>
        <w:t>磋商文件</w:t>
      </w:r>
      <w:r>
        <w:rPr>
          <w:rFonts w:hint="eastAsia" w:ascii="仿宋_GB2312" w:hAnsi="仿宋_GB2312" w:eastAsia="仿宋_GB2312" w:cs="仿宋_GB2312"/>
          <w:color w:val="auto"/>
          <w:sz w:val="20"/>
          <w:szCs w:val="20"/>
        </w:rPr>
        <w:t>、乙方的</w:t>
      </w:r>
      <w:r>
        <w:rPr>
          <w:rFonts w:hint="eastAsia" w:ascii="仿宋_GB2312" w:hAnsi="仿宋_GB2312" w:eastAsia="仿宋_GB2312" w:cs="仿宋_GB2312"/>
          <w:color w:val="auto"/>
          <w:sz w:val="20"/>
          <w:szCs w:val="20"/>
          <w:lang w:eastAsia="zh-CN"/>
        </w:rPr>
        <w:t>响应文件</w:t>
      </w:r>
      <w:r>
        <w:rPr>
          <w:rFonts w:hint="eastAsia" w:ascii="仿宋_GB2312" w:hAnsi="仿宋_GB2312" w:eastAsia="仿宋_GB2312" w:cs="仿宋_GB2312"/>
          <w:color w:val="auto"/>
          <w:sz w:val="20"/>
          <w:szCs w:val="20"/>
        </w:rPr>
        <w:t>、澄清函、合同附件为本合同的有效组成部分，乙方应按照合同约定履行义务。</w:t>
      </w:r>
    </w:p>
    <w:p w14:paraId="2DC392C8">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10、送达</w:t>
      </w:r>
    </w:p>
    <w:p w14:paraId="5DE7FDF7">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10.1.本合同中涉及的所有“通知”、“同意”、“确认”等事项均应以书面形式做出，并作为依据。以书面信函形式或双方确认的传真或类似的通讯方式进行。采用信函方式的应当当面或使用具有良好信誉的快递递送，如当面递送，则一经面交即视为送达；如以邮寄形式发送，不论拒收还是退回，在投递三天后即视为送达。用传真或类似的通讯方式，通知日期即为通讯发出日期。</w:t>
      </w:r>
    </w:p>
    <w:p w14:paraId="1A5C3333">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10.2.双方因履行本合同或与本合同有关的一切通知都必须按照本合同中的地址送达。</w:t>
      </w:r>
    </w:p>
    <w:p w14:paraId="5A9C8379">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（1）如双方因本合同发生任何纠纷诉至法院，本合同所载的各方地址将作为各自司法送达地址，该送达地址适用一审、二审、再审、执行等各个诉讼阶段。</w:t>
      </w:r>
    </w:p>
    <w:p w14:paraId="12318353">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（2）一方送达地址变更的，应及时以书面形式通知另一方和法院；未按前述约定履行通知义务的，双方已确认的地址仍为有效送达地址。</w:t>
      </w:r>
    </w:p>
    <w:p w14:paraId="483F02E4">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11、保密</w:t>
      </w:r>
    </w:p>
    <w:p w14:paraId="6EC5F67D">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双方以及双方工作人员应当对本协议的内容、因履行本协议期间知悉的或收到的对方及其关联方、与合同有关的所有的财务、技术、数据等信息或其他标明保密的文件或信息（以下简称保密信息）予以保密，未经信息所有方事先书面同意，不得向本协议以外的任何第三方披露。如违反本条规定泄露对方的保密信息的，由此产生的法律责任由违约方承担，造成损失的，违约方依法应当按照合同总金额的10%承担违约责任，以上违约金不足以弥补守约方损失的按照守约方实际损失承担赔偿责任。</w:t>
      </w:r>
    </w:p>
    <w:p w14:paraId="0D576EBB">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以下信息无需保密：（1）该信息已为公众所知；（2）在未违反本协议的情况下，随后被公众所知的信息；（3）一方从某个无需遵守保密义务的本协议双方以外的第三方获得信息，并随即合法地拥有该信息。</w:t>
      </w:r>
    </w:p>
    <w:p w14:paraId="79DF69DF">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12.人员安全</w:t>
      </w:r>
    </w:p>
    <w:p w14:paraId="682FED97">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乙方承诺妥善处理与为甲方提供服务的运维人员劳动关系，为驻场运维人员缴纳社会保险或商业保险，驻场人员工作期间自身遭受损害或提起劳动争议等纠纷的，由乙方负责处理并承担责任，若因乙方或乙方工作人员原因造成甲方、甲方工作人员或第三人人身财产损害的，应由乙方承担赔偿责任。乙方对协议履行过程中的运维等乙方人员、财产安全负责，发生人身、财产损失事故的，由乙方承担赔偿责任。</w:t>
      </w:r>
    </w:p>
    <w:p w14:paraId="5CE51548">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13、知识产权</w:t>
      </w:r>
    </w:p>
    <w:p w14:paraId="71DDC704">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乙方应保证甲方在使用协议约定服务或其任何一部分时不受第三方提出的侵犯专利权、著作权、商标权和工业设计权等知识产权、其他合法权益的异议、起诉。如果任何第三方提出侵权指控，乙方须</w:t>
      </w:r>
      <w:r>
        <w:rPr>
          <w:rFonts w:hint="eastAsia" w:ascii="仿宋_GB2312" w:hAnsi="仿宋_GB2312" w:eastAsia="仿宋_GB2312" w:cs="仿宋_GB2312"/>
          <w:color w:val="auto"/>
          <w:sz w:val="20"/>
          <w:szCs w:val="20"/>
          <w:lang w:val="en-US" w:eastAsia="zh-CN"/>
        </w:rPr>
        <w:t>在收到通知后5个工作日内提供解决方案并负责</w:t>
      </w:r>
      <w:r>
        <w:rPr>
          <w:rFonts w:hint="eastAsia" w:ascii="仿宋_GB2312" w:hAnsi="仿宋_GB2312" w:eastAsia="仿宋_GB2312" w:cs="仿宋_GB2312"/>
          <w:color w:val="auto"/>
          <w:sz w:val="20"/>
          <w:szCs w:val="20"/>
        </w:rPr>
        <w:t>与第三方交涉并承担由此发生的一切责任、费用和经济赔偿。若甲方先行承担的，甲方有权利向乙方追偿，乙方须赔偿甲方因此所造成的一切损失。因乙方侵权造成甲方无法正常使用服务的，乙方应当及时出具解决方案（包括但不限于使用替代技术、购买侵权知识产权使用权等），费用由乙方承担，同时甲方有权解除合同并要求乙方退还全部合同款项，乙方承担相当于合同总金额30%的违约金，违约金不足以弥补损失的，按照甲方的损失赔偿。</w:t>
      </w:r>
    </w:p>
    <w:p w14:paraId="47A601FD">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甲方享有本合同项下所有应用软件模块独立的知识产权，技术成果归甲方所有，乙方应保护所有技术文件、应用软件产品的知识产权，乙方在任何时候均需遵守《中华人民共和国著作权法》及相关法律法规的规定，不得进行非法复制、销售、更改等侵害甲方知识产权的行为，否则视为乙方根本违约，甲方有权解除合同，并要求乙方承担相应的违约责任。甲方在本合同签署后，按规定支付给乙方预付款项后，即可获得本合同上述软件的所有权。</w:t>
      </w:r>
    </w:p>
    <w:p w14:paraId="2E0EAFB5">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14、不可抗力</w:t>
      </w:r>
    </w:p>
    <w:p w14:paraId="1D8E90B2">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14.1.如果双方中任何一方遭遇法律规定的不可抗力，致使合同履行受阻时，履行合同的期限应予延长，延长的期限应相当于不可抗力所影响的时间。在此期间，双方互不承担因不可抗力导致的任何违约责任。</w:t>
      </w:r>
    </w:p>
    <w:p w14:paraId="43EAD388">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14.2.受事故影响的一方应在不可抗力的事故发生后尽快书面形式通知另一方，并在事故发生后7天内，将有关部门出具的证明文件送达另一方。</w:t>
      </w:r>
    </w:p>
    <w:p w14:paraId="5504C32C">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14.3.不可抗力致使合同的某些内容有变更必要的，双方应通过协商在7日内达成进一步履行合同的协议，因不可抗力致使合同不能履行的，双方协商一致后合同终止。</w:t>
      </w:r>
    </w:p>
    <w:p w14:paraId="63B3C6D5">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15、违约责任及合同解除</w:t>
      </w:r>
    </w:p>
    <w:p w14:paraId="17B094E6">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15.1除合同第14条规定外，如果乙方没有按照合同规定的时间提供服务，甲方可要求乙方支付违约金。每延迟一日，按合同总金额的0.05%计收违约金。逾期超过十日的，甲方有权解除合同，要求乙方承担相当于合同总金额30%的违约金，违约金不足以弥补损失的，按照甲方的损失赔偿。因乙方交付产品不符合约定需采取补救措施导致延迟交付的，乙方仍需按照前述约定支付违约金；如因乙方产品不符合约定且在甲方指定时间内修改但仍不符合约定的，甲方可以解除合同并要求乙方退还甲方已支付款项并按照合同总金额的30%支付违约金。</w:t>
      </w:r>
    </w:p>
    <w:p w14:paraId="656663EB">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15.2在乙方违约的情况下，甲方可单方解除合同。同时保留向乙方追诉的权利。甲方有权要求乙方承担相当于合同总金额30%的违约金，违约金不足以弥补损失的，按照甲方的损失赔偿。</w:t>
      </w:r>
    </w:p>
    <w:p w14:paraId="1398FE18">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15.3乙方未能在合同规定的限期或甲方同意延长的限期内，提供全部或部分服务，乙方按本条15.1项的要求承担违约责任；</w:t>
      </w:r>
    </w:p>
    <w:p w14:paraId="2992C038">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15.4乙方未能履行合同规定的其他主要义务的；经甲方催告后，乙方逾期仍不改正的，甲方有权解除合同，要求乙方承担相当于合同总金额30%的违约金，违约金不足以弥补损失的，按照甲方的损失赔偿。</w:t>
      </w:r>
    </w:p>
    <w:p w14:paraId="48850CFE">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15.5在本合同履行过程中不得有腐败和欺诈行为。否则甲方有权解除合同，要求乙方承担相当于合同总金额30%的违约金，违约金不足以弥补损失的，按照甲方的损失赔偿。</w:t>
      </w:r>
    </w:p>
    <w:p w14:paraId="5F667B43">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“腐败行为”和“欺诈行为”定义如下：</w:t>
      </w:r>
    </w:p>
    <w:p w14:paraId="2AC20C5B">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“腐败行为”是指提供/给予/接受或索取任何有价值的东西来影响甲方在合同签订、履行过程中的行为。</w:t>
      </w:r>
    </w:p>
    <w:p w14:paraId="0092FA0D">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“欺诈行为”是指为了影响合同签订、履行过程，以谎报事实的方法，损害甲方的利益的行为。</w:t>
      </w:r>
    </w:p>
    <w:p w14:paraId="045719B1">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15.6在甲方根据本条规定，全部或部分解除合同之后，应当遵循诚实信用原则，全部或部分购买与未交付的服务类似的服务，乙方应承担甲方购买类似服务而产生的额外支出。部分解除合同的，乙方应继续履行合同中未解除的部分。</w:t>
      </w:r>
    </w:p>
    <w:p w14:paraId="3225F22E">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15.7.本协议中甲方损失包括但不限于直接损失、为减少违约损失支付的诉讼费用、律师费、差旅费等费用。</w:t>
      </w:r>
    </w:p>
    <w:p w14:paraId="6C69755E">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w:t>
      </w:r>
      <w:r>
        <w:rPr>
          <w:rFonts w:hint="eastAsia" w:ascii="仿宋_GB2312" w:hAnsi="仿宋_GB2312" w:eastAsia="仿宋_GB2312" w:cs="仿宋_GB2312"/>
          <w:color w:val="auto"/>
          <w:sz w:val="20"/>
          <w:szCs w:val="20"/>
          <w:lang w:val="en-US" w:eastAsia="zh-CN"/>
        </w:rPr>
        <w:t>8</w:t>
      </w:r>
      <w:r>
        <w:rPr>
          <w:rFonts w:hint="eastAsia" w:ascii="仿宋_GB2312" w:hAnsi="仿宋_GB2312" w:eastAsia="仿宋_GB2312" w:cs="仿宋_GB2312"/>
          <w:color w:val="auto"/>
          <w:sz w:val="20"/>
          <w:szCs w:val="20"/>
        </w:rPr>
        <w:t xml:space="preserve"> 若因乙方原因（包括但不限于服务质量问题、整改不到位等）导致甲方在合同履行期间产生额外支出（如聘请第三方协助完成任务），乙方应对此类额外支出进行全额补偿。</w:t>
      </w:r>
    </w:p>
    <w:p w14:paraId="5B6455E2">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16、税费</w:t>
      </w:r>
    </w:p>
    <w:p w14:paraId="3FE9D51A">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lang w:eastAsia="zh-CN"/>
        </w:rPr>
      </w:pPr>
      <w:r>
        <w:rPr>
          <w:rFonts w:hint="eastAsia" w:ascii="仿宋_GB2312" w:hAnsi="仿宋_GB2312" w:eastAsia="仿宋_GB2312" w:cs="仿宋_GB2312"/>
          <w:color w:val="auto"/>
          <w:sz w:val="20"/>
          <w:szCs w:val="20"/>
        </w:rPr>
        <w:t>本合同价款为含税价，与本合同有关的一切税费均适用中华人民共和国法律的相关规定。</w:t>
      </w:r>
    </w:p>
    <w:p w14:paraId="11CC5BF4">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17、合同争议的解决</w:t>
      </w:r>
    </w:p>
    <w:p w14:paraId="26AACA66">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双方在本合同履行过程中如有争议，应协商解决。如协商不成，可由相应主管部门调解。如无法解决，向甲方所在地人民法院起诉。</w:t>
      </w:r>
    </w:p>
    <w:p w14:paraId="69D30FAF">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18、合同的生效</w:t>
      </w:r>
    </w:p>
    <w:p w14:paraId="7684A2FB">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18.1.本合同经双方法定代表人</w:t>
      </w:r>
      <w:r>
        <w:rPr>
          <w:rFonts w:hint="eastAsia" w:ascii="仿宋_GB2312" w:hAnsi="仿宋_GB2312" w:eastAsia="仿宋_GB2312" w:cs="仿宋_GB2312"/>
          <w:color w:val="auto"/>
          <w:sz w:val="20"/>
          <w:szCs w:val="20"/>
          <w:lang w:eastAsia="zh-CN"/>
        </w:rPr>
        <w:t>（</w:t>
      </w:r>
      <w:r>
        <w:rPr>
          <w:rFonts w:hint="eastAsia" w:ascii="仿宋_GB2312" w:hAnsi="仿宋_GB2312" w:eastAsia="仿宋_GB2312" w:cs="仿宋_GB2312"/>
          <w:color w:val="auto"/>
          <w:sz w:val="20"/>
          <w:szCs w:val="20"/>
          <w:lang w:val="en-US" w:eastAsia="zh-CN"/>
        </w:rPr>
        <w:t>负责人</w:t>
      </w:r>
      <w:r>
        <w:rPr>
          <w:rFonts w:hint="eastAsia" w:ascii="仿宋_GB2312" w:hAnsi="仿宋_GB2312" w:eastAsia="仿宋_GB2312" w:cs="仿宋_GB2312"/>
          <w:color w:val="auto"/>
          <w:sz w:val="20"/>
          <w:szCs w:val="20"/>
          <w:lang w:eastAsia="zh-CN"/>
        </w:rPr>
        <w:t>）</w:t>
      </w:r>
      <w:r>
        <w:rPr>
          <w:rFonts w:hint="eastAsia" w:ascii="仿宋_GB2312" w:hAnsi="仿宋_GB2312" w:eastAsia="仿宋_GB2312" w:cs="仿宋_GB2312"/>
          <w:color w:val="auto"/>
          <w:sz w:val="20"/>
          <w:szCs w:val="20"/>
        </w:rPr>
        <w:t>或授权代表签字、加盖单位公章或合同章后生效。</w:t>
      </w:r>
    </w:p>
    <w:p w14:paraId="72D30FFF">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18.2.本合同一式</w:t>
      </w:r>
      <w:r>
        <w:rPr>
          <w:rFonts w:hint="eastAsia" w:ascii="仿宋_GB2312" w:hAnsi="仿宋_GB2312" w:eastAsia="仿宋_GB2312" w:cs="仿宋_GB2312"/>
          <w:color w:val="auto"/>
          <w:sz w:val="20"/>
          <w:szCs w:val="20"/>
          <w:lang w:val="en-US" w:eastAsia="zh-CN"/>
        </w:rPr>
        <w:t>捌</w:t>
      </w:r>
      <w:r>
        <w:rPr>
          <w:rFonts w:hint="eastAsia" w:ascii="仿宋_GB2312" w:hAnsi="仿宋_GB2312" w:eastAsia="仿宋_GB2312" w:cs="仿宋_GB2312"/>
          <w:color w:val="auto"/>
          <w:sz w:val="20"/>
          <w:szCs w:val="20"/>
        </w:rPr>
        <w:t>份，</w:t>
      </w:r>
      <w:r>
        <w:rPr>
          <w:rFonts w:hint="eastAsia" w:ascii="仿宋_GB2312" w:hAnsi="仿宋_GB2312" w:eastAsia="仿宋_GB2312" w:cs="仿宋_GB2312"/>
          <w:color w:val="auto"/>
          <w:sz w:val="20"/>
          <w:szCs w:val="20"/>
          <w:lang w:val="en-US" w:eastAsia="zh-CN"/>
        </w:rPr>
        <w:t>均</w:t>
      </w:r>
      <w:r>
        <w:rPr>
          <w:rFonts w:hint="eastAsia" w:ascii="仿宋_GB2312" w:hAnsi="仿宋_GB2312" w:eastAsia="仿宋_GB2312" w:cs="仿宋_GB2312"/>
          <w:color w:val="auto"/>
          <w:sz w:val="20"/>
          <w:szCs w:val="20"/>
        </w:rPr>
        <w:t>具有同等法律效力。甲方</w:t>
      </w:r>
      <w:r>
        <w:rPr>
          <w:rFonts w:hint="eastAsia" w:ascii="仿宋_GB2312" w:hAnsi="仿宋_GB2312" w:eastAsia="仿宋_GB2312" w:cs="仿宋_GB2312"/>
          <w:color w:val="auto"/>
          <w:sz w:val="20"/>
          <w:szCs w:val="20"/>
          <w:lang w:val="en-US" w:eastAsia="zh-CN"/>
        </w:rPr>
        <w:t>伍</w:t>
      </w:r>
      <w:r>
        <w:rPr>
          <w:rFonts w:hint="eastAsia" w:ascii="仿宋_GB2312" w:hAnsi="仿宋_GB2312" w:eastAsia="仿宋_GB2312" w:cs="仿宋_GB2312"/>
          <w:color w:val="auto"/>
          <w:sz w:val="20"/>
          <w:szCs w:val="20"/>
        </w:rPr>
        <w:t>份，乙方</w:t>
      </w:r>
      <w:r>
        <w:rPr>
          <w:rFonts w:hint="eastAsia" w:ascii="仿宋_GB2312" w:hAnsi="仿宋_GB2312" w:eastAsia="仿宋_GB2312" w:cs="仿宋_GB2312"/>
          <w:color w:val="auto"/>
          <w:sz w:val="20"/>
          <w:szCs w:val="20"/>
          <w:lang w:val="en-US" w:eastAsia="zh-CN"/>
        </w:rPr>
        <w:t>叁</w:t>
      </w:r>
      <w:r>
        <w:rPr>
          <w:rFonts w:hint="eastAsia" w:ascii="仿宋_GB2312" w:hAnsi="仿宋_GB2312" w:eastAsia="仿宋_GB2312" w:cs="仿宋_GB2312"/>
          <w:color w:val="auto"/>
          <w:sz w:val="20"/>
          <w:szCs w:val="20"/>
        </w:rPr>
        <w:t>份。</w:t>
      </w:r>
    </w:p>
    <w:p w14:paraId="312BFD99">
      <w:pPr>
        <w:keepNext w:val="0"/>
        <w:keepLines w:val="0"/>
        <w:pageBreakBefore w:val="0"/>
        <w:widowControl w:val="0"/>
        <w:kinsoku/>
        <w:wordWrap/>
        <w:overflowPunct/>
        <w:topLinePunct w:val="0"/>
        <w:autoSpaceDE/>
        <w:autoSpaceDN/>
        <w:bidi w:val="0"/>
        <w:adjustRightInd/>
        <w:snapToGrid/>
        <w:spacing w:line="576" w:lineRule="exact"/>
        <w:ind w:firstLine="800" w:firstLineChars="400"/>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lang w:eastAsia="zh-CN"/>
        </w:rPr>
        <w:t>（</w:t>
      </w:r>
      <w:r>
        <w:rPr>
          <w:rFonts w:hint="eastAsia" w:ascii="仿宋_GB2312" w:hAnsi="仿宋_GB2312" w:eastAsia="仿宋_GB2312" w:cs="仿宋_GB2312"/>
          <w:color w:val="auto"/>
          <w:sz w:val="20"/>
          <w:szCs w:val="20"/>
          <w:lang w:val="en-US" w:eastAsia="zh-CN"/>
        </w:rPr>
        <w:t>以下无正文，为合同签署页</w:t>
      </w:r>
      <w:r>
        <w:rPr>
          <w:rFonts w:hint="eastAsia" w:ascii="仿宋_GB2312" w:hAnsi="仿宋_GB2312" w:eastAsia="仿宋_GB2312" w:cs="仿宋_GB2312"/>
          <w:color w:val="auto"/>
          <w:sz w:val="20"/>
          <w:szCs w:val="20"/>
          <w:lang w:eastAsia="zh-CN"/>
        </w:rPr>
        <w:t>）</w:t>
      </w:r>
      <w:r>
        <w:rPr>
          <w:rFonts w:hint="eastAsia" w:ascii="仿宋_GB2312" w:hAnsi="仿宋_GB2312" w:eastAsia="仿宋_GB2312" w:cs="仿宋_GB2312"/>
          <w:color w:val="auto"/>
          <w:sz w:val="20"/>
          <w:szCs w:val="20"/>
        </w:rPr>
        <w:br w:type="textWrapping"/>
      </w:r>
    </w:p>
    <w:tbl>
      <w:tblPr>
        <w:tblStyle w:val="15"/>
        <w:tblW w:w="9034"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37"/>
        <w:gridCol w:w="4397"/>
      </w:tblGrid>
      <w:tr w14:paraId="7A7626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47" w:hRule="atLeast"/>
          <w:jc w:val="center"/>
        </w:trPr>
        <w:tc>
          <w:tcPr>
            <w:tcW w:w="4637" w:type="dxa"/>
            <w:vAlign w:val="top"/>
          </w:tcPr>
          <w:p w14:paraId="5878A493">
            <w:pPr>
              <w:pStyle w:val="14"/>
              <w:keepNext/>
              <w:keepLines w:val="0"/>
              <w:pageBreakBefore w:val="0"/>
              <w:widowControl/>
              <w:kinsoku/>
              <w:wordWrap w:val="0"/>
              <w:overflowPunct w:val="0"/>
              <w:topLinePunct w:val="0"/>
              <w:autoSpaceDE w:val="0"/>
              <w:autoSpaceDN w:val="0"/>
              <w:bidi w:val="0"/>
              <w:adjustRightInd w:val="0"/>
              <w:snapToGrid w:val="0"/>
              <w:spacing w:before="134" w:line="240" w:lineRule="auto"/>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甲方：</w:t>
            </w:r>
          </w:p>
          <w:p w14:paraId="4824AE9A">
            <w:pPr>
              <w:pStyle w:val="14"/>
              <w:keepNext/>
              <w:keepLines w:val="0"/>
              <w:pageBreakBefore w:val="0"/>
              <w:widowControl/>
              <w:kinsoku/>
              <w:wordWrap w:val="0"/>
              <w:overflowPunct w:val="0"/>
              <w:topLinePunct w:val="0"/>
              <w:autoSpaceDE w:val="0"/>
              <w:autoSpaceDN w:val="0"/>
              <w:bidi w:val="0"/>
              <w:adjustRightInd w:val="0"/>
              <w:snapToGrid w:val="0"/>
              <w:spacing w:before="134" w:line="240" w:lineRule="auto"/>
              <w:ind w:firstLine="1800" w:firstLineChars="900"/>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（盖章）</w:t>
            </w:r>
          </w:p>
        </w:tc>
        <w:tc>
          <w:tcPr>
            <w:tcW w:w="4397" w:type="dxa"/>
            <w:vAlign w:val="top"/>
          </w:tcPr>
          <w:p w14:paraId="73C891A6">
            <w:pPr>
              <w:pStyle w:val="14"/>
              <w:keepNext/>
              <w:keepLines w:val="0"/>
              <w:pageBreakBefore w:val="0"/>
              <w:widowControl/>
              <w:kinsoku/>
              <w:wordWrap w:val="0"/>
              <w:overflowPunct w:val="0"/>
              <w:topLinePunct w:val="0"/>
              <w:autoSpaceDE w:val="0"/>
              <w:autoSpaceDN w:val="0"/>
              <w:bidi w:val="0"/>
              <w:adjustRightInd w:val="0"/>
              <w:snapToGrid w:val="0"/>
              <w:spacing w:before="108" w:line="240" w:lineRule="auto"/>
              <w:ind w:left="138"/>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乙方：</w:t>
            </w:r>
          </w:p>
          <w:p w14:paraId="70CEF142">
            <w:pPr>
              <w:pStyle w:val="14"/>
              <w:keepNext/>
              <w:keepLines w:val="0"/>
              <w:pageBreakBefore w:val="0"/>
              <w:widowControl/>
              <w:kinsoku/>
              <w:wordWrap w:val="0"/>
              <w:overflowPunct w:val="0"/>
              <w:topLinePunct w:val="0"/>
              <w:autoSpaceDE w:val="0"/>
              <w:autoSpaceDN w:val="0"/>
              <w:bidi w:val="0"/>
              <w:adjustRightInd w:val="0"/>
              <w:snapToGrid w:val="0"/>
              <w:spacing w:line="240" w:lineRule="auto"/>
              <w:ind w:left="2046"/>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（盖章）</w:t>
            </w:r>
          </w:p>
        </w:tc>
      </w:tr>
      <w:tr w14:paraId="7FEC56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3" w:hRule="atLeast"/>
          <w:jc w:val="center"/>
        </w:trPr>
        <w:tc>
          <w:tcPr>
            <w:tcW w:w="4637" w:type="dxa"/>
            <w:vAlign w:val="top"/>
          </w:tcPr>
          <w:p w14:paraId="762B2EA9">
            <w:pPr>
              <w:pStyle w:val="14"/>
              <w:keepNext/>
              <w:keepLines w:val="0"/>
              <w:pageBreakBefore w:val="0"/>
              <w:widowControl/>
              <w:kinsoku/>
              <w:wordWrap w:val="0"/>
              <w:overflowPunct w:val="0"/>
              <w:topLinePunct w:val="0"/>
              <w:autoSpaceDE w:val="0"/>
              <w:autoSpaceDN w:val="0"/>
              <w:bidi w:val="0"/>
              <w:adjustRightInd w:val="0"/>
              <w:snapToGrid w:val="0"/>
              <w:spacing w:before="275" w:line="240" w:lineRule="auto"/>
              <w:ind w:left="117"/>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地址：</w:t>
            </w:r>
          </w:p>
        </w:tc>
        <w:tc>
          <w:tcPr>
            <w:tcW w:w="4397" w:type="dxa"/>
            <w:vAlign w:val="top"/>
          </w:tcPr>
          <w:p w14:paraId="6339AF6F">
            <w:pPr>
              <w:pStyle w:val="14"/>
              <w:keepNext/>
              <w:keepLines w:val="0"/>
              <w:pageBreakBefore w:val="0"/>
              <w:widowControl/>
              <w:kinsoku/>
              <w:wordWrap w:val="0"/>
              <w:overflowPunct w:val="0"/>
              <w:topLinePunct w:val="0"/>
              <w:autoSpaceDE w:val="0"/>
              <w:autoSpaceDN w:val="0"/>
              <w:bidi w:val="0"/>
              <w:adjustRightInd w:val="0"/>
              <w:snapToGrid w:val="0"/>
              <w:spacing w:before="275" w:line="240" w:lineRule="auto"/>
              <w:ind w:left="115"/>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地址：</w:t>
            </w:r>
          </w:p>
        </w:tc>
      </w:tr>
      <w:tr w14:paraId="6131E0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jc w:val="center"/>
        </w:trPr>
        <w:tc>
          <w:tcPr>
            <w:tcW w:w="4637" w:type="dxa"/>
            <w:vAlign w:val="top"/>
          </w:tcPr>
          <w:p w14:paraId="21CDE375">
            <w:pPr>
              <w:pStyle w:val="14"/>
              <w:keepNext/>
              <w:keepLines w:val="0"/>
              <w:pageBreakBefore w:val="0"/>
              <w:widowControl/>
              <w:kinsoku/>
              <w:wordWrap w:val="0"/>
              <w:overflowPunct w:val="0"/>
              <w:topLinePunct w:val="0"/>
              <w:autoSpaceDE w:val="0"/>
              <w:autoSpaceDN w:val="0"/>
              <w:bidi w:val="0"/>
              <w:adjustRightInd w:val="0"/>
              <w:snapToGrid w:val="0"/>
              <w:spacing w:before="80" w:line="240" w:lineRule="auto"/>
              <w:ind w:left="118"/>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法定代表人或</w:t>
            </w:r>
          </w:p>
          <w:p w14:paraId="568E0DCF">
            <w:pPr>
              <w:pStyle w:val="14"/>
              <w:keepNext/>
              <w:keepLines w:val="0"/>
              <w:pageBreakBefore w:val="0"/>
              <w:widowControl/>
              <w:kinsoku/>
              <w:wordWrap w:val="0"/>
              <w:overflowPunct w:val="0"/>
              <w:topLinePunct w:val="0"/>
              <w:autoSpaceDE w:val="0"/>
              <w:autoSpaceDN w:val="0"/>
              <w:bidi w:val="0"/>
              <w:adjustRightInd w:val="0"/>
              <w:snapToGrid w:val="0"/>
              <w:spacing w:before="135" w:line="240" w:lineRule="auto"/>
              <w:ind w:left="118"/>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其授权代表(签字)：</w:t>
            </w:r>
          </w:p>
        </w:tc>
        <w:tc>
          <w:tcPr>
            <w:tcW w:w="4397" w:type="dxa"/>
            <w:vAlign w:val="top"/>
          </w:tcPr>
          <w:p w14:paraId="75BAA46D">
            <w:pPr>
              <w:pStyle w:val="14"/>
              <w:keepNext/>
              <w:keepLines w:val="0"/>
              <w:pageBreakBefore w:val="0"/>
              <w:widowControl/>
              <w:kinsoku/>
              <w:wordWrap w:val="0"/>
              <w:overflowPunct w:val="0"/>
              <w:topLinePunct w:val="0"/>
              <w:autoSpaceDE w:val="0"/>
              <w:autoSpaceDN w:val="0"/>
              <w:bidi w:val="0"/>
              <w:adjustRightInd w:val="0"/>
              <w:snapToGrid w:val="0"/>
              <w:spacing w:before="80" w:line="240" w:lineRule="auto"/>
              <w:ind w:left="116"/>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法定代表人或</w:t>
            </w:r>
          </w:p>
          <w:p w14:paraId="4C814508">
            <w:pPr>
              <w:pStyle w:val="14"/>
              <w:keepNext/>
              <w:keepLines w:val="0"/>
              <w:pageBreakBefore w:val="0"/>
              <w:widowControl/>
              <w:kinsoku/>
              <w:wordWrap w:val="0"/>
              <w:overflowPunct w:val="0"/>
              <w:topLinePunct w:val="0"/>
              <w:autoSpaceDE w:val="0"/>
              <w:autoSpaceDN w:val="0"/>
              <w:bidi w:val="0"/>
              <w:adjustRightInd w:val="0"/>
              <w:snapToGrid w:val="0"/>
              <w:spacing w:before="135" w:line="240" w:lineRule="auto"/>
              <w:ind w:left="116"/>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其授权代表(签字)：</w:t>
            </w:r>
          </w:p>
        </w:tc>
      </w:tr>
      <w:tr w14:paraId="499C0B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jc w:val="center"/>
        </w:trPr>
        <w:tc>
          <w:tcPr>
            <w:tcW w:w="4637" w:type="dxa"/>
            <w:vAlign w:val="top"/>
          </w:tcPr>
          <w:p w14:paraId="34648453">
            <w:pPr>
              <w:pStyle w:val="14"/>
              <w:keepNext/>
              <w:keepLines w:val="0"/>
              <w:pageBreakBefore w:val="0"/>
              <w:widowControl/>
              <w:kinsoku/>
              <w:wordWrap w:val="0"/>
              <w:overflowPunct w:val="0"/>
              <w:topLinePunct w:val="0"/>
              <w:autoSpaceDE w:val="0"/>
              <w:autoSpaceDN w:val="0"/>
              <w:bidi w:val="0"/>
              <w:adjustRightInd w:val="0"/>
              <w:snapToGrid w:val="0"/>
              <w:spacing w:before="270" w:line="240" w:lineRule="auto"/>
              <w:ind w:left="118"/>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开户银行：</w:t>
            </w:r>
          </w:p>
        </w:tc>
        <w:tc>
          <w:tcPr>
            <w:tcW w:w="4397" w:type="dxa"/>
            <w:vAlign w:val="top"/>
          </w:tcPr>
          <w:p w14:paraId="3DCB4B7A">
            <w:pPr>
              <w:pStyle w:val="14"/>
              <w:keepNext/>
              <w:keepLines w:val="0"/>
              <w:pageBreakBefore w:val="0"/>
              <w:widowControl/>
              <w:kinsoku/>
              <w:wordWrap w:val="0"/>
              <w:overflowPunct w:val="0"/>
              <w:topLinePunct w:val="0"/>
              <w:autoSpaceDE w:val="0"/>
              <w:autoSpaceDN w:val="0"/>
              <w:bidi w:val="0"/>
              <w:adjustRightInd w:val="0"/>
              <w:snapToGrid w:val="0"/>
              <w:spacing w:before="59" w:line="240" w:lineRule="auto"/>
              <w:ind w:left="116"/>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开户银行：</w:t>
            </w:r>
          </w:p>
        </w:tc>
      </w:tr>
      <w:tr w14:paraId="366154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jc w:val="center"/>
        </w:trPr>
        <w:tc>
          <w:tcPr>
            <w:tcW w:w="4637" w:type="dxa"/>
            <w:vAlign w:val="top"/>
          </w:tcPr>
          <w:p w14:paraId="0C29B301">
            <w:pPr>
              <w:pStyle w:val="14"/>
              <w:keepNext/>
              <w:keepLines w:val="0"/>
              <w:pageBreakBefore w:val="0"/>
              <w:widowControl/>
              <w:kinsoku/>
              <w:wordWrap w:val="0"/>
              <w:overflowPunct w:val="0"/>
              <w:topLinePunct w:val="0"/>
              <w:autoSpaceDE w:val="0"/>
              <w:autoSpaceDN w:val="0"/>
              <w:bidi w:val="0"/>
              <w:adjustRightInd w:val="0"/>
              <w:snapToGrid w:val="0"/>
              <w:spacing w:before="109" w:line="240" w:lineRule="auto"/>
              <w:ind w:left="121"/>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账号：</w:t>
            </w:r>
          </w:p>
        </w:tc>
        <w:tc>
          <w:tcPr>
            <w:tcW w:w="4397" w:type="dxa"/>
            <w:vAlign w:val="top"/>
          </w:tcPr>
          <w:p w14:paraId="2173407A">
            <w:pPr>
              <w:pStyle w:val="14"/>
              <w:keepNext/>
              <w:keepLines w:val="0"/>
              <w:pageBreakBefore w:val="0"/>
              <w:widowControl/>
              <w:kinsoku/>
              <w:wordWrap w:val="0"/>
              <w:overflowPunct w:val="0"/>
              <w:topLinePunct w:val="0"/>
              <w:autoSpaceDE w:val="0"/>
              <w:autoSpaceDN w:val="0"/>
              <w:bidi w:val="0"/>
              <w:adjustRightInd w:val="0"/>
              <w:snapToGrid w:val="0"/>
              <w:spacing w:before="109" w:line="240" w:lineRule="auto"/>
              <w:ind w:left="119"/>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账号：</w:t>
            </w:r>
          </w:p>
        </w:tc>
      </w:tr>
      <w:tr w14:paraId="33D3F6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jc w:val="center"/>
        </w:trPr>
        <w:tc>
          <w:tcPr>
            <w:tcW w:w="4637" w:type="dxa"/>
            <w:vAlign w:val="top"/>
          </w:tcPr>
          <w:p w14:paraId="67713A0D">
            <w:pPr>
              <w:pStyle w:val="14"/>
              <w:keepNext/>
              <w:keepLines w:val="0"/>
              <w:pageBreakBefore w:val="0"/>
              <w:widowControl/>
              <w:kinsoku/>
              <w:wordWrap w:val="0"/>
              <w:overflowPunct w:val="0"/>
              <w:topLinePunct w:val="0"/>
              <w:autoSpaceDE w:val="0"/>
              <w:autoSpaceDN w:val="0"/>
              <w:bidi w:val="0"/>
              <w:adjustRightInd w:val="0"/>
              <w:snapToGrid w:val="0"/>
              <w:spacing w:before="39" w:line="240" w:lineRule="auto"/>
              <w:ind w:left="145"/>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电话：</w:t>
            </w:r>
          </w:p>
        </w:tc>
        <w:tc>
          <w:tcPr>
            <w:tcW w:w="4397" w:type="dxa"/>
            <w:vAlign w:val="top"/>
          </w:tcPr>
          <w:p w14:paraId="28BCF05B">
            <w:pPr>
              <w:pStyle w:val="14"/>
              <w:keepNext/>
              <w:keepLines w:val="0"/>
              <w:pageBreakBefore w:val="0"/>
              <w:widowControl/>
              <w:kinsoku/>
              <w:wordWrap w:val="0"/>
              <w:overflowPunct w:val="0"/>
              <w:topLinePunct w:val="0"/>
              <w:autoSpaceDE w:val="0"/>
              <w:autoSpaceDN w:val="0"/>
              <w:bidi w:val="0"/>
              <w:adjustRightInd w:val="0"/>
              <w:snapToGrid w:val="0"/>
              <w:spacing w:before="109" w:line="240" w:lineRule="auto"/>
              <w:ind w:left="143"/>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电话：</w:t>
            </w:r>
          </w:p>
        </w:tc>
      </w:tr>
      <w:tr w14:paraId="01BD9D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jc w:val="center"/>
        </w:trPr>
        <w:tc>
          <w:tcPr>
            <w:tcW w:w="4637" w:type="dxa"/>
            <w:vAlign w:val="top"/>
          </w:tcPr>
          <w:p w14:paraId="2B4F38D1">
            <w:pPr>
              <w:pStyle w:val="14"/>
              <w:keepNext/>
              <w:keepLines w:val="0"/>
              <w:pageBreakBefore w:val="0"/>
              <w:widowControl/>
              <w:kinsoku/>
              <w:wordWrap w:val="0"/>
              <w:overflowPunct w:val="0"/>
              <w:topLinePunct w:val="0"/>
              <w:autoSpaceDE w:val="0"/>
              <w:autoSpaceDN w:val="0"/>
              <w:bidi w:val="0"/>
              <w:adjustRightInd w:val="0"/>
              <w:snapToGrid w:val="0"/>
              <w:spacing w:before="167" w:line="240" w:lineRule="auto"/>
              <w:ind w:left="117"/>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签订日期：</w:t>
            </w:r>
          </w:p>
        </w:tc>
        <w:tc>
          <w:tcPr>
            <w:tcW w:w="4397" w:type="dxa"/>
            <w:vAlign w:val="top"/>
          </w:tcPr>
          <w:p w14:paraId="40DA8EFE">
            <w:pPr>
              <w:pStyle w:val="14"/>
              <w:keepNext/>
              <w:keepLines w:val="0"/>
              <w:pageBreakBefore w:val="0"/>
              <w:widowControl/>
              <w:kinsoku/>
              <w:wordWrap w:val="0"/>
              <w:overflowPunct w:val="0"/>
              <w:topLinePunct w:val="0"/>
              <w:autoSpaceDE w:val="0"/>
              <w:autoSpaceDN w:val="0"/>
              <w:bidi w:val="0"/>
              <w:adjustRightInd w:val="0"/>
              <w:snapToGrid w:val="0"/>
              <w:spacing w:before="167" w:line="240" w:lineRule="auto"/>
              <w:ind w:left="115"/>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签订日期：</w:t>
            </w:r>
          </w:p>
        </w:tc>
      </w:tr>
    </w:tbl>
    <w:p w14:paraId="66CFD766">
      <w:pPr>
        <w:keepLines w:val="0"/>
        <w:pageBreakBefore w:val="0"/>
        <w:kinsoku/>
        <w:topLinePunct w:val="0"/>
        <w:bidi w:val="0"/>
        <w:spacing w:line="576" w:lineRule="exact"/>
        <w:textAlignment w:val="auto"/>
        <w:rPr>
          <w:rFonts w:hint="eastAsia" w:ascii="仿宋_GB2312" w:hAnsi="仿宋_GB2312" w:eastAsia="仿宋_GB2312" w:cs="仿宋_GB2312"/>
          <w:color w:val="auto"/>
          <w:kern w:val="2"/>
          <w:sz w:val="20"/>
          <w:szCs w:val="20"/>
          <w:lang w:val="en-US" w:eastAsia="zh-CN" w:bidi="ar-SA"/>
        </w:rPr>
      </w:pPr>
    </w:p>
    <w:p w14:paraId="4657E386">
      <w:pPr>
        <w:rPr>
          <w:rFonts w:hint="eastAsia" w:ascii="仿宋_GB2312" w:hAnsi="仿宋_GB2312" w:eastAsia="仿宋_GB2312" w:cs="仿宋_GB2312"/>
          <w:b/>
          <w:bCs/>
          <w:sz w:val="20"/>
          <w:szCs w:val="20"/>
        </w:rPr>
      </w:pPr>
      <w:r>
        <w:rPr>
          <w:rFonts w:hint="eastAsia" w:ascii="仿宋_GB2312" w:hAnsi="仿宋_GB2312" w:eastAsia="仿宋_GB2312" w:cs="仿宋_GB2312"/>
          <w:b/>
          <w:bCs/>
          <w:sz w:val="20"/>
          <w:szCs w:val="20"/>
        </w:rPr>
        <w:br w:type="page"/>
      </w:r>
    </w:p>
    <w:p w14:paraId="014B5BE0">
      <w:pPr>
        <w:rPr>
          <w:rFonts w:hint="eastAsia" w:ascii="仿宋_GB2312" w:hAnsi="仿宋_GB2312" w:eastAsia="仿宋_GB2312" w:cs="仿宋_GB2312"/>
          <w:b/>
          <w:bCs/>
          <w:sz w:val="20"/>
          <w:szCs w:val="20"/>
        </w:rPr>
      </w:pPr>
      <w:bookmarkStart w:id="1" w:name="_GoBack"/>
      <w:bookmarkEnd w:id="1"/>
      <w:r>
        <w:rPr>
          <w:rFonts w:hint="eastAsia" w:ascii="仿宋_GB2312" w:hAnsi="仿宋_GB2312" w:eastAsia="仿宋_GB2312" w:cs="仿宋_GB2312"/>
          <w:b/>
          <w:bCs/>
          <w:sz w:val="20"/>
          <w:szCs w:val="20"/>
        </w:rPr>
        <w:t>附件1.运维内容及服务要求</w:t>
      </w:r>
    </w:p>
    <w:p w14:paraId="45E2231D">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提供至少8人的业务团队进行相关运营服务，团队成员</w:t>
      </w:r>
      <w:r>
        <w:rPr>
          <w:rFonts w:hint="eastAsia" w:ascii="仿宋_GB2312" w:hAnsi="仿宋_GB2312" w:eastAsia="仿宋_GB2312" w:cs="仿宋_GB2312"/>
          <w:sz w:val="20"/>
          <w:szCs w:val="20"/>
          <w:lang w:val="en-US" w:eastAsia="zh-CN"/>
        </w:rPr>
        <w:t>应</w:t>
      </w:r>
      <w:r>
        <w:rPr>
          <w:rFonts w:hint="eastAsia" w:ascii="仿宋_GB2312" w:hAnsi="仿宋_GB2312" w:eastAsia="仿宋_GB2312" w:cs="仿宋_GB2312"/>
          <w:sz w:val="20"/>
          <w:szCs w:val="20"/>
        </w:rPr>
        <w:t>具备环保行业业务运营服务经验，业务运营服务期限</w:t>
      </w:r>
      <w:r>
        <w:rPr>
          <w:rFonts w:hint="eastAsia" w:ascii="仿宋_GB2312" w:hAnsi="仿宋_GB2312" w:eastAsia="仿宋_GB2312" w:cs="仿宋_GB2312"/>
          <w:sz w:val="20"/>
          <w:szCs w:val="20"/>
          <w:lang w:val="en-US" w:eastAsia="zh-CN"/>
        </w:rPr>
        <w:t>1年</w:t>
      </w:r>
      <w:r>
        <w:rPr>
          <w:rFonts w:hint="eastAsia" w:ascii="仿宋_GB2312" w:hAnsi="仿宋_GB2312" w:eastAsia="仿宋_GB2312" w:cs="仿宋_GB2312"/>
          <w:sz w:val="20"/>
          <w:szCs w:val="20"/>
        </w:rPr>
        <w:t>。</w:t>
      </w:r>
    </w:p>
    <w:p w14:paraId="7AF8424F">
      <w:pPr>
        <w:keepNext w:val="0"/>
        <w:keepLines w:val="0"/>
        <w:pageBreakBefore w:val="0"/>
        <w:widowControl w:val="0"/>
        <w:kinsoku/>
        <w:wordWrap/>
        <w:overflowPunct/>
        <w:topLinePunct w:val="0"/>
        <w:autoSpaceDE/>
        <w:autoSpaceDN/>
        <w:bidi w:val="0"/>
        <w:adjustRightInd/>
        <w:snapToGrid/>
        <w:spacing w:line="576" w:lineRule="exact"/>
        <w:ind w:firstLine="402" w:firstLineChars="200"/>
        <w:textAlignment w:val="auto"/>
        <w:rPr>
          <w:rFonts w:hint="eastAsia" w:ascii="仿宋_GB2312" w:hAnsi="仿宋_GB2312" w:eastAsia="仿宋_GB2312" w:cs="仿宋_GB2312"/>
          <w:b/>
          <w:bCs/>
          <w:sz w:val="20"/>
          <w:szCs w:val="20"/>
        </w:rPr>
      </w:pPr>
      <w:r>
        <w:rPr>
          <w:rFonts w:hint="eastAsia" w:ascii="仿宋_GB2312" w:hAnsi="仿宋_GB2312" w:eastAsia="仿宋_GB2312" w:cs="仿宋_GB2312"/>
          <w:b/>
          <w:bCs/>
          <w:sz w:val="20"/>
          <w:szCs w:val="20"/>
        </w:rPr>
        <w:t>1.设备全生命周期管理服务</w:t>
      </w:r>
    </w:p>
    <w:p w14:paraId="51073AEB">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设备全生命周期管理服务需要提供各工地不同品牌的设备从设备安装、数据和视频接入、数据和视频调试、设备验收、设备迁移、设备报修、运维等的全流程管理以及相关环节审核的服务。包括设备接入、安装统计、设备移机、设备拆机、工地状态审核、设备异常处理等。</w:t>
      </w:r>
    </w:p>
    <w:p w14:paraId="7694A9E6">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1.1.设备接入服务</w:t>
      </w:r>
    </w:p>
    <w:p w14:paraId="09C2EA89">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提供全市工地扬尘监测设备的监测数据和视频接入咨询服务等。向各厂商和工地提供HJ212-2017传输协议专业咨询服务、视频数据和监测数据接入及调试中各类问题的处理服务。定期对设备厂商接入设备进行人工巡查，视频设备离线、摄像头是否有遮挡（污渍模糊）、未设置预置点、巡航点、时间是否准确。</w:t>
      </w:r>
    </w:p>
    <w:p w14:paraId="6E505E8E">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1.2验收核查服务</w:t>
      </w:r>
    </w:p>
    <w:p w14:paraId="5823A5A8">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针对扬尘平台上联网设备，督促厂商及时进行资料和现场验收申请，对区县验收不通过的设备，如安装位置及合同附件不合格的，通知厂商尽快完成整改。对主管单位未及时验收的设备进行统计，定期发送市级主管单位，督促区主管单位及时对扬尘检测设备进行资料验收和现场验收。</w:t>
      </w:r>
    </w:p>
    <w:p w14:paraId="29A1D895">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1.3设备移机、拆机服务</w:t>
      </w:r>
    </w:p>
    <w:p w14:paraId="531F04EF">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对工地内重新选点的移机上传的说明文件审核及工地完工后的拆机说明文件等情况进行人工审核（资料及照片的完整性）、咨询等服务。</w:t>
      </w:r>
    </w:p>
    <w:p w14:paraId="7D08B738">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1.4工地状态审核服务</w:t>
      </w:r>
    </w:p>
    <w:p w14:paraId="5EF9407A">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针对工地上报的停电、停工等信息及时审核，对该段时间的数据进行处理。</w:t>
      </w:r>
    </w:p>
    <w:p w14:paraId="5D42AFC7">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1.5设备异常处理服务</w:t>
      </w:r>
    </w:p>
    <w:p w14:paraId="35DCFF6A">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设备异常情况处理需要综合汇总工地状态、设备状态，异常数据情况进行核查分析，及时通知厂商排查设备异常问题，对不可预见问题及时协调处置。</w:t>
      </w:r>
    </w:p>
    <w:p w14:paraId="440CEB62">
      <w:pPr>
        <w:keepNext w:val="0"/>
        <w:keepLines w:val="0"/>
        <w:pageBreakBefore w:val="0"/>
        <w:widowControl w:val="0"/>
        <w:kinsoku/>
        <w:wordWrap/>
        <w:overflowPunct/>
        <w:topLinePunct w:val="0"/>
        <w:autoSpaceDE/>
        <w:autoSpaceDN/>
        <w:bidi w:val="0"/>
        <w:adjustRightInd/>
        <w:snapToGrid/>
        <w:spacing w:line="576" w:lineRule="exact"/>
        <w:ind w:firstLine="402" w:firstLineChars="200"/>
        <w:textAlignment w:val="auto"/>
        <w:rPr>
          <w:rFonts w:hint="eastAsia" w:ascii="仿宋_GB2312" w:hAnsi="仿宋_GB2312" w:eastAsia="仿宋_GB2312" w:cs="仿宋_GB2312"/>
          <w:b/>
          <w:bCs/>
          <w:sz w:val="20"/>
          <w:szCs w:val="20"/>
        </w:rPr>
      </w:pPr>
      <w:r>
        <w:rPr>
          <w:rFonts w:hint="eastAsia" w:ascii="仿宋_GB2312" w:hAnsi="仿宋_GB2312" w:eastAsia="仿宋_GB2312" w:cs="仿宋_GB2312"/>
          <w:b/>
          <w:bCs/>
          <w:sz w:val="20"/>
          <w:szCs w:val="20"/>
        </w:rPr>
        <w:t>2</w:t>
      </w:r>
      <w:r>
        <w:rPr>
          <w:rFonts w:hint="eastAsia" w:ascii="仿宋_GB2312" w:hAnsi="仿宋_GB2312" w:eastAsia="仿宋_GB2312" w:cs="仿宋_GB2312"/>
          <w:b/>
          <w:bCs/>
          <w:sz w:val="20"/>
          <w:szCs w:val="20"/>
          <w:lang w:eastAsia="zh-CN"/>
        </w:rPr>
        <w:t>.</w:t>
      </w:r>
      <w:r>
        <w:rPr>
          <w:rFonts w:hint="eastAsia" w:ascii="仿宋_GB2312" w:hAnsi="仿宋_GB2312" w:eastAsia="仿宋_GB2312" w:cs="仿宋_GB2312"/>
          <w:b/>
          <w:bCs/>
          <w:sz w:val="20"/>
          <w:szCs w:val="20"/>
        </w:rPr>
        <w:t>数据质量评估及数据治理服务</w:t>
      </w:r>
    </w:p>
    <w:p w14:paraId="76C5AB0E">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数据质量评估及数据治理服务需按照工地扬尘的监测数据相关标准和要求，将汇聚上报的数据进行关联、整合等处理，并且依据治理规则进行数据治理，对于发现的数据质量问题，及时反馈给相关部门或运维单位，相关部门或单位在得到数据质量报告时把数据修改完善后再重新上报，形成数据治理闭环，以提高数据的质量，保证数据的安全，提升监测数据的可靠性。包括数据标准制定、数据质量评估、数据问题探查、数据比对、数据动态调整、视频数据标记等。</w:t>
      </w:r>
    </w:p>
    <w:p w14:paraId="75F9F423">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2.1数据标准制定服务</w:t>
      </w:r>
    </w:p>
    <w:p w14:paraId="7BCB8661">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根据HJ212-2017《污染物在线监控（监测）系统数据传输标准》数据结合工地扬尘监测设备的特点制定统一的数据接入规范及标准、数据编码及格式解析、接口适配及测试、基础信息注册及录入等规范，视频传输规范，MN码规范等。</w:t>
      </w:r>
    </w:p>
    <w:p w14:paraId="235A4113">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2.2数据质量评估服务</w:t>
      </w:r>
    </w:p>
    <w:p w14:paraId="7452F0B4">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扬尘监测数据质量评估服务是基于数据质量的重复性、关联性、正确性、完全性、一致性、合规性六个维度，对扬尘监测数据进行数据关联的自动探索，包括字典规则探索和函数依赖探索。数据的关联包括数据列之间的关联，包括PM10、湿度、温度、风向、风速、噪声及经纬度的质量进行排查。</w:t>
      </w:r>
    </w:p>
    <w:p w14:paraId="15D3CAAA">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2.3数据问题派单服务</w:t>
      </w:r>
    </w:p>
    <w:p w14:paraId="76C48610">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对于恒值、空值、经纬度等设备异常数据进行处理，发现及时通告运维人员现场故障处理，针对处理结果进行跟踪以及审核，及时督促设备的处理进度。</w:t>
      </w:r>
    </w:p>
    <w:p w14:paraId="527F8BD1">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2.4数据比对服务</w:t>
      </w:r>
    </w:p>
    <w:p w14:paraId="6B970DE9">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按照主管单位的要求不定期对需要比对点位进行数据比对服务，形成报告材料供主管单位参考。按照《HJ817-2018环境空气中颗粒物自动监测系统运行和质控技术规范》督促检查设备供应商及时处理问题。</w:t>
      </w:r>
    </w:p>
    <w:p w14:paraId="7D4EBB59">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2.5信息资产调整服务</w:t>
      </w:r>
    </w:p>
    <w:p w14:paraId="15AB6BF6">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用户在使用过程中出现的录入错误、调整信息，需要修改、删除等进行服务支持。对于工地信息、人员信息等进行日常维护和动态更新，针对设备移机、工地更换设备、完工等情况进行咨询服务。</w:t>
      </w:r>
    </w:p>
    <w:p w14:paraId="372CFEC9">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2.6视频数据研判服务</w:t>
      </w:r>
    </w:p>
    <w:p w14:paraId="5EB31205">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根据二级、三级告警期间AI识别到的照片进行人工研判，确定是否为污染源。取相关的样本照片进行标记及补充训练，提升污染源信息的检测率，将典型的污染源进行标记。</w:t>
      </w:r>
    </w:p>
    <w:p w14:paraId="17FF4394">
      <w:pPr>
        <w:keepNext w:val="0"/>
        <w:keepLines w:val="0"/>
        <w:pageBreakBefore w:val="0"/>
        <w:widowControl w:val="0"/>
        <w:kinsoku/>
        <w:wordWrap/>
        <w:overflowPunct/>
        <w:topLinePunct w:val="0"/>
        <w:autoSpaceDE/>
        <w:autoSpaceDN/>
        <w:bidi w:val="0"/>
        <w:adjustRightInd/>
        <w:snapToGrid/>
        <w:spacing w:line="576" w:lineRule="exact"/>
        <w:ind w:firstLine="402" w:firstLineChars="200"/>
        <w:textAlignment w:val="auto"/>
        <w:rPr>
          <w:rFonts w:hint="eastAsia" w:ascii="仿宋_GB2312" w:hAnsi="仿宋_GB2312" w:eastAsia="仿宋_GB2312" w:cs="仿宋_GB2312"/>
          <w:b/>
          <w:bCs/>
          <w:sz w:val="20"/>
          <w:szCs w:val="20"/>
        </w:rPr>
      </w:pPr>
      <w:r>
        <w:rPr>
          <w:rFonts w:hint="eastAsia" w:ascii="仿宋_GB2312" w:hAnsi="仿宋_GB2312" w:eastAsia="仿宋_GB2312" w:cs="仿宋_GB2312"/>
          <w:b/>
          <w:bCs/>
          <w:sz w:val="20"/>
          <w:szCs w:val="20"/>
        </w:rPr>
        <w:t>3</w:t>
      </w:r>
      <w:r>
        <w:rPr>
          <w:rFonts w:hint="eastAsia" w:ascii="仿宋_GB2312" w:hAnsi="仿宋_GB2312" w:eastAsia="仿宋_GB2312" w:cs="仿宋_GB2312"/>
          <w:b/>
          <w:bCs/>
          <w:sz w:val="20"/>
          <w:szCs w:val="20"/>
          <w:lang w:eastAsia="zh-CN"/>
        </w:rPr>
        <w:t>.</w:t>
      </w:r>
      <w:r>
        <w:rPr>
          <w:rFonts w:hint="eastAsia" w:ascii="仿宋_GB2312" w:hAnsi="仿宋_GB2312" w:eastAsia="仿宋_GB2312" w:cs="仿宋_GB2312"/>
          <w:b/>
          <w:bCs/>
          <w:sz w:val="20"/>
          <w:szCs w:val="20"/>
        </w:rPr>
        <w:t>超标分析服务</w:t>
      </w:r>
    </w:p>
    <w:p w14:paraId="1225FBCC">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超标分析服务对每个超标事件进行人工审核和追踪式管理，打造完整证据链条、并定期形成相关的报表文件供相关部门参考。包括超标事件分析、告警事件处理、超标事件汇总、超标事件申诉、考核数据报表、重点数据质控。</w:t>
      </w:r>
    </w:p>
    <w:p w14:paraId="74BCC643">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3.1超标事件分析服务</w:t>
      </w:r>
    </w:p>
    <w:p w14:paraId="5679FB57">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利用各项监测设备、利用监控视频进行历史录像回放，开展污染分析，对污染事件进行溯源，分析污染成因，第一时间传递污染信息，同时利用平台指挥调度和每日一报开展污染事件的处置流程，将问题落实到各责任部门，指导处置工作的开展，落实各流程的处置要求，持续跟踪整改效果，并形成问题台账。</w:t>
      </w:r>
    </w:p>
    <w:p w14:paraId="1D4EE5E1">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3.2告警事件处理服务</w:t>
      </w:r>
    </w:p>
    <w:p w14:paraId="6AF3F595">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根据设备的超标告警事件需要进行处置、超标分析，结果反馈，通过监控视频回放进行告警原因分析，开展污染分析，对污染事件进行溯源，分析污染成因，第一时间传递污染信息，并根据上报结果进行验证，针对每条告警事件进行告警原因分析验证记录，形成超标、处置汇总统计。</w:t>
      </w:r>
    </w:p>
    <w:p w14:paraId="2BA5178B">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3.3超标事件汇总服务</w:t>
      </w:r>
    </w:p>
    <w:p w14:paraId="20BF8AF7">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对各运维单位报警数据和报送情况的分析，如空值、在线状态、无数据、恒值、运维记录等，提供给相关部门决策，并指派相关人员现场核查；协同各区域街办对工地扬尘预警案件进行原因分析，对于异常事件进行超标原因追溯，对于超标原因进行汇总，定期形成管控建议。根据管理需要建立日、周、月报制度等，按时报送相关报告。</w:t>
      </w:r>
    </w:p>
    <w:p w14:paraId="134B063C">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3.4超标事件申诉处理服务</w:t>
      </w:r>
    </w:p>
    <w:p w14:paraId="291730C8">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污染物监测数据为累计数据，各考核对象对异常事件是极其关注的，除了通过正常渠道能够顺利反馈的，针对各工地对于告警事件问题的异议，可进行申诉，负责处理工地对于告警事件原因的解答以及调解，针对申诉的告警事件进行事件回放，仔细核查引起告警的原因，对告警时间段的视频进行二次排查，严格按照要求处理申诉事件，核查清楚原因并协调处理。</w:t>
      </w:r>
    </w:p>
    <w:p w14:paraId="4BD625F1">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3.5考核数据报表服务</w:t>
      </w:r>
    </w:p>
    <w:p w14:paraId="70F7AAB5">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对各维度数据进行汇总整理，支撑对工地、设备供应商、区县开发区、行业主管部门等不同对象主体的考核监管。设备安装期间对全西安市工地扬尘监测设备安装进度、数据接入情况、验收情况的相关统计报表，并针对各区县的工地安装情况进行统计分析。</w:t>
      </w:r>
    </w:p>
    <w:p w14:paraId="6B05523F">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3.6重点数据质控服务</w:t>
      </w:r>
    </w:p>
    <w:p w14:paraId="5EEFCFA3">
      <w:pPr>
        <w:keepLines w:val="0"/>
        <w:pageBreakBefore w:val="0"/>
        <w:kinsoku/>
        <w:topLinePunct w:val="0"/>
        <w:bidi w:val="0"/>
        <w:spacing w:line="576" w:lineRule="exact"/>
        <w:ind w:firstLine="200" w:firstLineChars="1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根据设备日常运维情况、故障情况提供重点质控清单，协助第三方数据质控服</w:t>
      </w:r>
    </w:p>
    <w:p w14:paraId="5710D9FA">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b/>
          <w:bCs/>
          <w:sz w:val="20"/>
          <w:szCs w:val="20"/>
        </w:rPr>
      </w:pPr>
      <w:r>
        <w:rPr>
          <w:rFonts w:hint="eastAsia" w:ascii="仿宋_GB2312" w:hAnsi="仿宋_GB2312" w:eastAsia="仿宋_GB2312" w:cs="仿宋_GB2312"/>
          <w:b/>
          <w:bCs/>
          <w:sz w:val="20"/>
          <w:szCs w:val="20"/>
        </w:rPr>
        <w:t>附件2.运维费核算办法</w:t>
      </w:r>
    </w:p>
    <w:p w14:paraId="6D66630D">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sz w:val="20"/>
          <w:szCs w:val="20"/>
        </w:rPr>
      </w:pPr>
    </w:p>
    <w:p w14:paraId="7F8894D6">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1)按月考核，每月总分100分，每月分别统计扣分情况，运维期结束年底统一结算。</w:t>
      </w:r>
    </w:p>
    <w:p w14:paraId="16C52C40">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2)考核总分为90分（含）以上时，甲方履行合同支付要求，全额支付合同中运维费总金额÷12（运维期为1年，按月核算）。</w:t>
      </w:r>
    </w:p>
    <w:p w14:paraId="0757FCE8">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3)考核总分为80分（含）至90分时，为初级警告，支付金额=考核得分/100*当月运维费。</w:t>
      </w:r>
    </w:p>
    <w:p w14:paraId="3C6F1907">
      <w:pPr>
        <w:keepNext w:val="0"/>
        <w:keepLines w:val="0"/>
        <w:pageBreakBefore w:val="0"/>
        <w:widowControl w:val="0"/>
        <w:kinsoku/>
        <w:wordWrap/>
        <w:overflowPunct/>
        <w:topLinePunct w:val="0"/>
        <w:autoSpaceDE/>
        <w:autoSpaceDN/>
        <w:bidi w:val="0"/>
        <w:adjustRightInd/>
        <w:snapToGrid/>
        <w:spacing w:line="576" w:lineRule="exact"/>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4）当月考核总分为70分（含）至80分时，为二级警告，扣除当月一半运维费用，并限期整改，乙方针对扣分项提交整改方案，经甲方审核后按照方案执行落实，方案执行费甲方酌情从运维费中扣除予以支付。整改后仍不合格时，不予支付当月运维费用。</w:t>
      </w:r>
    </w:p>
    <w:p w14:paraId="512EA753">
      <w:pPr>
        <w:keepNext/>
        <w:keepLines w:val="0"/>
        <w:pageBreakBefore w:val="0"/>
        <w:widowControl/>
        <w:kinsoku/>
        <w:wordWrap w:val="0"/>
        <w:overflowPunct w:val="0"/>
        <w:topLinePunct w:val="0"/>
        <w:autoSpaceDE w:val="0"/>
        <w:autoSpaceDN w:val="0"/>
        <w:bidi w:val="0"/>
        <w:adjustRightInd w:val="0"/>
        <w:snapToGrid w:val="0"/>
        <w:spacing w:before="78" w:line="4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pacing w:val="-1"/>
          <w:sz w:val="20"/>
          <w:szCs w:val="20"/>
          <w14:textOutline w14:w="4356" w14:cap="sq" w14:cmpd="sng">
            <w14:solidFill>
              <w14:srgbClr w14:val="000000"/>
            </w14:solidFill>
            <w14:prstDash w14:val="solid"/>
            <w14:bevel/>
          </w14:textOutline>
        </w:rPr>
        <w:t>运维服务考核评分表</w:t>
      </w:r>
    </w:p>
    <w:tbl>
      <w:tblPr>
        <w:tblStyle w:val="15"/>
        <w:tblW w:w="9713"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21"/>
        <w:gridCol w:w="1199"/>
        <w:gridCol w:w="2523"/>
        <w:gridCol w:w="1435"/>
        <w:gridCol w:w="2350"/>
        <w:gridCol w:w="754"/>
        <w:gridCol w:w="731"/>
      </w:tblGrid>
      <w:tr w14:paraId="69C5AB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8" w:hRule="atLeast"/>
          <w:tblHeader/>
          <w:jc w:val="center"/>
        </w:trPr>
        <w:tc>
          <w:tcPr>
            <w:tcW w:w="721" w:type="dxa"/>
            <w:shd w:val="clear" w:color="auto" w:fill="C0C0C0"/>
            <w:vAlign w:val="top"/>
          </w:tcPr>
          <w:p w14:paraId="5480BB18">
            <w:pPr>
              <w:pStyle w:val="14"/>
              <w:keepNext/>
              <w:keepLines w:val="0"/>
              <w:pageBreakBefore w:val="0"/>
              <w:widowControl/>
              <w:kinsoku/>
              <w:wordWrap w:val="0"/>
              <w:overflowPunct w:val="0"/>
              <w:topLinePunct w:val="0"/>
              <w:autoSpaceDE w:val="0"/>
              <w:autoSpaceDN w:val="0"/>
              <w:bidi w:val="0"/>
              <w:adjustRightInd w:val="0"/>
              <w:snapToGrid w:val="0"/>
              <w:spacing w:before="40" w:line="240" w:lineRule="auto"/>
              <w:ind w:left="129"/>
              <w:jc w:val="left"/>
              <w:textAlignment w:val="auto"/>
              <w:rPr>
                <w:rFonts w:hint="eastAsia" w:ascii="仿宋_GB2312" w:hAnsi="仿宋_GB2312" w:eastAsia="仿宋_GB2312" w:cs="仿宋_GB2312"/>
                <w:sz w:val="20"/>
                <w:szCs w:val="20"/>
              </w:rPr>
            </w:pPr>
            <w:r>
              <w:rPr>
                <w:rFonts w:hint="eastAsia" w:ascii="仿宋_GB2312" w:hAnsi="仿宋_GB2312" w:eastAsia="仿宋_GB2312" w:cs="仿宋_GB2312"/>
                <w:position w:val="17"/>
                <w:sz w:val="20"/>
                <w:szCs w:val="20"/>
                <w14:textOutline w14:w="4356" w14:cap="sq" w14:cmpd="sng">
                  <w14:solidFill>
                    <w14:srgbClr w14:val="000000"/>
                  </w14:solidFill>
                  <w14:prstDash w14:val="solid"/>
                  <w14:bevel/>
                </w14:textOutline>
              </w:rPr>
              <w:t>一级</w:t>
            </w:r>
          </w:p>
          <w:p w14:paraId="4E4426B6">
            <w:pPr>
              <w:pStyle w:val="14"/>
              <w:keepNext/>
              <w:keepLines w:val="0"/>
              <w:pageBreakBefore w:val="0"/>
              <w:widowControl/>
              <w:kinsoku/>
              <w:wordWrap w:val="0"/>
              <w:overflowPunct w:val="0"/>
              <w:topLinePunct w:val="0"/>
              <w:autoSpaceDE w:val="0"/>
              <w:autoSpaceDN w:val="0"/>
              <w:bidi w:val="0"/>
              <w:adjustRightInd w:val="0"/>
              <w:snapToGrid w:val="0"/>
              <w:spacing w:line="240" w:lineRule="auto"/>
              <w:ind w:left="128"/>
              <w:jc w:val="left"/>
              <w:textAlignment w:val="auto"/>
              <w:rPr>
                <w:rFonts w:hint="eastAsia" w:ascii="仿宋_GB2312" w:hAnsi="仿宋_GB2312" w:eastAsia="仿宋_GB2312" w:cs="仿宋_GB2312"/>
                <w:sz w:val="20"/>
                <w:szCs w:val="20"/>
              </w:rPr>
            </w:pPr>
            <w:r>
              <w:rPr>
                <w:rFonts w:hint="eastAsia" w:ascii="仿宋_GB2312" w:hAnsi="仿宋_GB2312" w:eastAsia="仿宋_GB2312" w:cs="仿宋_GB2312"/>
                <w:spacing w:val="-7"/>
                <w:sz w:val="20"/>
                <w:szCs w:val="20"/>
                <w14:textOutline w14:w="4356" w14:cap="sq" w14:cmpd="sng">
                  <w14:solidFill>
                    <w14:srgbClr w14:val="000000"/>
                  </w14:solidFill>
                  <w14:prstDash w14:val="solid"/>
                  <w14:bevel/>
                </w14:textOutline>
              </w:rPr>
              <w:t>指标</w:t>
            </w:r>
          </w:p>
        </w:tc>
        <w:tc>
          <w:tcPr>
            <w:tcW w:w="1199" w:type="dxa"/>
            <w:shd w:val="clear" w:color="auto" w:fill="C0C0C0"/>
            <w:vAlign w:val="top"/>
          </w:tcPr>
          <w:p w14:paraId="23AF4778">
            <w:pPr>
              <w:pStyle w:val="14"/>
              <w:keepNext/>
              <w:keepLines w:val="0"/>
              <w:pageBreakBefore w:val="0"/>
              <w:widowControl/>
              <w:kinsoku/>
              <w:wordWrap w:val="0"/>
              <w:overflowPunct w:val="0"/>
              <w:topLinePunct w:val="0"/>
              <w:autoSpaceDE w:val="0"/>
              <w:autoSpaceDN w:val="0"/>
              <w:bidi w:val="0"/>
              <w:adjustRightInd w:val="0"/>
              <w:snapToGrid w:val="0"/>
              <w:spacing w:before="273" w:line="240" w:lineRule="auto"/>
              <w:ind w:left="126"/>
              <w:jc w:val="left"/>
              <w:textAlignment w:val="auto"/>
              <w:rPr>
                <w:rFonts w:hint="eastAsia" w:ascii="仿宋_GB2312" w:hAnsi="仿宋_GB2312" w:eastAsia="仿宋_GB2312" w:cs="仿宋_GB2312"/>
                <w:sz w:val="20"/>
                <w:szCs w:val="20"/>
              </w:rPr>
            </w:pPr>
            <w:r>
              <w:rPr>
                <w:rFonts w:hint="eastAsia" w:ascii="仿宋_GB2312" w:hAnsi="仿宋_GB2312" w:eastAsia="仿宋_GB2312" w:cs="仿宋_GB2312"/>
                <w:spacing w:val="-3"/>
                <w:sz w:val="20"/>
                <w:szCs w:val="20"/>
                <w14:textOutline w14:w="4356" w14:cap="sq" w14:cmpd="sng">
                  <w14:solidFill>
                    <w14:srgbClr w14:val="000000"/>
                  </w14:solidFill>
                  <w14:prstDash w14:val="solid"/>
                  <w14:bevel/>
                </w14:textOutline>
              </w:rPr>
              <w:t>二级指标</w:t>
            </w:r>
          </w:p>
        </w:tc>
        <w:tc>
          <w:tcPr>
            <w:tcW w:w="3958" w:type="dxa"/>
            <w:gridSpan w:val="2"/>
            <w:shd w:val="clear" w:color="auto" w:fill="C0C0C0"/>
            <w:vAlign w:val="top"/>
          </w:tcPr>
          <w:p w14:paraId="5EE51BE0">
            <w:pPr>
              <w:pStyle w:val="14"/>
              <w:keepNext/>
              <w:keepLines w:val="0"/>
              <w:pageBreakBefore w:val="0"/>
              <w:widowControl/>
              <w:kinsoku/>
              <w:wordWrap w:val="0"/>
              <w:overflowPunct w:val="0"/>
              <w:topLinePunct w:val="0"/>
              <w:autoSpaceDE w:val="0"/>
              <w:autoSpaceDN w:val="0"/>
              <w:bidi w:val="0"/>
              <w:adjustRightInd w:val="0"/>
              <w:snapToGrid w:val="0"/>
              <w:spacing w:before="273" w:line="240" w:lineRule="auto"/>
              <w:ind w:left="1503"/>
              <w:jc w:val="left"/>
              <w:textAlignment w:val="auto"/>
              <w:rPr>
                <w:rFonts w:hint="eastAsia" w:ascii="仿宋_GB2312" w:hAnsi="仿宋_GB2312" w:eastAsia="仿宋_GB2312" w:cs="仿宋_GB2312"/>
                <w:sz w:val="20"/>
                <w:szCs w:val="20"/>
              </w:rPr>
            </w:pPr>
            <w:r>
              <w:rPr>
                <w:rFonts w:hint="eastAsia" w:ascii="仿宋_GB2312" w:hAnsi="仿宋_GB2312" w:eastAsia="仿宋_GB2312" w:cs="仿宋_GB2312"/>
                <w:spacing w:val="-2"/>
                <w:sz w:val="20"/>
                <w:szCs w:val="20"/>
                <w14:textOutline w14:w="4356" w14:cap="sq" w14:cmpd="sng">
                  <w14:solidFill>
                    <w14:srgbClr w14:val="000000"/>
                  </w14:solidFill>
                  <w14:prstDash w14:val="solid"/>
                  <w14:bevel/>
                </w14:textOutline>
              </w:rPr>
              <w:t>考核内容</w:t>
            </w:r>
          </w:p>
        </w:tc>
        <w:tc>
          <w:tcPr>
            <w:tcW w:w="2350" w:type="dxa"/>
            <w:shd w:val="clear" w:color="auto" w:fill="C0C0C0"/>
            <w:vAlign w:val="top"/>
          </w:tcPr>
          <w:p w14:paraId="3452F68E">
            <w:pPr>
              <w:pStyle w:val="14"/>
              <w:keepNext/>
              <w:keepLines w:val="0"/>
              <w:pageBreakBefore w:val="0"/>
              <w:widowControl/>
              <w:kinsoku/>
              <w:wordWrap w:val="0"/>
              <w:overflowPunct w:val="0"/>
              <w:topLinePunct w:val="0"/>
              <w:autoSpaceDE w:val="0"/>
              <w:autoSpaceDN w:val="0"/>
              <w:bidi w:val="0"/>
              <w:adjustRightInd w:val="0"/>
              <w:snapToGrid w:val="0"/>
              <w:spacing w:before="273" w:line="240" w:lineRule="auto"/>
              <w:ind w:left="696"/>
              <w:jc w:val="left"/>
              <w:textAlignment w:val="auto"/>
              <w:rPr>
                <w:rFonts w:hint="eastAsia" w:ascii="仿宋_GB2312" w:hAnsi="仿宋_GB2312" w:eastAsia="仿宋_GB2312" w:cs="仿宋_GB2312"/>
                <w:spacing w:val="-2"/>
                <w:sz w:val="20"/>
                <w:szCs w:val="20"/>
                <w14:textOutline w14:w="4356" w14:cap="sq" w14:cmpd="sng">
                  <w14:solidFill>
                    <w14:srgbClr w14:val="000000"/>
                  </w14:solidFill>
                  <w14:prstDash w14:val="solid"/>
                  <w14:bevel/>
                </w14:textOutline>
              </w:rPr>
            </w:pPr>
            <w:r>
              <w:rPr>
                <w:rFonts w:hint="eastAsia" w:ascii="仿宋_GB2312" w:hAnsi="仿宋_GB2312" w:eastAsia="仿宋_GB2312" w:cs="仿宋_GB2312"/>
                <w:spacing w:val="-2"/>
                <w:sz w:val="20"/>
                <w:szCs w:val="20"/>
                <w14:textOutline w14:w="4356" w14:cap="sq" w14:cmpd="sng">
                  <w14:solidFill>
                    <w14:srgbClr w14:val="000000"/>
                  </w14:solidFill>
                  <w14:prstDash w14:val="solid"/>
                  <w14:bevel/>
                </w14:textOutline>
              </w:rPr>
              <w:t>考核说明</w:t>
            </w:r>
          </w:p>
        </w:tc>
        <w:tc>
          <w:tcPr>
            <w:tcW w:w="754" w:type="dxa"/>
            <w:shd w:val="clear" w:color="auto" w:fill="C0C0C0"/>
            <w:vAlign w:val="top"/>
          </w:tcPr>
          <w:p w14:paraId="56CC197C">
            <w:pPr>
              <w:pStyle w:val="14"/>
              <w:keepNext/>
              <w:keepLines w:val="0"/>
              <w:pageBreakBefore w:val="0"/>
              <w:widowControl/>
              <w:kinsoku/>
              <w:wordWrap w:val="0"/>
              <w:overflowPunct w:val="0"/>
              <w:topLinePunct w:val="0"/>
              <w:autoSpaceDE w:val="0"/>
              <w:autoSpaceDN w:val="0"/>
              <w:bidi w:val="0"/>
              <w:adjustRightInd w:val="0"/>
              <w:snapToGrid w:val="0"/>
              <w:spacing w:before="40" w:line="240" w:lineRule="auto"/>
              <w:ind w:left="129"/>
              <w:jc w:val="left"/>
              <w:textAlignment w:val="auto"/>
              <w:rPr>
                <w:rFonts w:hint="eastAsia" w:ascii="仿宋_GB2312" w:hAnsi="仿宋_GB2312" w:eastAsia="仿宋_GB2312" w:cs="仿宋_GB2312"/>
                <w:position w:val="17"/>
                <w:sz w:val="20"/>
                <w:szCs w:val="20"/>
                <w14:textOutline w14:w="4356" w14:cap="sq" w14:cmpd="sng">
                  <w14:solidFill>
                    <w14:srgbClr w14:val="000000"/>
                  </w14:solidFill>
                  <w14:prstDash w14:val="solid"/>
                  <w14:bevel/>
                </w14:textOutline>
              </w:rPr>
            </w:pPr>
            <w:r>
              <w:rPr>
                <w:rFonts w:hint="eastAsia" w:ascii="仿宋_GB2312" w:hAnsi="仿宋_GB2312" w:eastAsia="仿宋_GB2312" w:cs="仿宋_GB2312"/>
                <w:position w:val="17"/>
                <w:sz w:val="20"/>
                <w:szCs w:val="20"/>
                <w14:textOutline w14:w="4356" w14:cap="sq" w14:cmpd="sng">
                  <w14:solidFill>
                    <w14:srgbClr w14:val="000000"/>
                  </w14:solidFill>
                  <w14:prstDash w14:val="solid"/>
                  <w14:bevel/>
                </w14:textOutline>
              </w:rPr>
              <w:t>考核</w:t>
            </w:r>
          </w:p>
          <w:p w14:paraId="64D133B6">
            <w:pPr>
              <w:pStyle w:val="14"/>
              <w:keepNext/>
              <w:keepLines w:val="0"/>
              <w:pageBreakBefore w:val="0"/>
              <w:widowControl/>
              <w:kinsoku/>
              <w:wordWrap w:val="0"/>
              <w:overflowPunct w:val="0"/>
              <w:topLinePunct w:val="0"/>
              <w:autoSpaceDE w:val="0"/>
              <w:autoSpaceDN w:val="0"/>
              <w:bidi w:val="0"/>
              <w:adjustRightInd w:val="0"/>
              <w:snapToGrid w:val="0"/>
              <w:spacing w:before="40" w:line="240" w:lineRule="auto"/>
              <w:ind w:left="129"/>
              <w:jc w:val="left"/>
              <w:textAlignment w:val="auto"/>
              <w:rPr>
                <w:rFonts w:hint="eastAsia" w:ascii="仿宋_GB2312" w:hAnsi="仿宋_GB2312" w:eastAsia="仿宋_GB2312" w:cs="仿宋_GB2312"/>
                <w:spacing w:val="-2"/>
                <w:sz w:val="20"/>
                <w:szCs w:val="20"/>
                <w:lang w:val="en-US" w:eastAsia="zh-CN"/>
                <w14:textOutline w14:w="4356" w14:cap="sq" w14:cmpd="sng">
                  <w14:solidFill>
                    <w14:srgbClr w14:val="000000"/>
                  </w14:solidFill>
                  <w14:prstDash w14:val="solid"/>
                  <w14:bevel/>
                </w14:textOutline>
              </w:rPr>
            </w:pPr>
            <w:r>
              <w:rPr>
                <w:rFonts w:hint="eastAsia" w:ascii="仿宋_GB2312" w:hAnsi="仿宋_GB2312" w:eastAsia="仿宋_GB2312" w:cs="仿宋_GB2312"/>
                <w:position w:val="17"/>
                <w:sz w:val="20"/>
                <w:szCs w:val="20"/>
                <w:lang w:val="en-US" w:eastAsia="zh-CN"/>
                <w14:textOutline w14:w="4356" w14:cap="sq" w14:cmpd="sng">
                  <w14:solidFill>
                    <w14:srgbClr w14:val="000000"/>
                  </w14:solidFill>
                  <w14:prstDash w14:val="solid"/>
                  <w14:bevel/>
                </w14:textOutline>
              </w:rPr>
              <w:t>得分</w:t>
            </w:r>
          </w:p>
        </w:tc>
        <w:tc>
          <w:tcPr>
            <w:tcW w:w="731" w:type="dxa"/>
            <w:shd w:val="clear" w:color="auto" w:fill="C0C0C0"/>
            <w:vAlign w:val="top"/>
          </w:tcPr>
          <w:p w14:paraId="56C46409">
            <w:pPr>
              <w:pStyle w:val="14"/>
              <w:keepNext/>
              <w:keepLines w:val="0"/>
              <w:pageBreakBefore w:val="0"/>
              <w:widowControl/>
              <w:kinsoku/>
              <w:wordWrap w:val="0"/>
              <w:overflowPunct w:val="0"/>
              <w:topLinePunct w:val="0"/>
              <w:autoSpaceDE w:val="0"/>
              <w:autoSpaceDN w:val="0"/>
              <w:bidi w:val="0"/>
              <w:adjustRightInd w:val="0"/>
              <w:snapToGrid w:val="0"/>
              <w:spacing w:before="272" w:line="240" w:lineRule="auto"/>
              <w:ind w:left="134"/>
              <w:jc w:val="left"/>
              <w:textAlignment w:val="auto"/>
              <w:rPr>
                <w:rFonts w:hint="eastAsia" w:ascii="仿宋_GB2312" w:hAnsi="仿宋_GB2312" w:eastAsia="仿宋_GB2312" w:cs="仿宋_GB2312"/>
                <w:sz w:val="20"/>
                <w:szCs w:val="20"/>
              </w:rPr>
            </w:pPr>
            <w:r>
              <w:rPr>
                <w:rFonts w:hint="eastAsia" w:ascii="仿宋_GB2312" w:hAnsi="仿宋_GB2312" w:eastAsia="仿宋_GB2312" w:cs="仿宋_GB2312"/>
                <w:spacing w:val="-7"/>
                <w:sz w:val="20"/>
                <w:szCs w:val="20"/>
                <w14:textOutline w14:w="4356" w14:cap="sq" w14:cmpd="sng">
                  <w14:solidFill>
                    <w14:srgbClr w14:val="000000"/>
                  </w14:solidFill>
                  <w14:prstDash w14:val="solid"/>
                  <w14:bevel/>
                </w14:textOutline>
              </w:rPr>
              <w:t>备注</w:t>
            </w:r>
          </w:p>
        </w:tc>
      </w:tr>
      <w:tr w14:paraId="238DC1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86" w:hRule="atLeast"/>
          <w:jc w:val="center"/>
        </w:trPr>
        <w:tc>
          <w:tcPr>
            <w:tcW w:w="721" w:type="dxa"/>
            <w:vMerge w:val="restart"/>
            <w:vAlign w:val="center"/>
          </w:tcPr>
          <w:p w14:paraId="7D333CDE">
            <w:pPr>
              <w:pStyle w:val="14"/>
              <w:keepNext/>
              <w:keepLines w:val="0"/>
              <w:pageBreakBefore w:val="0"/>
              <w:widowControl/>
              <w:kinsoku/>
              <w:wordWrap w:val="0"/>
              <w:overflowPunct w:val="0"/>
              <w:topLinePunct w:val="0"/>
              <w:autoSpaceDE w:val="0"/>
              <w:autoSpaceDN w:val="0"/>
              <w:bidi w:val="0"/>
              <w:adjustRightInd w:val="0"/>
              <w:snapToGrid w:val="0"/>
              <w:spacing w:before="78" w:line="400" w:lineRule="exact"/>
              <w:ind w:left="119"/>
              <w:jc w:val="both"/>
              <w:textAlignment w:val="auto"/>
              <w:rPr>
                <w:rFonts w:hint="eastAsia" w:ascii="仿宋_GB2312" w:hAnsi="仿宋_GB2312" w:eastAsia="仿宋_GB2312" w:cs="仿宋_GB2312"/>
                <w:sz w:val="20"/>
                <w:szCs w:val="20"/>
              </w:rPr>
            </w:pPr>
            <w:r>
              <w:rPr>
                <w:rFonts w:hint="eastAsia" w:ascii="仿宋_GB2312" w:hAnsi="仿宋_GB2312" w:eastAsia="仿宋_GB2312" w:cs="仿宋_GB2312"/>
                <w:spacing w:val="-7"/>
                <w:position w:val="17"/>
                <w:sz w:val="20"/>
                <w:szCs w:val="20"/>
                <w14:textOutline w14:w="4356" w14:cap="sq" w14:cmpd="sng">
                  <w14:solidFill>
                    <w14:srgbClr w14:val="000000"/>
                  </w14:solidFill>
                  <w14:prstDash w14:val="solid"/>
                  <w14:bevel/>
                </w14:textOutline>
              </w:rPr>
              <w:t>工作</w:t>
            </w:r>
          </w:p>
          <w:p w14:paraId="042635F5">
            <w:pPr>
              <w:pStyle w:val="14"/>
              <w:keepNext/>
              <w:keepLines w:val="0"/>
              <w:pageBreakBefore w:val="0"/>
              <w:widowControl/>
              <w:kinsoku/>
              <w:wordWrap w:val="0"/>
              <w:overflowPunct w:val="0"/>
              <w:topLinePunct w:val="0"/>
              <w:autoSpaceDE w:val="0"/>
              <w:autoSpaceDN w:val="0"/>
              <w:bidi w:val="0"/>
              <w:adjustRightInd w:val="0"/>
              <w:snapToGrid w:val="0"/>
              <w:spacing w:line="400" w:lineRule="exact"/>
              <w:ind w:left="145"/>
              <w:jc w:val="both"/>
              <w:textAlignment w:val="auto"/>
              <w:rPr>
                <w:rFonts w:hint="eastAsia" w:ascii="仿宋_GB2312" w:hAnsi="仿宋_GB2312" w:eastAsia="仿宋_GB2312" w:cs="仿宋_GB2312"/>
                <w:sz w:val="20"/>
                <w:szCs w:val="20"/>
              </w:rPr>
            </w:pPr>
            <w:r>
              <w:rPr>
                <w:rFonts w:hint="eastAsia" w:ascii="仿宋_GB2312" w:hAnsi="仿宋_GB2312" w:eastAsia="仿宋_GB2312" w:cs="仿宋_GB2312"/>
                <w:spacing w:val="-20"/>
                <w:sz w:val="20"/>
                <w:szCs w:val="20"/>
                <w14:textOutline w14:w="4356" w14:cap="sq" w14:cmpd="sng">
                  <w14:solidFill>
                    <w14:srgbClr w14:val="000000"/>
                  </w14:solidFill>
                  <w14:prstDash w14:val="solid"/>
                  <w14:bevel/>
                </w14:textOutline>
              </w:rPr>
              <w:t>内容</w:t>
            </w:r>
          </w:p>
        </w:tc>
        <w:tc>
          <w:tcPr>
            <w:tcW w:w="1199" w:type="dxa"/>
            <w:vMerge w:val="restart"/>
            <w:vAlign w:val="center"/>
          </w:tcPr>
          <w:p w14:paraId="6290E1C0">
            <w:pPr>
              <w:pStyle w:val="14"/>
              <w:keepNext/>
              <w:keepLines w:val="0"/>
              <w:pageBreakBefore w:val="0"/>
              <w:widowControl/>
              <w:kinsoku/>
              <w:wordWrap w:val="0"/>
              <w:overflowPunct w:val="0"/>
              <w:topLinePunct w:val="0"/>
              <w:autoSpaceDE w:val="0"/>
              <w:autoSpaceDN w:val="0"/>
              <w:bidi w:val="0"/>
              <w:adjustRightInd w:val="0"/>
              <w:snapToGrid w:val="0"/>
              <w:spacing w:before="78" w:line="400" w:lineRule="exact"/>
              <w:ind w:left="111" w:right="130" w:firstLine="4"/>
              <w:jc w:val="center"/>
              <w:textAlignment w:val="auto"/>
              <w:rPr>
                <w:rFonts w:hint="eastAsia" w:ascii="仿宋_GB2312" w:hAnsi="仿宋_GB2312" w:eastAsia="仿宋_GB2312" w:cs="仿宋_GB2312"/>
                <w:sz w:val="20"/>
                <w:szCs w:val="20"/>
              </w:rPr>
            </w:pPr>
            <w:r>
              <w:rPr>
                <w:rFonts w:hint="eastAsia" w:ascii="仿宋_GB2312" w:hAnsi="仿宋_GB2312" w:eastAsia="仿宋_GB2312" w:cs="仿宋_GB2312"/>
                <w:spacing w:val="-4"/>
                <w:sz w:val="20"/>
                <w:szCs w:val="20"/>
              </w:rPr>
              <w:t>设备全生</w:t>
            </w:r>
            <w:r>
              <w:rPr>
                <w:rFonts w:hint="eastAsia" w:ascii="仿宋_GB2312" w:hAnsi="仿宋_GB2312" w:eastAsia="仿宋_GB2312" w:cs="仿宋_GB2312"/>
                <w:spacing w:val="-3"/>
                <w:sz w:val="20"/>
                <w:szCs w:val="20"/>
              </w:rPr>
              <w:t>命周期管</w:t>
            </w:r>
          </w:p>
          <w:p w14:paraId="0EFDBE0A">
            <w:pPr>
              <w:pStyle w:val="14"/>
              <w:keepNext/>
              <w:keepLines w:val="0"/>
              <w:pageBreakBefore w:val="0"/>
              <w:widowControl/>
              <w:kinsoku/>
              <w:wordWrap w:val="0"/>
              <w:overflowPunct w:val="0"/>
              <w:topLinePunct w:val="0"/>
              <w:autoSpaceDE w:val="0"/>
              <w:autoSpaceDN w:val="0"/>
              <w:bidi w:val="0"/>
              <w:adjustRightInd w:val="0"/>
              <w:snapToGrid w:val="0"/>
              <w:spacing w:line="400" w:lineRule="exact"/>
              <w:ind w:left="115"/>
              <w:jc w:val="center"/>
              <w:textAlignment w:val="auto"/>
              <w:rPr>
                <w:rFonts w:hint="eastAsia" w:ascii="仿宋_GB2312" w:hAnsi="仿宋_GB2312" w:eastAsia="仿宋_GB2312" w:cs="仿宋_GB2312"/>
                <w:sz w:val="20"/>
                <w:szCs w:val="20"/>
              </w:rPr>
            </w:pPr>
            <w:r>
              <w:rPr>
                <w:rFonts w:hint="eastAsia" w:ascii="仿宋_GB2312" w:hAnsi="仿宋_GB2312" w:eastAsia="仿宋_GB2312" w:cs="仿宋_GB2312"/>
                <w:spacing w:val="-5"/>
                <w:sz w:val="20"/>
                <w:szCs w:val="20"/>
              </w:rPr>
              <w:t>理服务</w:t>
            </w:r>
          </w:p>
        </w:tc>
        <w:tc>
          <w:tcPr>
            <w:tcW w:w="3958" w:type="dxa"/>
            <w:gridSpan w:val="2"/>
            <w:vAlign w:val="top"/>
          </w:tcPr>
          <w:p w14:paraId="2B87BABC">
            <w:pPr>
              <w:pStyle w:val="14"/>
              <w:keepNext/>
              <w:keepLines w:val="0"/>
              <w:pageBreakBefore w:val="0"/>
              <w:widowControl/>
              <w:kinsoku/>
              <w:wordWrap w:val="0"/>
              <w:overflowPunct w:val="0"/>
              <w:topLinePunct w:val="0"/>
              <w:autoSpaceDE w:val="0"/>
              <w:autoSpaceDN w:val="0"/>
              <w:bidi w:val="0"/>
              <w:adjustRightInd w:val="0"/>
              <w:snapToGrid w:val="0"/>
              <w:spacing w:before="78" w:line="400" w:lineRule="exact"/>
              <w:ind w:left="57" w:right="57"/>
              <w:textAlignment w:val="auto"/>
              <w:rPr>
                <w:rFonts w:hint="eastAsia" w:ascii="仿宋_GB2312" w:hAnsi="仿宋_GB2312" w:eastAsia="仿宋_GB2312" w:cs="仿宋_GB2312"/>
                <w:sz w:val="20"/>
                <w:szCs w:val="20"/>
              </w:rPr>
            </w:pPr>
            <w:r>
              <w:rPr>
                <w:rFonts w:hint="eastAsia" w:ascii="仿宋_GB2312" w:hAnsi="仿宋_GB2312" w:eastAsia="仿宋_GB2312" w:cs="仿宋_GB2312"/>
                <w:spacing w:val="-1"/>
                <w:sz w:val="20"/>
                <w:szCs w:val="20"/>
              </w:rPr>
              <w:t>配合设备商进行各项视频数据接入，并对设备相关情况进行统计</w:t>
            </w:r>
            <w:r>
              <w:rPr>
                <w:rFonts w:hint="eastAsia" w:ascii="仿宋_GB2312" w:hAnsi="仿宋_GB2312" w:eastAsia="仿宋_GB2312" w:cs="仿宋_GB2312"/>
                <w:spacing w:val="-1"/>
                <w:sz w:val="20"/>
                <w:szCs w:val="20"/>
                <w:lang w:eastAsia="zh-CN"/>
              </w:rPr>
              <w:t>，</w:t>
            </w:r>
            <w:r>
              <w:rPr>
                <w:rFonts w:hint="eastAsia" w:ascii="仿宋_GB2312" w:hAnsi="仿宋_GB2312" w:eastAsia="仿宋_GB2312" w:cs="仿宋_GB2312"/>
                <w:spacing w:val="-1"/>
                <w:sz w:val="20"/>
                <w:szCs w:val="20"/>
              </w:rPr>
              <w:t>服务内容包括对报文发送、视频接入、视频配置等问题，进行处理及回复，保障全市在建工地的扬尘监测数据无障碍接入传输。</w:t>
            </w:r>
          </w:p>
        </w:tc>
        <w:tc>
          <w:tcPr>
            <w:tcW w:w="2350" w:type="dxa"/>
            <w:vAlign w:val="center"/>
          </w:tcPr>
          <w:p w14:paraId="61745C8D">
            <w:pPr>
              <w:pStyle w:val="14"/>
              <w:keepNext/>
              <w:keepLines w:val="0"/>
              <w:pageBreakBefore w:val="0"/>
              <w:widowControl/>
              <w:kinsoku/>
              <w:wordWrap w:val="0"/>
              <w:overflowPunct w:val="0"/>
              <w:topLinePunct w:val="0"/>
              <w:autoSpaceDE w:val="0"/>
              <w:autoSpaceDN w:val="0"/>
              <w:bidi w:val="0"/>
              <w:adjustRightInd w:val="0"/>
              <w:snapToGrid w:val="0"/>
              <w:spacing w:before="78" w:line="400" w:lineRule="exact"/>
              <w:ind w:left="57" w:leftChars="0" w:right="57"/>
              <w:jc w:val="both"/>
              <w:textAlignment w:val="auto"/>
              <w:rPr>
                <w:rFonts w:hint="eastAsia" w:ascii="仿宋_GB2312" w:hAnsi="仿宋_GB2312" w:eastAsia="仿宋_GB2312" w:cs="仿宋_GB2312"/>
                <w:sz w:val="20"/>
                <w:szCs w:val="20"/>
              </w:rPr>
            </w:pPr>
            <w:r>
              <w:rPr>
                <w:rFonts w:hint="eastAsia" w:ascii="仿宋_GB2312" w:hAnsi="仿宋_GB2312" w:eastAsia="仿宋_GB2312" w:cs="仿宋_GB2312"/>
                <w:spacing w:val="-2"/>
                <w:sz w:val="20"/>
                <w:szCs w:val="20"/>
              </w:rPr>
              <w:t>收到相关申请信息3天内处理完成相关服务，未按要求处理的一次扣0.5分，共5分。</w:t>
            </w:r>
          </w:p>
        </w:tc>
        <w:tc>
          <w:tcPr>
            <w:tcW w:w="754" w:type="dxa"/>
            <w:vAlign w:val="top"/>
          </w:tcPr>
          <w:p w14:paraId="7D541CBB">
            <w:pPr>
              <w:keepNext/>
              <w:keepLines w:val="0"/>
              <w:pageBreakBefore w:val="0"/>
              <w:widowControl/>
              <w:kinsoku/>
              <w:wordWrap w:val="0"/>
              <w:overflowPunct w:val="0"/>
              <w:topLinePunct w:val="0"/>
              <w:autoSpaceDE w:val="0"/>
              <w:autoSpaceDN w:val="0"/>
              <w:bidi w:val="0"/>
              <w:adjustRightInd w:val="0"/>
              <w:snapToGrid w:val="0"/>
              <w:spacing w:line="400" w:lineRule="exact"/>
              <w:textAlignment w:val="auto"/>
              <w:rPr>
                <w:rFonts w:hint="eastAsia" w:ascii="仿宋_GB2312" w:hAnsi="仿宋_GB2312" w:eastAsia="仿宋_GB2312" w:cs="仿宋_GB2312"/>
                <w:sz w:val="20"/>
                <w:szCs w:val="20"/>
              </w:rPr>
            </w:pPr>
          </w:p>
        </w:tc>
        <w:tc>
          <w:tcPr>
            <w:tcW w:w="731" w:type="dxa"/>
            <w:vAlign w:val="top"/>
          </w:tcPr>
          <w:p w14:paraId="3F604E03">
            <w:pPr>
              <w:keepNext/>
              <w:keepLines w:val="0"/>
              <w:pageBreakBefore w:val="0"/>
              <w:widowControl/>
              <w:kinsoku/>
              <w:wordWrap w:val="0"/>
              <w:overflowPunct w:val="0"/>
              <w:topLinePunct w:val="0"/>
              <w:autoSpaceDE w:val="0"/>
              <w:autoSpaceDN w:val="0"/>
              <w:bidi w:val="0"/>
              <w:adjustRightInd w:val="0"/>
              <w:snapToGrid w:val="0"/>
              <w:spacing w:line="400" w:lineRule="exact"/>
              <w:textAlignment w:val="auto"/>
              <w:rPr>
                <w:rFonts w:hint="eastAsia" w:ascii="仿宋_GB2312" w:hAnsi="仿宋_GB2312" w:eastAsia="仿宋_GB2312" w:cs="仿宋_GB2312"/>
                <w:sz w:val="20"/>
                <w:szCs w:val="20"/>
              </w:rPr>
            </w:pPr>
          </w:p>
        </w:tc>
      </w:tr>
      <w:tr w14:paraId="7D29B3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8" w:hRule="atLeast"/>
          <w:jc w:val="center"/>
        </w:trPr>
        <w:tc>
          <w:tcPr>
            <w:tcW w:w="721" w:type="dxa"/>
            <w:vMerge w:val="continue"/>
            <w:vAlign w:val="top"/>
          </w:tcPr>
          <w:p w14:paraId="4A4760F6">
            <w:pPr>
              <w:pStyle w:val="14"/>
              <w:keepNext/>
              <w:keepLines w:val="0"/>
              <w:pageBreakBefore w:val="0"/>
              <w:widowControl/>
              <w:kinsoku/>
              <w:wordWrap w:val="0"/>
              <w:overflowPunct w:val="0"/>
              <w:topLinePunct w:val="0"/>
              <w:autoSpaceDE w:val="0"/>
              <w:autoSpaceDN w:val="0"/>
              <w:bidi w:val="0"/>
              <w:adjustRightInd w:val="0"/>
              <w:snapToGrid w:val="0"/>
              <w:spacing w:line="400" w:lineRule="exact"/>
              <w:ind w:left="145"/>
              <w:textAlignment w:val="auto"/>
              <w:rPr>
                <w:rFonts w:hint="eastAsia" w:ascii="仿宋_GB2312" w:hAnsi="仿宋_GB2312" w:eastAsia="仿宋_GB2312" w:cs="仿宋_GB2312"/>
                <w:spacing w:val="-20"/>
                <w:sz w:val="20"/>
                <w:szCs w:val="20"/>
                <w14:textOutline w14:w="4356" w14:cap="sq" w14:cmpd="sng">
                  <w14:solidFill>
                    <w14:srgbClr w14:val="000000"/>
                  </w14:solidFill>
                  <w14:prstDash w14:val="solid"/>
                  <w14:bevel/>
                </w14:textOutline>
              </w:rPr>
            </w:pPr>
          </w:p>
        </w:tc>
        <w:tc>
          <w:tcPr>
            <w:tcW w:w="1199" w:type="dxa"/>
            <w:vMerge w:val="continue"/>
            <w:vAlign w:val="center"/>
          </w:tcPr>
          <w:p w14:paraId="792F8286">
            <w:pPr>
              <w:pStyle w:val="14"/>
              <w:keepNext/>
              <w:keepLines w:val="0"/>
              <w:pageBreakBefore w:val="0"/>
              <w:widowControl/>
              <w:kinsoku/>
              <w:wordWrap w:val="0"/>
              <w:overflowPunct w:val="0"/>
              <w:topLinePunct w:val="0"/>
              <w:autoSpaceDE w:val="0"/>
              <w:autoSpaceDN w:val="0"/>
              <w:bidi w:val="0"/>
              <w:adjustRightInd w:val="0"/>
              <w:snapToGrid w:val="0"/>
              <w:spacing w:line="400" w:lineRule="exact"/>
              <w:ind w:left="115"/>
              <w:jc w:val="center"/>
              <w:textAlignment w:val="auto"/>
              <w:rPr>
                <w:rFonts w:hint="eastAsia" w:ascii="仿宋_GB2312" w:hAnsi="仿宋_GB2312" w:eastAsia="仿宋_GB2312" w:cs="仿宋_GB2312"/>
                <w:spacing w:val="-5"/>
                <w:sz w:val="20"/>
                <w:szCs w:val="20"/>
              </w:rPr>
            </w:pPr>
          </w:p>
        </w:tc>
        <w:tc>
          <w:tcPr>
            <w:tcW w:w="3958" w:type="dxa"/>
            <w:gridSpan w:val="2"/>
            <w:vAlign w:val="top"/>
          </w:tcPr>
          <w:p w14:paraId="4ECCA6C6">
            <w:pPr>
              <w:pStyle w:val="14"/>
              <w:keepNext/>
              <w:keepLines w:val="0"/>
              <w:pageBreakBefore w:val="0"/>
              <w:widowControl/>
              <w:kinsoku/>
              <w:wordWrap w:val="0"/>
              <w:overflowPunct w:val="0"/>
              <w:topLinePunct w:val="0"/>
              <w:autoSpaceDE w:val="0"/>
              <w:autoSpaceDN w:val="0"/>
              <w:bidi w:val="0"/>
              <w:adjustRightInd w:val="0"/>
              <w:snapToGrid w:val="0"/>
              <w:spacing w:before="78" w:line="400" w:lineRule="exact"/>
              <w:ind w:left="57" w:right="57"/>
              <w:textAlignment w:val="auto"/>
              <w:rPr>
                <w:rFonts w:hint="eastAsia" w:ascii="仿宋_GB2312" w:hAnsi="仿宋_GB2312" w:eastAsia="仿宋_GB2312" w:cs="仿宋_GB2312"/>
                <w:spacing w:val="-1"/>
                <w:sz w:val="20"/>
                <w:szCs w:val="20"/>
              </w:rPr>
            </w:pPr>
            <w:r>
              <w:rPr>
                <w:rFonts w:hint="eastAsia" w:ascii="仿宋_GB2312" w:hAnsi="仿宋_GB2312" w:eastAsia="仿宋_GB2312" w:cs="仿宋_GB2312"/>
                <w:sz w:val="20"/>
                <w:szCs w:val="20"/>
              </w:rPr>
              <w:t>针对扬尘平台上联网设备，督促厂商及时进行资料和现场验收申请</w:t>
            </w:r>
            <w:r>
              <w:rPr>
                <w:rFonts w:hint="eastAsia" w:ascii="仿宋_GB2312" w:hAnsi="仿宋_GB2312" w:eastAsia="仿宋_GB2312" w:cs="仿宋_GB2312"/>
                <w:sz w:val="20"/>
                <w:szCs w:val="20"/>
                <w:lang w:eastAsia="zh-CN"/>
              </w:rPr>
              <w:t>，</w:t>
            </w:r>
            <w:r>
              <w:rPr>
                <w:rFonts w:hint="eastAsia" w:ascii="仿宋_GB2312" w:hAnsi="仿宋_GB2312" w:eastAsia="仿宋_GB2312" w:cs="仿宋_GB2312"/>
                <w:sz w:val="20"/>
                <w:szCs w:val="20"/>
              </w:rPr>
              <w:t>对区县验收不通过的设备，如安装位置及合同附件不合格的，通知厂商尽快完成整改。对主管单位未及时验收的设备进行统计，定期发送市级主管单位，督促区主管单位及时对扬尘检测设备进行资料验收和现场验收。还包含针对需要进行设备移机的情况进行咨询等服务。</w:t>
            </w:r>
          </w:p>
        </w:tc>
        <w:tc>
          <w:tcPr>
            <w:tcW w:w="2350" w:type="dxa"/>
            <w:vAlign w:val="center"/>
          </w:tcPr>
          <w:p w14:paraId="4FAA0F94">
            <w:pPr>
              <w:pStyle w:val="14"/>
              <w:keepNext/>
              <w:keepLines w:val="0"/>
              <w:pageBreakBefore w:val="0"/>
              <w:widowControl/>
              <w:kinsoku/>
              <w:wordWrap w:val="0"/>
              <w:overflowPunct w:val="0"/>
              <w:topLinePunct w:val="0"/>
              <w:autoSpaceDE w:val="0"/>
              <w:autoSpaceDN w:val="0"/>
              <w:bidi w:val="0"/>
              <w:adjustRightInd w:val="0"/>
              <w:snapToGrid w:val="0"/>
              <w:spacing w:line="400" w:lineRule="exact"/>
              <w:ind w:left="57" w:right="57"/>
              <w:jc w:val="both"/>
              <w:textAlignment w:val="auto"/>
              <w:rPr>
                <w:rFonts w:hint="eastAsia" w:ascii="仿宋_GB2312" w:hAnsi="仿宋_GB2312" w:eastAsia="仿宋_GB2312" w:cs="仿宋_GB2312"/>
                <w:spacing w:val="-3"/>
                <w:sz w:val="20"/>
                <w:szCs w:val="20"/>
              </w:rPr>
            </w:pPr>
            <w:r>
              <w:rPr>
                <w:rFonts w:hint="eastAsia" w:ascii="仿宋_GB2312" w:hAnsi="仿宋_GB2312" w:eastAsia="仿宋_GB2312" w:cs="仿宋_GB2312"/>
                <w:spacing w:val="-2"/>
                <w:sz w:val="20"/>
                <w:szCs w:val="20"/>
              </w:rPr>
              <w:t>收到相关申请信息3天内处理完成相关服务，未按要求处理的一次扣0.5分，共5分。</w:t>
            </w:r>
          </w:p>
        </w:tc>
        <w:tc>
          <w:tcPr>
            <w:tcW w:w="754" w:type="dxa"/>
            <w:vAlign w:val="top"/>
          </w:tcPr>
          <w:p w14:paraId="1CD7A112">
            <w:pPr>
              <w:keepNext/>
              <w:keepLines w:val="0"/>
              <w:pageBreakBefore w:val="0"/>
              <w:widowControl/>
              <w:kinsoku/>
              <w:wordWrap w:val="0"/>
              <w:overflowPunct w:val="0"/>
              <w:topLinePunct w:val="0"/>
              <w:autoSpaceDE w:val="0"/>
              <w:autoSpaceDN w:val="0"/>
              <w:bidi w:val="0"/>
              <w:adjustRightInd w:val="0"/>
              <w:snapToGrid w:val="0"/>
              <w:spacing w:line="400" w:lineRule="exact"/>
              <w:textAlignment w:val="auto"/>
              <w:rPr>
                <w:rFonts w:hint="eastAsia" w:ascii="仿宋_GB2312" w:hAnsi="仿宋_GB2312" w:eastAsia="仿宋_GB2312" w:cs="仿宋_GB2312"/>
                <w:sz w:val="20"/>
                <w:szCs w:val="20"/>
              </w:rPr>
            </w:pPr>
          </w:p>
        </w:tc>
        <w:tc>
          <w:tcPr>
            <w:tcW w:w="731" w:type="dxa"/>
            <w:vAlign w:val="top"/>
          </w:tcPr>
          <w:p w14:paraId="0BD24B91">
            <w:pPr>
              <w:keepNext/>
              <w:keepLines w:val="0"/>
              <w:pageBreakBefore w:val="0"/>
              <w:widowControl/>
              <w:kinsoku/>
              <w:wordWrap w:val="0"/>
              <w:overflowPunct w:val="0"/>
              <w:topLinePunct w:val="0"/>
              <w:autoSpaceDE w:val="0"/>
              <w:autoSpaceDN w:val="0"/>
              <w:bidi w:val="0"/>
              <w:adjustRightInd w:val="0"/>
              <w:snapToGrid w:val="0"/>
              <w:spacing w:line="400" w:lineRule="exact"/>
              <w:textAlignment w:val="auto"/>
              <w:rPr>
                <w:rFonts w:hint="eastAsia" w:ascii="仿宋_GB2312" w:hAnsi="仿宋_GB2312" w:eastAsia="仿宋_GB2312" w:cs="仿宋_GB2312"/>
                <w:sz w:val="20"/>
                <w:szCs w:val="20"/>
              </w:rPr>
            </w:pPr>
          </w:p>
        </w:tc>
      </w:tr>
      <w:tr w14:paraId="692AC6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8" w:hRule="atLeast"/>
          <w:jc w:val="center"/>
        </w:trPr>
        <w:tc>
          <w:tcPr>
            <w:tcW w:w="721" w:type="dxa"/>
            <w:vMerge w:val="continue"/>
            <w:vAlign w:val="top"/>
          </w:tcPr>
          <w:p w14:paraId="464012E5">
            <w:pPr>
              <w:pStyle w:val="14"/>
              <w:keepNext/>
              <w:keepLines w:val="0"/>
              <w:pageBreakBefore w:val="0"/>
              <w:widowControl/>
              <w:kinsoku/>
              <w:wordWrap w:val="0"/>
              <w:overflowPunct w:val="0"/>
              <w:topLinePunct w:val="0"/>
              <w:autoSpaceDE w:val="0"/>
              <w:autoSpaceDN w:val="0"/>
              <w:bidi w:val="0"/>
              <w:adjustRightInd w:val="0"/>
              <w:snapToGrid w:val="0"/>
              <w:spacing w:line="400" w:lineRule="exact"/>
              <w:ind w:left="145"/>
              <w:textAlignment w:val="auto"/>
              <w:rPr>
                <w:rFonts w:hint="eastAsia" w:ascii="仿宋_GB2312" w:hAnsi="仿宋_GB2312" w:eastAsia="仿宋_GB2312" w:cs="仿宋_GB2312"/>
                <w:spacing w:val="-20"/>
                <w:sz w:val="20"/>
                <w:szCs w:val="20"/>
                <w14:textOutline w14:w="4356" w14:cap="sq" w14:cmpd="sng">
                  <w14:solidFill>
                    <w14:srgbClr w14:val="000000"/>
                  </w14:solidFill>
                  <w14:prstDash w14:val="solid"/>
                  <w14:bevel/>
                </w14:textOutline>
              </w:rPr>
            </w:pPr>
          </w:p>
        </w:tc>
        <w:tc>
          <w:tcPr>
            <w:tcW w:w="1199" w:type="dxa"/>
            <w:vMerge w:val="continue"/>
            <w:vAlign w:val="center"/>
          </w:tcPr>
          <w:p w14:paraId="739FA1F7">
            <w:pPr>
              <w:pStyle w:val="14"/>
              <w:keepNext/>
              <w:keepLines w:val="0"/>
              <w:pageBreakBefore w:val="0"/>
              <w:widowControl/>
              <w:kinsoku/>
              <w:wordWrap w:val="0"/>
              <w:overflowPunct w:val="0"/>
              <w:topLinePunct w:val="0"/>
              <w:autoSpaceDE w:val="0"/>
              <w:autoSpaceDN w:val="0"/>
              <w:bidi w:val="0"/>
              <w:adjustRightInd w:val="0"/>
              <w:snapToGrid w:val="0"/>
              <w:spacing w:line="400" w:lineRule="exact"/>
              <w:ind w:left="115"/>
              <w:jc w:val="center"/>
              <w:textAlignment w:val="auto"/>
              <w:rPr>
                <w:rFonts w:hint="eastAsia" w:ascii="仿宋_GB2312" w:hAnsi="仿宋_GB2312" w:eastAsia="仿宋_GB2312" w:cs="仿宋_GB2312"/>
                <w:spacing w:val="-5"/>
                <w:sz w:val="20"/>
                <w:szCs w:val="20"/>
              </w:rPr>
            </w:pPr>
          </w:p>
        </w:tc>
        <w:tc>
          <w:tcPr>
            <w:tcW w:w="3958" w:type="dxa"/>
            <w:gridSpan w:val="2"/>
            <w:vAlign w:val="top"/>
          </w:tcPr>
          <w:p w14:paraId="6E8B7060">
            <w:pPr>
              <w:pStyle w:val="14"/>
              <w:keepNext/>
              <w:keepLines w:val="0"/>
              <w:pageBreakBefore w:val="0"/>
              <w:widowControl/>
              <w:kinsoku/>
              <w:wordWrap w:val="0"/>
              <w:overflowPunct w:val="0"/>
              <w:topLinePunct w:val="0"/>
              <w:autoSpaceDE w:val="0"/>
              <w:autoSpaceDN w:val="0"/>
              <w:bidi w:val="0"/>
              <w:adjustRightInd w:val="0"/>
              <w:snapToGrid w:val="0"/>
              <w:spacing w:before="40" w:line="400" w:lineRule="exact"/>
              <w:ind w:left="57" w:leftChars="0" w:right="57"/>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工地停工、停电等异常数据处理工作，需要综合汇总工地状态、运维情况、故障上报、整改情况等信息进行有效性审核，及时排查设备异常问题，对不可预见问题及时协调处置。</w:t>
            </w:r>
          </w:p>
        </w:tc>
        <w:tc>
          <w:tcPr>
            <w:tcW w:w="2350" w:type="dxa"/>
            <w:vAlign w:val="center"/>
          </w:tcPr>
          <w:p w14:paraId="57445C19">
            <w:pPr>
              <w:pStyle w:val="14"/>
              <w:keepNext/>
              <w:keepLines w:val="0"/>
              <w:pageBreakBefore w:val="0"/>
              <w:widowControl/>
              <w:kinsoku/>
              <w:wordWrap w:val="0"/>
              <w:overflowPunct w:val="0"/>
              <w:topLinePunct w:val="0"/>
              <w:autoSpaceDE w:val="0"/>
              <w:autoSpaceDN w:val="0"/>
              <w:bidi w:val="0"/>
              <w:adjustRightInd w:val="0"/>
              <w:snapToGrid w:val="0"/>
              <w:spacing w:before="270" w:line="400" w:lineRule="exact"/>
              <w:ind w:left="57" w:leftChars="0" w:right="57" w:rightChars="0" w:firstLine="8" w:firstLineChars="0"/>
              <w:jc w:val="both"/>
              <w:textAlignment w:val="auto"/>
              <w:rPr>
                <w:rFonts w:hint="eastAsia" w:ascii="仿宋_GB2312" w:hAnsi="仿宋_GB2312" w:eastAsia="仿宋_GB2312" w:cs="仿宋_GB2312"/>
                <w:spacing w:val="-2"/>
                <w:sz w:val="20"/>
                <w:szCs w:val="20"/>
              </w:rPr>
            </w:pPr>
            <w:r>
              <w:rPr>
                <w:rFonts w:hint="eastAsia" w:ascii="仿宋_GB2312" w:hAnsi="仿宋_GB2312" w:eastAsia="仿宋_GB2312" w:cs="仿宋_GB2312"/>
                <w:sz w:val="20"/>
                <w:szCs w:val="20"/>
              </w:rPr>
              <w:t>收到相关申请信息3天内处理完成相关服务，未按要求处理的一次扣0.5分，共5分。</w:t>
            </w:r>
          </w:p>
        </w:tc>
        <w:tc>
          <w:tcPr>
            <w:tcW w:w="754" w:type="dxa"/>
            <w:vAlign w:val="top"/>
          </w:tcPr>
          <w:p w14:paraId="3763A323">
            <w:pPr>
              <w:keepNext/>
              <w:keepLines w:val="0"/>
              <w:pageBreakBefore w:val="0"/>
              <w:widowControl/>
              <w:kinsoku/>
              <w:wordWrap w:val="0"/>
              <w:overflowPunct w:val="0"/>
              <w:topLinePunct w:val="0"/>
              <w:autoSpaceDE w:val="0"/>
              <w:autoSpaceDN w:val="0"/>
              <w:bidi w:val="0"/>
              <w:adjustRightInd w:val="0"/>
              <w:snapToGrid w:val="0"/>
              <w:spacing w:line="400" w:lineRule="exact"/>
              <w:textAlignment w:val="auto"/>
              <w:rPr>
                <w:rFonts w:hint="eastAsia" w:ascii="仿宋_GB2312" w:hAnsi="仿宋_GB2312" w:eastAsia="仿宋_GB2312" w:cs="仿宋_GB2312"/>
                <w:sz w:val="20"/>
                <w:szCs w:val="20"/>
              </w:rPr>
            </w:pPr>
          </w:p>
        </w:tc>
        <w:tc>
          <w:tcPr>
            <w:tcW w:w="731" w:type="dxa"/>
            <w:vAlign w:val="top"/>
          </w:tcPr>
          <w:p w14:paraId="63DCC5C1">
            <w:pPr>
              <w:keepNext/>
              <w:keepLines w:val="0"/>
              <w:pageBreakBefore w:val="0"/>
              <w:widowControl/>
              <w:kinsoku/>
              <w:wordWrap w:val="0"/>
              <w:overflowPunct w:val="0"/>
              <w:topLinePunct w:val="0"/>
              <w:autoSpaceDE w:val="0"/>
              <w:autoSpaceDN w:val="0"/>
              <w:bidi w:val="0"/>
              <w:adjustRightInd w:val="0"/>
              <w:snapToGrid w:val="0"/>
              <w:spacing w:line="400" w:lineRule="exact"/>
              <w:textAlignment w:val="auto"/>
              <w:rPr>
                <w:rFonts w:hint="eastAsia" w:ascii="仿宋_GB2312" w:hAnsi="仿宋_GB2312" w:eastAsia="仿宋_GB2312" w:cs="仿宋_GB2312"/>
                <w:sz w:val="20"/>
                <w:szCs w:val="20"/>
              </w:rPr>
            </w:pPr>
          </w:p>
        </w:tc>
      </w:tr>
      <w:tr w14:paraId="525E77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8" w:hRule="atLeast"/>
          <w:jc w:val="center"/>
        </w:trPr>
        <w:tc>
          <w:tcPr>
            <w:tcW w:w="721" w:type="dxa"/>
            <w:vMerge w:val="continue"/>
            <w:vAlign w:val="top"/>
          </w:tcPr>
          <w:p w14:paraId="33973FF8">
            <w:pPr>
              <w:pStyle w:val="14"/>
              <w:keepNext/>
              <w:keepLines w:val="0"/>
              <w:pageBreakBefore w:val="0"/>
              <w:widowControl/>
              <w:kinsoku/>
              <w:wordWrap w:val="0"/>
              <w:overflowPunct w:val="0"/>
              <w:topLinePunct w:val="0"/>
              <w:autoSpaceDE w:val="0"/>
              <w:autoSpaceDN w:val="0"/>
              <w:bidi w:val="0"/>
              <w:adjustRightInd w:val="0"/>
              <w:snapToGrid w:val="0"/>
              <w:spacing w:line="400" w:lineRule="exact"/>
              <w:ind w:left="145"/>
              <w:textAlignment w:val="auto"/>
              <w:rPr>
                <w:rFonts w:hint="eastAsia" w:ascii="仿宋_GB2312" w:hAnsi="仿宋_GB2312" w:eastAsia="仿宋_GB2312" w:cs="仿宋_GB2312"/>
                <w:spacing w:val="-20"/>
                <w:sz w:val="20"/>
                <w:szCs w:val="20"/>
                <w14:textOutline w14:w="4356" w14:cap="sq" w14:cmpd="sng">
                  <w14:solidFill>
                    <w14:srgbClr w14:val="000000"/>
                  </w14:solidFill>
                  <w14:prstDash w14:val="solid"/>
                  <w14:bevel/>
                </w14:textOutline>
              </w:rPr>
            </w:pPr>
          </w:p>
        </w:tc>
        <w:tc>
          <w:tcPr>
            <w:tcW w:w="1199" w:type="dxa"/>
            <w:vMerge w:val="restart"/>
            <w:vAlign w:val="center"/>
          </w:tcPr>
          <w:p w14:paraId="1C78FEA5">
            <w:pPr>
              <w:pStyle w:val="14"/>
              <w:keepNext/>
              <w:keepLines w:val="0"/>
              <w:pageBreakBefore w:val="0"/>
              <w:widowControl/>
              <w:kinsoku/>
              <w:wordWrap w:val="0"/>
              <w:overflowPunct w:val="0"/>
              <w:topLinePunct w:val="0"/>
              <w:autoSpaceDE w:val="0"/>
              <w:autoSpaceDN w:val="0"/>
              <w:bidi w:val="0"/>
              <w:adjustRightInd w:val="0"/>
              <w:snapToGrid w:val="0"/>
              <w:spacing w:before="78" w:line="400" w:lineRule="exact"/>
              <w:ind w:left="111" w:right="130" w:firstLine="2"/>
              <w:jc w:val="center"/>
              <w:textAlignment w:val="auto"/>
              <w:rPr>
                <w:rFonts w:hint="eastAsia" w:ascii="仿宋_GB2312" w:hAnsi="仿宋_GB2312" w:eastAsia="仿宋_GB2312" w:cs="仿宋_GB2312"/>
                <w:sz w:val="20"/>
                <w:szCs w:val="20"/>
              </w:rPr>
            </w:pPr>
            <w:r>
              <w:rPr>
                <w:rFonts w:hint="eastAsia" w:ascii="仿宋_GB2312" w:hAnsi="仿宋_GB2312" w:eastAsia="仿宋_GB2312" w:cs="仿宋_GB2312"/>
                <w:spacing w:val="-3"/>
                <w:sz w:val="20"/>
                <w:szCs w:val="20"/>
              </w:rPr>
              <w:t>数据质量评估及数据治理服</w:t>
            </w:r>
          </w:p>
          <w:p w14:paraId="60835BC2">
            <w:pPr>
              <w:pStyle w:val="14"/>
              <w:keepNext/>
              <w:keepLines w:val="0"/>
              <w:pageBreakBefore w:val="0"/>
              <w:widowControl/>
              <w:kinsoku/>
              <w:wordWrap w:val="0"/>
              <w:overflowPunct w:val="0"/>
              <w:topLinePunct w:val="0"/>
              <w:autoSpaceDE w:val="0"/>
              <w:autoSpaceDN w:val="0"/>
              <w:bidi w:val="0"/>
              <w:adjustRightInd w:val="0"/>
              <w:snapToGrid w:val="0"/>
              <w:spacing w:line="400" w:lineRule="exact"/>
              <w:ind w:left="115"/>
              <w:jc w:val="center"/>
              <w:textAlignment w:val="auto"/>
              <w:rPr>
                <w:rFonts w:hint="eastAsia" w:ascii="仿宋_GB2312" w:hAnsi="仿宋_GB2312" w:eastAsia="仿宋_GB2312" w:cs="仿宋_GB2312"/>
                <w:spacing w:val="-5"/>
                <w:sz w:val="20"/>
                <w:szCs w:val="20"/>
              </w:rPr>
            </w:pPr>
            <w:r>
              <w:rPr>
                <w:rFonts w:hint="eastAsia" w:ascii="仿宋_GB2312" w:hAnsi="仿宋_GB2312" w:eastAsia="仿宋_GB2312" w:cs="仿宋_GB2312"/>
                <w:sz w:val="20"/>
                <w:szCs w:val="20"/>
              </w:rPr>
              <w:t>务</w:t>
            </w:r>
          </w:p>
        </w:tc>
        <w:tc>
          <w:tcPr>
            <w:tcW w:w="3958" w:type="dxa"/>
            <w:gridSpan w:val="2"/>
            <w:vAlign w:val="top"/>
          </w:tcPr>
          <w:p w14:paraId="44EB5E86">
            <w:pPr>
              <w:pStyle w:val="14"/>
              <w:keepNext/>
              <w:keepLines w:val="0"/>
              <w:pageBreakBefore w:val="0"/>
              <w:widowControl/>
              <w:kinsoku/>
              <w:wordWrap w:val="0"/>
              <w:overflowPunct w:val="0"/>
              <w:topLinePunct w:val="0"/>
              <w:autoSpaceDE w:val="0"/>
              <w:autoSpaceDN w:val="0"/>
              <w:bidi w:val="0"/>
              <w:adjustRightInd w:val="0"/>
              <w:snapToGrid w:val="0"/>
              <w:spacing w:before="40" w:line="400" w:lineRule="exact"/>
              <w:ind w:left="57" w:leftChars="0" w:right="57"/>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将汇聚上报的数据进行抽取、清</w:t>
            </w:r>
            <w:r>
              <w:rPr>
                <w:rFonts w:hint="eastAsia" w:ascii="仿宋_GB2312" w:hAnsi="仿宋_GB2312" w:eastAsia="仿宋_GB2312" w:cs="仿宋_GB2312"/>
                <w:spacing w:val="-1"/>
                <w:sz w:val="20"/>
                <w:szCs w:val="20"/>
              </w:rPr>
              <w:t>洗、去重、比对、校核、标准化转换、关联整合等处理并且依据治理规则进行数据治理，针对异常告警数据进行检查，48小时内派发整改任务给厂商运维人员，及时上报主</w:t>
            </w:r>
            <w:r>
              <w:rPr>
                <w:rFonts w:hint="eastAsia" w:ascii="仿宋_GB2312" w:hAnsi="仿宋_GB2312" w:eastAsia="仿宋_GB2312" w:cs="仿宋_GB2312"/>
                <w:spacing w:val="-4"/>
                <w:sz w:val="20"/>
                <w:szCs w:val="20"/>
              </w:rPr>
              <w:t>管部门。</w:t>
            </w:r>
          </w:p>
        </w:tc>
        <w:tc>
          <w:tcPr>
            <w:tcW w:w="2350" w:type="dxa"/>
            <w:vAlign w:val="center"/>
          </w:tcPr>
          <w:p w14:paraId="19C6CFA3">
            <w:pPr>
              <w:pStyle w:val="14"/>
              <w:keepNext/>
              <w:keepLines w:val="0"/>
              <w:pageBreakBefore w:val="0"/>
              <w:widowControl/>
              <w:kinsoku/>
              <w:wordWrap w:val="0"/>
              <w:overflowPunct w:val="0"/>
              <w:topLinePunct w:val="0"/>
              <w:autoSpaceDE w:val="0"/>
              <w:autoSpaceDN w:val="0"/>
              <w:bidi w:val="0"/>
              <w:adjustRightInd w:val="0"/>
              <w:snapToGrid w:val="0"/>
              <w:spacing w:before="78" w:line="400" w:lineRule="exact"/>
              <w:ind w:left="57" w:leftChars="0" w:right="57" w:rightChars="0" w:firstLine="1" w:firstLineChars="0"/>
              <w:jc w:val="both"/>
              <w:textAlignment w:val="auto"/>
              <w:rPr>
                <w:rFonts w:hint="eastAsia" w:ascii="仿宋_GB2312" w:hAnsi="仿宋_GB2312" w:eastAsia="仿宋_GB2312" w:cs="仿宋_GB2312"/>
                <w:sz w:val="20"/>
                <w:szCs w:val="20"/>
              </w:rPr>
            </w:pPr>
            <w:r>
              <w:rPr>
                <w:rFonts w:hint="eastAsia" w:ascii="仿宋_GB2312" w:hAnsi="仿宋_GB2312" w:eastAsia="仿宋_GB2312" w:cs="仿宋_GB2312"/>
                <w:spacing w:val="-2"/>
                <w:sz w:val="20"/>
                <w:szCs w:val="20"/>
              </w:rPr>
              <w:t>针对异常告警数据进行相关处理，未按要求处理的一次扣0.5分，共5分。</w:t>
            </w:r>
          </w:p>
        </w:tc>
        <w:tc>
          <w:tcPr>
            <w:tcW w:w="754" w:type="dxa"/>
            <w:vAlign w:val="top"/>
          </w:tcPr>
          <w:p w14:paraId="0411BBCB">
            <w:pPr>
              <w:keepNext/>
              <w:keepLines w:val="0"/>
              <w:pageBreakBefore w:val="0"/>
              <w:widowControl/>
              <w:kinsoku/>
              <w:wordWrap w:val="0"/>
              <w:overflowPunct w:val="0"/>
              <w:topLinePunct w:val="0"/>
              <w:autoSpaceDE w:val="0"/>
              <w:autoSpaceDN w:val="0"/>
              <w:bidi w:val="0"/>
              <w:adjustRightInd w:val="0"/>
              <w:snapToGrid w:val="0"/>
              <w:spacing w:line="400" w:lineRule="exact"/>
              <w:textAlignment w:val="auto"/>
              <w:rPr>
                <w:rFonts w:hint="eastAsia" w:ascii="仿宋_GB2312" w:hAnsi="仿宋_GB2312" w:eastAsia="仿宋_GB2312" w:cs="仿宋_GB2312"/>
                <w:sz w:val="20"/>
                <w:szCs w:val="20"/>
              </w:rPr>
            </w:pPr>
          </w:p>
        </w:tc>
        <w:tc>
          <w:tcPr>
            <w:tcW w:w="731" w:type="dxa"/>
            <w:vAlign w:val="top"/>
          </w:tcPr>
          <w:p w14:paraId="1D65E471">
            <w:pPr>
              <w:keepNext/>
              <w:keepLines w:val="0"/>
              <w:pageBreakBefore w:val="0"/>
              <w:widowControl/>
              <w:kinsoku/>
              <w:wordWrap w:val="0"/>
              <w:overflowPunct w:val="0"/>
              <w:topLinePunct w:val="0"/>
              <w:autoSpaceDE w:val="0"/>
              <w:autoSpaceDN w:val="0"/>
              <w:bidi w:val="0"/>
              <w:adjustRightInd w:val="0"/>
              <w:snapToGrid w:val="0"/>
              <w:spacing w:line="400" w:lineRule="exact"/>
              <w:textAlignment w:val="auto"/>
              <w:rPr>
                <w:rFonts w:hint="eastAsia" w:ascii="仿宋_GB2312" w:hAnsi="仿宋_GB2312" w:eastAsia="仿宋_GB2312" w:cs="仿宋_GB2312"/>
                <w:sz w:val="20"/>
                <w:szCs w:val="20"/>
              </w:rPr>
            </w:pPr>
          </w:p>
        </w:tc>
      </w:tr>
      <w:tr w14:paraId="54F6F0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8" w:hRule="atLeast"/>
          <w:jc w:val="center"/>
        </w:trPr>
        <w:tc>
          <w:tcPr>
            <w:tcW w:w="721" w:type="dxa"/>
            <w:vMerge w:val="continue"/>
            <w:vAlign w:val="top"/>
          </w:tcPr>
          <w:p w14:paraId="5E55D148">
            <w:pPr>
              <w:pStyle w:val="14"/>
              <w:keepNext/>
              <w:keepLines w:val="0"/>
              <w:pageBreakBefore w:val="0"/>
              <w:widowControl/>
              <w:kinsoku/>
              <w:wordWrap w:val="0"/>
              <w:overflowPunct w:val="0"/>
              <w:topLinePunct w:val="0"/>
              <w:autoSpaceDE w:val="0"/>
              <w:autoSpaceDN w:val="0"/>
              <w:bidi w:val="0"/>
              <w:adjustRightInd w:val="0"/>
              <w:snapToGrid w:val="0"/>
              <w:spacing w:line="400" w:lineRule="exact"/>
              <w:ind w:left="145"/>
              <w:textAlignment w:val="auto"/>
              <w:rPr>
                <w:rFonts w:hint="eastAsia" w:ascii="仿宋_GB2312" w:hAnsi="仿宋_GB2312" w:eastAsia="仿宋_GB2312" w:cs="仿宋_GB2312"/>
                <w:spacing w:val="-20"/>
                <w:sz w:val="20"/>
                <w:szCs w:val="20"/>
                <w14:textOutline w14:w="4356" w14:cap="sq" w14:cmpd="sng">
                  <w14:solidFill>
                    <w14:srgbClr w14:val="000000"/>
                  </w14:solidFill>
                  <w14:prstDash w14:val="solid"/>
                  <w14:bevel/>
                </w14:textOutline>
              </w:rPr>
            </w:pPr>
          </w:p>
        </w:tc>
        <w:tc>
          <w:tcPr>
            <w:tcW w:w="1199" w:type="dxa"/>
            <w:vMerge w:val="continue"/>
            <w:vAlign w:val="center"/>
          </w:tcPr>
          <w:p w14:paraId="293BFD76">
            <w:pPr>
              <w:pStyle w:val="14"/>
              <w:keepNext/>
              <w:keepLines w:val="0"/>
              <w:pageBreakBefore w:val="0"/>
              <w:widowControl/>
              <w:kinsoku/>
              <w:wordWrap w:val="0"/>
              <w:overflowPunct w:val="0"/>
              <w:topLinePunct w:val="0"/>
              <w:autoSpaceDE w:val="0"/>
              <w:autoSpaceDN w:val="0"/>
              <w:bidi w:val="0"/>
              <w:adjustRightInd w:val="0"/>
              <w:snapToGrid w:val="0"/>
              <w:spacing w:line="400" w:lineRule="exact"/>
              <w:ind w:left="115"/>
              <w:jc w:val="center"/>
              <w:textAlignment w:val="auto"/>
              <w:rPr>
                <w:rFonts w:hint="eastAsia" w:ascii="仿宋_GB2312" w:hAnsi="仿宋_GB2312" w:eastAsia="仿宋_GB2312" w:cs="仿宋_GB2312"/>
                <w:spacing w:val="-5"/>
                <w:sz w:val="20"/>
                <w:szCs w:val="20"/>
              </w:rPr>
            </w:pPr>
          </w:p>
        </w:tc>
        <w:tc>
          <w:tcPr>
            <w:tcW w:w="3958" w:type="dxa"/>
            <w:gridSpan w:val="2"/>
            <w:vAlign w:val="top"/>
          </w:tcPr>
          <w:p w14:paraId="0795AE39">
            <w:pPr>
              <w:pStyle w:val="14"/>
              <w:keepNext/>
              <w:keepLines w:val="0"/>
              <w:pageBreakBefore w:val="0"/>
              <w:widowControl/>
              <w:kinsoku/>
              <w:wordWrap w:val="0"/>
              <w:overflowPunct w:val="0"/>
              <w:topLinePunct w:val="0"/>
              <w:autoSpaceDE w:val="0"/>
              <w:autoSpaceDN w:val="0"/>
              <w:bidi w:val="0"/>
              <w:adjustRightInd w:val="0"/>
              <w:snapToGrid w:val="0"/>
              <w:spacing w:before="40" w:line="400" w:lineRule="exact"/>
              <w:ind w:left="57" w:leftChars="0" w:right="57"/>
              <w:textAlignment w:val="auto"/>
              <w:rPr>
                <w:rFonts w:hint="eastAsia" w:ascii="仿宋_GB2312" w:hAnsi="仿宋_GB2312" w:eastAsia="仿宋_GB2312" w:cs="仿宋_GB2312"/>
                <w:sz w:val="20"/>
                <w:szCs w:val="20"/>
              </w:rPr>
            </w:pPr>
            <w:r>
              <w:rPr>
                <w:rFonts w:hint="eastAsia" w:ascii="仿宋_GB2312" w:hAnsi="仿宋_GB2312" w:eastAsia="仿宋_GB2312" w:cs="仿宋_GB2312"/>
                <w:spacing w:val="-1"/>
                <w:sz w:val="20"/>
                <w:szCs w:val="20"/>
              </w:rPr>
              <w:t>用户在使用过程中出现的录入错误、调整信息，需要修改、删除等进行服务支持。对于工地信息、人员信息等进行日常维护和动态更新，针对设备移机、工地更换设备、完工等情况进行咨询服务。</w:t>
            </w:r>
          </w:p>
        </w:tc>
        <w:tc>
          <w:tcPr>
            <w:tcW w:w="2350" w:type="dxa"/>
            <w:vAlign w:val="center"/>
          </w:tcPr>
          <w:p w14:paraId="0D0F1BEF">
            <w:pPr>
              <w:pStyle w:val="14"/>
              <w:keepNext/>
              <w:keepLines w:val="0"/>
              <w:pageBreakBefore w:val="0"/>
              <w:widowControl/>
              <w:kinsoku/>
              <w:wordWrap w:val="0"/>
              <w:overflowPunct w:val="0"/>
              <w:topLinePunct w:val="0"/>
              <w:autoSpaceDE w:val="0"/>
              <w:autoSpaceDN w:val="0"/>
              <w:bidi w:val="0"/>
              <w:adjustRightInd w:val="0"/>
              <w:snapToGrid w:val="0"/>
              <w:spacing w:before="78" w:line="400" w:lineRule="exact"/>
              <w:ind w:left="57" w:leftChars="0" w:right="57"/>
              <w:jc w:val="both"/>
              <w:textAlignment w:val="auto"/>
              <w:rPr>
                <w:rFonts w:hint="eastAsia" w:ascii="仿宋_GB2312" w:hAnsi="仿宋_GB2312" w:eastAsia="仿宋_GB2312" w:cs="仿宋_GB2312"/>
                <w:sz w:val="20"/>
                <w:szCs w:val="20"/>
              </w:rPr>
            </w:pPr>
            <w:r>
              <w:rPr>
                <w:rFonts w:hint="eastAsia" w:ascii="仿宋_GB2312" w:hAnsi="仿宋_GB2312" w:eastAsia="仿宋_GB2312" w:cs="仿宋_GB2312"/>
                <w:spacing w:val="-2"/>
                <w:sz w:val="20"/>
                <w:szCs w:val="20"/>
              </w:rPr>
              <w:t>主管单位审批后48小时内完成相关处理工作，未按要求处理的一次扣0.5分，共5分。</w:t>
            </w:r>
          </w:p>
        </w:tc>
        <w:tc>
          <w:tcPr>
            <w:tcW w:w="754" w:type="dxa"/>
            <w:vAlign w:val="top"/>
          </w:tcPr>
          <w:p w14:paraId="5858611F">
            <w:pPr>
              <w:keepNext/>
              <w:keepLines w:val="0"/>
              <w:pageBreakBefore w:val="0"/>
              <w:widowControl/>
              <w:kinsoku/>
              <w:wordWrap w:val="0"/>
              <w:overflowPunct w:val="0"/>
              <w:topLinePunct w:val="0"/>
              <w:autoSpaceDE w:val="0"/>
              <w:autoSpaceDN w:val="0"/>
              <w:bidi w:val="0"/>
              <w:adjustRightInd w:val="0"/>
              <w:snapToGrid w:val="0"/>
              <w:spacing w:line="400" w:lineRule="exact"/>
              <w:textAlignment w:val="auto"/>
              <w:rPr>
                <w:rFonts w:hint="eastAsia" w:ascii="仿宋_GB2312" w:hAnsi="仿宋_GB2312" w:eastAsia="仿宋_GB2312" w:cs="仿宋_GB2312"/>
                <w:sz w:val="20"/>
                <w:szCs w:val="20"/>
              </w:rPr>
            </w:pPr>
          </w:p>
        </w:tc>
        <w:tc>
          <w:tcPr>
            <w:tcW w:w="731" w:type="dxa"/>
            <w:vAlign w:val="top"/>
          </w:tcPr>
          <w:p w14:paraId="012FB1C8">
            <w:pPr>
              <w:keepNext/>
              <w:keepLines w:val="0"/>
              <w:pageBreakBefore w:val="0"/>
              <w:widowControl/>
              <w:kinsoku/>
              <w:wordWrap w:val="0"/>
              <w:overflowPunct w:val="0"/>
              <w:topLinePunct w:val="0"/>
              <w:autoSpaceDE w:val="0"/>
              <w:autoSpaceDN w:val="0"/>
              <w:bidi w:val="0"/>
              <w:adjustRightInd w:val="0"/>
              <w:snapToGrid w:val="0"/>
              <w:spacing w:line="400" w:lineRule="exact"/>
              <w:textAlignment w:val="auto"/>
              <w:rPr>
                <w:rFonts w:hint="eastAsia" w:ascii="仿宋_GB2312" w:hAnsi="仿宋_GB2312" w:eastAsia="仿宋_GB2312" w:cs="仿宋_GB2312"/>
                <w:sz w:val="20"/>
                <w:szCs w:val="20"/>
              </w:rPr>
            </w:pPr>
          </w:p>
        </w:tc>
      </w:tr>
      <w:tr w14:paraId="3F2DA9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8" w:hRule="atLeast"/>
          <w:jc w:val="center"/>
        </w:trPr>
        <w:tc>
          <w:tcPr>
            <w:tcW w:w="721" w:type="dxa"/>
            <w:vMerge w:val="continue"/>
            <w:vAlign w:val="top"/>
          </w:tcPr>
          <w:p w14:paraId="00D35B2B">
            <w:pPr>
              <w:pStyle w:val="14"/>
              <w:keepNext/>
              <w:keepLines w:val="0"/>
              <w:pageBreakBefore w:val="0"/>
              <w:widowControl/>
              <w:kinsoku/>
              <w:wordWrap w:val="0"/>
              <w:overflowPunct w:val="0"/>
              <w:topLinePunct w:val="0"/>
              <w:autoSpaceDE w:val="0"/>
              <w:autoSpaceDN w:val="0"/>
              <w:bidi w:val="0"/>
              <w:adjustRightInd w:val="0"/>
              <w:snapToGrid w:val="0"/>
              <w:spacing w:line="400" w:lineRule="exact"/>
              <w:ind w:left="145"/>
              <w:textAlignment w:val="auto"/>
              <w:rPr>
                <w:rFonts w:hint="eastAsia" w:ascii="仿宋_GB2312" w:hAnsi="仿宋_GB2312" w:eastAsia="仿宋_GB2312" w:cs="仿宋_GB2312"/>
                <w:spacing w:val="-20"/>
                <w:sz w:val="20"/>
                <w:szCs w:val="20"/>
                <w14:textOutline w14:w="4356" w14:cap="sq" w14:cmpd="sng">
                  <w14:solidFill>
                    <w14:srgbClr w14:val="000000"/>
                  </w14:solidFill>
                  <w14:prstDash w14:val="solid"/>
                  <w14:bevel/>
                </w14:textOutline>
              </w:rPr>
            </w:pPr>
          </w:p>
        </w:tc>
        <w:tc>
          <w:tcPr>
            <w:tcW w:w="1199" w:type="dxa"/>
            <w:vMerge w:val="continue"/>
            <w:vAlign w:val="center"/>
          </w:tcPr>
          <w:p w14:paraId="53D7EE7D">
            <w:pPr>
              <w:pStyle w:val="14"/>
              <w:keepNext/>
              <w:keepLines w:val="0"/>
              <w:pageBreakBefore w:val="0"/>
              <w:widowControl/>
              <w:kinsoku/>
              <w:wordWrap w:val="0"/>
              <w:overflowPunct w:val="0"/>
              <w:topLinePunct w:val="0"/>
              <w:autoSpaceDE w:val="0"/>
              <w:autoSpaceDN w:val="0"/>
              <w:bidi w:val="0"/>
              <w:adjustRightInd w:val="0"/>
              <w:snapToGrid w:val="0"/>
              <w:spacing w:line="400" w:lineRule="exact"/>
              <w:ind w:left="115"/>
              <w:jc w:val="center"/>
              <w:textAlignment w:val="auto"/>
              <w:rPr>
                <w:rFonts w:hint="eastAsia" w:ascii="仿宋_GB2312" w:hAnsi="仿宋_GB2312" w:eastAsia="仿宋_GB2312" w:cs="仿宋_GB2312"/>
                <w:spacing w:val="-5"/>
                <w:sz w:val="20"/>
                <w:szCs w:val="20"/>
              </w:rPr>
            </w:pPr>
          </w:p>
        </w:tc>
        <w:tc>
          <w:tcPr>
            <w:tcW w:w="3958" w:type="dxa"/>
            <w:gridSpan w:val="2"/>
            <w:vAlign w:val="top"/>
          </w:tcPr>
          <w:p w14:paraId="54E17CD2">
            <w:pPr>
              <w:pStyle w:val="14"/>
              <w:keepNext/>
              <w:keepLines w:val="0"/>
              <w:pageBreakBefore w:val="0"/>
              <w:widowControl/>
              <w:kinsoku/>
              <w:wordWrap w:val="0"/>
              <w:overflowPunct w:val="0"/>
              <w:topLinePunct w:val="0"/>
              <w:autoSpaceDE w:val="0"/>
              <w:autoSpaceDN w:val="0"/>
              <w:bidi w:val="0"/>
              <w:adjustRightInd w:val="0"/>
              <w:snapToGrid w:val="0"/>
              <w:spacing w:before="40" w:line="400" w:lineRule="exact"/>
              <w:ind w:left="57" w:leftChars="0" w:right="57"/>
              <w:textAlignment w:val="auto"/>
              <w:rPr>
                <w:rFonts w:hint="eastAsia" w:ascii="仿宋_GB2312" w:hAnsi="仿宋_GB2312" w:eastAsia="仿宋_GB2312" w:cs="仿宋_GB2312"/>
                <w:sz w:val="20"/>
                <w:szCs w:val="20"/>
              </w:rPr>
            </w:pPr>
            <w:r>
              <w:rPr>
                <w:rFonts w:hint="eastAsia" w:ascii="仿宋_GB2312" w:hAnsi="仿宋_GB2312" w:eastAsia="仿宋_GB2312" w:cs="仿宋_GB2312"/>
                <w:spacing w:val="-1"/>
                <w:sz w:val="20"/>
                <w:szCs w:val="20"/>
              </w:rPr>
              <w:t>根据二级、三级告警期间AI识别到的污染源照片进行人工研判，确定是否为污染源。取相关的样本照片进行标记及补充训练，提升污染源信息的检测率，将典型的污染源进行标记。</w:t>
            </w:r>
          </w:p>
        </w:tc>
        <w:tc>
          <w:tcPr>
            <w:tcW w:w="2350" w:type="dxa"/>
            <w:vAlign w:val="center"/>
          </w:tcPr>
          <w:p w14:paraId="756AD186">
            <w:pPr>
              <w:pStyle w:val="14"/>
              <w:keepNext/>
              <w:keepLines w:val="0"/>
              <w:pageBreakBefore w:val="0"/>
              <w:widowControl/>
              <w:kinsoku/>
              <w:wordWrap w:val="0"/>
              <w:overflowPunct w:val="0"/>
              <w:topLinePunct w:val="0"/>
              <w:autoSpaceDE w:val="0"/>
              <w:autoSpaceDN w:val="0"/>
              <w:bidi w:val="0"/>
              <w:adjustRightInd w:val="0"/>
              <w:snapToGrid w:val="0"/>
              <w:spacing w:before="78" w:line="400" w:lineRule="exact"/>
              <w:ind w:left="57" w:right="57"/>
              <w:jc w:val="both"/>
              <w:textAlignment w:val="auto"/>
              <w:rPr>
                <w:rFonts w:hint="eastAsia" w:ascii="仿宋_GB2312" w:hAnsi="仿宋_GB2312" w:eastAsia="仿宋_GB2312" w:cs="仿宋_GB2312"/>
                <w:sz w:val="20"/>
                <w:szCs w:val="20"/>
              </w:rPr>
            </w:pPr>
            <w:r>
              <w:rPr>
                <w:rFonts w:hint="eastAsia" w:ascii="仿宋_GB2312" w:hAnsi="仿宋_GB2312" w:eastAsia="仿宋_GB2312" w:cs="仿宋_GB2312"/>
                <w:spacing w:val="-2"/>
                <w:sz w:val="20"/>
                <w:szCs w:val="20"/>
              </w:rPr>
              <w:t>定期完成相关工作，未按要求处理的一次扣0.5分，共4分。</w:t>
            </w:r>
          </w:p>
        </w:tc>
        <w:tc>
          <w:tcPr>
            <w:tcW w:w="754" w:type="dxa"/>
            <w:vAlign w:val="top"/>
          </w:tcPr>
          <w:p w14:paraId="2905DAD4">
            <w:pPr>
              <w:keepNext/>
              <w:keepLines w:val="0"/>
              <w:pageBreakBefore w:val="0"/>
              <w:widowControl/>
              <w:kinsoku/>
              <w:wordWrap w:val="0"/>
              <w:overflowPunct w:val="0"/>
              <w:topLinePunct w:val="0"/>
              <w:autoSpaceDE w:val="0"/>
              <w:autoSpaceDN w:val="0"/>
              <w:bidi w:val="0"/>
              <w:adjustRightInd w:val="0"/>
              <w:snapToGrid w:val="0"/>
              <w:spacing w:line="400" w:lineRule="exact"/>
              <w:textAlignment w:val="auto"/>
              <w:rPr>
                <w:rFonts w:hint="eastAsia" w:ascii="仿宋_GB2312" w:hAnsi="仿宋_GB2312" w:eastAsia="仿宋_GB2312" w:cs="仿宋_GB2312"/>
                <w:sz w:val="20"/>
                <w:szCs w:val="20"/>
              </w:rPr>
            </w:pPr>
          </w:p>
        </w:tc>
        <w:tc>
          <w:tcPr>
            <w:tcW w:w="731" w:type="dxa"/>
            <w:vAlign w:val="top"/>
          </w:tcPr>
          <w:p w14:paraId="5E5AD729">
            <w:pPr>
              <w:keepNext/>
              <w:keepLines w:val="0"/>
              <w:pageBreakBefore w:val="0"/>
              <w:widowControl/>
              <w:kinsoku/>
              <w:wordWrap w:val="0"/>
              <w:overflowPunct w:val="0"/>
              <w:topLinePunct w:val="0"/>
              <w:autoSpaceDE w:val="0"/>
              <w:autoSpaceDN w:val="0"/>
              <w:bidi w:val="0"/>
              <w:adjustRightInd w:val="0"/>
              <w:snapToGrid w:val="0"/>
              <w:spacing w:line="400" w:lineRule="exact"/>
              <w:textAlignment w:val="auto"/>
              <w:rPr>
                <w:rFonts w:hint="eastAsia" w:ascii="仿宋_GB2312" w:hAnsi="仿宋_GB2312" w:eastAsia="仿宋_GB2312" w:cs="仿宋_GB2312"/>
                <w:sz w:val="20"/>
                <w:szCs w:val="20"/>
              </w:rPr>
            </w:pPr>
          </w:p>
        </w:tc>
      </w:tr>
      <w:tr w14:paraId="2A6917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20" w:hRule="atLeast"/>
          <w:jc w:val="center"/>
        </w:trPr>
        <w:tc>
          <w:tcPr>
            <w:tcW w:w="721" w:type="dxa"/>
            <w:vMerge w:val="continue"/>
            <w:vAlign w:val="top"/>
          </w:tcPr>
          <w:p w14:paraId="3277C3BE">
            <w:pPr>
              <w:pStyle w:val="14"/>
              <w:keepNext/>
              <w:keepLines w:val="0"/>
              <w:pageBreakBefore w:val="0"/>
              <w:widowControl/>
              <w:kinsoku/>
              <w:wordWrap w:val="0"/>
              <w:overflowPunct w:val="0"/>
              <w:topLinePunct w:val="0"/>
              <w:autoSpaceDE w:val="0"/>
              <w:autoSpaceDN w:val="0"/>
              <w:bidi w:val="0"/>
              <w:adjustRightInd w:val="0"/>
              <w:snapToGrid w:val="0"/>
              <w:spacing w:line="400" w:lineRule="exact"/>
              <w:ind w:left="145"/>
              <w:textAlignment w:val="auto"/>
              <w:rPr>
                <w:rFonts w:hint="eastAsia" w:ascii="仿宋_GB2312" w:hAnsi="仿宋_GB2312" w:eastAsia="仿宋_GB2312" w:cs="仿宋_GB2312"/>
                <w:spacing w:val="-20"/>
                <w:sz w:val="20"/>
                <w:szCs w:val="20"/>
                <w14:textOutline w14:w="4356" w14:cap="sq" w14:cmpd="sng">
                  <w14:solidFill>
                    <w14:srgbClr w14:val="000000"/>
                  </w14:solidFill>
                  <w14:prstDash w14:val="solid"/>
                  <w14:bevel/>
                </w14:textOutline>
              </w:rPr>
            </w:pPr>
          </w:p>
        </w:tc>
        <w:tc>
          <w:tcPr>
            <w:tcW w:w="1199" w:type="dxa"/>
            <w:vMerge w:val="continue"/>
            <w:vAlign w:val="center"/>
          </w:tcPr>
          <w:p w14:paraId="1627696E">
            <w:pPr>
              <w:pStyle w:val="14"/>
              <w:keepNext/>
              <w:keepLines w:val="0"/>
              <w:pageBreakBefore w:val="0"/>
              <w:widowControl/>
              <w:kinsoku/>
              <w:wordWrap w:val="0"/>
              <w:overflowPunct w:val="0"/>
              <w:topLinePunct w:val="0"/>
              <w:autoSpaceDE w:val="0"/>
              <w:autoSpaceDN w:val="0"/>
              <w:bidi w:val="0"/>
              <w:adjustRightInd w:val="0"/>
              <w:snapToGrid w:val="0"/>
              <w:spacing w:line="400" w:lineRule="exact"/>
              <w:ind w:left="115"/>
              <w:jc w:val="center"/>
              <w:textAlignment w:val="auto"/>
              <w:rPr>
                <w:rFonts w:hint="eastAsia" w:ascii="仿宋_GB2312" w:hAnsi="仿宋_GB2312" w:eastAsia="仿宋_GB2312" w:cs="仿宋_GB2312"/>
                <w:spacing w:val="-5"/>
                <w:sz w:val="20"/>
                <w:szCs w:val="20"/>
              </w:rPr>
            </w:pPr>
          </w:p>
        </w:tc>
        <w:tc>
          <w:tcPr>
            <w:tcW w:w="3958" w:type="dxa"/>
            <w:gridSpan w:val="2"/>
            <w:vAlign w:val="top"/>
          </w:tcPr>
          <w:p w14:paraId="78F81BE1">
            <w:pPr>
              <w:pStyle w:val="14"/>
              <w:keepNext/>
              <w:keepLines w:val="0"/>
              <w:pageBreakBefore w:val="0"/>
              <w:widowControl/>
              <w:kinsoku/>
              <w:wordWrap w:val="0"/>
              <w:overflowPunct w:val="0"/>
              <w:topLinePunct w:val="0"/>
              <w:autoSpaceDE w:val="0"/>
              <w:autoSpaceDN w:val="0"/>
              <w:bidi w:val="0"/>
              <w:adjustRightInd w:val="0"/>
              <w:snapToGrid w:val="0"/>
              <w:spacing w:before="40" w:line="400" w:lineRule="exact"/>
              <w:ind w:left="57" w:right="57"/>
              <w:textAlignment w:val="auto"/>
              <w:rPr>
                <w:rFonts w:hint="eastAsia" w:ascii="仿宋_GB2312" w:hAnsi="仿宋_GB2312" w:eastAsia="仿宋_GB2312" w:cs="仿宋_GB2312"/>
                <w:spacing w:val="-1"/>
                <w:sz w:val="20"/>
                <w:szCs w:val="20"/>
              </w:rPr>
            </w:pPr>
            <w:r>
              <w:rPr>
                <w:rFonts w:hint="eastAsia" w:ascii="仿宋_GB2312" w:hAnsi="仿宋_GB2312" w:eastAsia="仿宋_GB2312" w:cs="仿宋_GB2312"/>
                <w:spacing w:val="-1"/>
                <w:sz w:val="20"/>
                <w:szCs w:val="20"/>
              </w:rPr>
              <w:t>对于工地信息、人员信息等进行日常维护和动态更新，对于恒值、空值等异常情况进行处理，发现及时通过平台进行派单处理，运维人员现场核查后，进行核查结果上报，针对上报的处理结果进行跟踪以及审核，及时督促设备的处理进度。</w:t>
            </w:r>
          </w:p>
          <w:p w14:paraId="32E328FD">
            <w:pPr>
              <w:pStyle w:val="14"/>
              <w:keepNext/>
              <w:keepLines w:val="0"/>
              <w:pageBreakBefore w:val="0"/>
              <w:widowControl/>
              <w:kinsoku/>
              <w:wordWrap w:val="0"/>
              <w:overflowPunct w:val="0"/>
              <w:topLinePunct w:val="0"/>
              <w:autoSpaceDE w:val="0"/>
              <w:autoSpaceDN w:val="0"/>
              <w:bidi w:val="0"/>
              <w:adjustRightInd w:val="0"/>
              <w:snapToGrid w:val="0"/>
              <w:spacing w:before="40" w:line="400" w:lineRule="exact"/>
              <w:ind w:left="57" w:right="57"/>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定期</w:t>
            </w:r>
            <w:r>
              <w:rPr>
                <w:rFonts w:hint="eastAsia" w:ascii="仿宋_GB2312" w:hAnsi="仿宋_GB2312" w:eastAsia="仿宋_GB2312" w:cs="仿宋_GB2312"/>
                <w:sz w:val="20"/>
                <w:szCs w:val="20"/>
                <w:lang w:eastAsia="zh-CN"/>
              </w:rPr>
              <w:t>对</w:t>
            </w:r>
            <w:r>
              <w:rPr>
                <w:rFonts w:hint="eastAsia" w:ascii="仿宋_GB2312" w:hAnsi="仿宋_GB2312" w:eastAsia="仿宋_GB2312" w:cs="仿宋_GB2312"/>
                <w:spacing w:val="-1"/>
                <w:sz w:val="20"/>
                <w:szCs w:val="20"/>
              </w:rPr>
              <w:t>风速和噪声为0及经纬度异常的设备进行统计，并发送至对应主管单位</w:t>
            </w:r>
            <w:r>
              <w:rPr>
                <w:rFonts w:hint="eastAsia" w:ascii="仿宋_GB2312" w:hAnsi="仿宋_GB2312" w:eastAsia="仿宋_GB2312" w:cs="仿宋_GB2312"/>
                <w:sz w:val="20"/>
                <w:szCs w:val="20"/>
                <w:lang w:eastAsia="zh-CN"/>
              </w:rPr>
              <w:t>。</w:t>
            </w:r>
            <w:r>
              <w:rPr>
                <w:rFonts w:hint="eastAsia" w:ascii="仿宋_GB2312" w:hAnsi="仿宋_GB2312" w:eastAsia="仿宋_GB2312" w:cs="仿宋_GB2312"/>
                <w:spacing w:val="-1"/>
                <w:sz w:val="20"/>
                <w:szCs w:val="20"/>
              </w:rPr>
              <mc:AlternateContent>
                <mc:Choice Requires="wps">
                  <w:drawing>
                    <wp:anchor distT="0" distB="0" distL="0" distR="0" simplePos="0" relativeHeight="251659264" behindDoc="1" locked="0" layoutInCell="1" allowOverlap="1">
                      <wp:simplePos x="0" y="0"/>
                      <wp:positionH relativeFrom="column">
                        <wp:posOffset>66040</wp:posOffset>
                      </wp:positionH>
                      <wp:positionV relativeFrom="paragraph">
                        <wp:posOffset>93345</wp:posOffset>
                      </wp:positionV>
                      <wp:extent cx="25400" cy="296545"/>
                      <wp:effectExtent l="0" t="0" r="12700" b="8255"/>
                      <wp:wrapNone/>
                      <wp:docPr id="1" name="Rect 4"/>
                      <wp:cNvGraphicFramePr/>
                      <a:graphic xmlns:a="http://schemas.openxmlformats.org/drawingml/2006/main">
                        <a:graphicData uri="http://schemas.microsoft.com/office/word/2010/wordprocessingShape">
                          <wps:wsp>
                            <wps:cNvSpPr/>
                            <wps:spPr>
                              <a:xfrm>
                                <a:off x="66548" y="93473"/>
                                <a:ext cx="25400" cy="296545"/>
                              </a:xfrm>
                              <a:prstGeom prst="rect">
                                <a:avLst/>
                              </a:prstGeom>
                              <a:solidFill>
                                <a:srgbClr val="0101FF">
                                  <a:alpha val="30196"/>
                                </a:srgbClr>
                              </a:solidFill>
                              <a:ln>
                                <a:noFill/>
                              </a:ln>
                            </wps:spPr>
                            <wps:style>
                              <a:lnRef idx="0">
                                <a:schemeClr val="accent1"/>
                              </a:lnRef>
                              <a:fillRef idx="0">
                                <a:schemeClr val="accent1"/>
                              </a:fillRef>
                              <a:effectRef idx="0">
                                <a:schemeClr val="accent1"/>
                              </a:effectRef>
                              <a:fontRef idx="minor">
                                <a:schemeClr val="dk1"/>
                              </a:fontRef>
                            </wps:style>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rect id="Rect 4" o:spid="_x0000_s1026" o:spt="1" style="position:absolute;left:0pt;margin-left:5.2pt;margin-top:7.35pt;height:23.35pt;width:2pt;z-index:-251657216;mso-width-relative:page;mso-height-relative:page;" fillcolor="#0101FF" filled="t" stroked="f" coordsize="21600,21600" o:gfxdata="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Aj9XuTTAAAABwEAAA8AAAAAAAAAAQAgAAAAIgAAAGRycy9kb3ducmV2Lnht&#10;bFBLAQIUABQAAAAIAIdO4kAdatWcNwIAAIMEAAAOAAAAAAAAAAEAIAAAACIBAABkcnMvZTJvRG9j&#10;LnhtbFBLBQYAAAAABgAGAFkBAADLBQAAAAA=&#10;">
                      <v:fill on="t" opacity="19789f" focussize="0,0"/>
                      <v:stroke on="f"/>
                      <v:imagedata o:title=""/>
                      <o:lock v:ext="edit" aspectratio="f"/>
                      <v:textbox inset="0mm,0mm,0mm,0mm"/>
                    </v:rect>
                  </w:pict>
                </mc:Fallback>
              </mc:AlternateContent>
            </w:r>
          </w:p>
        </w:tc>
        <w:tc>
          <w:tcPr>
            <w:tcW w:w="2350" w:type="dxa"/>
            <w:vAlign w:val="center"/>
          </w:tcPr>
          <w:p w14:paraId="2FE23A3A">
            <w:pPr>
              <w:pStyle w:val="14"/>
              <w:keepNext/>
              <w:keepLines w:val="0"/>
              <w:pageBreakBefore w:val="0"/>
              <w:widowControl/>
              <w:kinsoku/>
              <w:wordWrap w:val="0"/>
              <w:overflowPunct w:val="0"/>
              <w:topLinePunct w:val="0"/>
              <w:autoSpaceDE w:val="0"/>
              <w:autoSpaceDN w:val="0"/>
              <w:bidi w:val="0"/>
              <w:adjustRightInd w:val="0"/>
              <w:snapToGrid w:val="0"/>
              <w:spacing w:before="78" w:line="400" w:lineRule="exact"/>
              <w:ind w:left="57" w:right="57"/>
              <w:jc w:val="both"/>
              <w:textAlignment w:val="auto"/>
              <w:rPr>
                <w:rFonts w:hint="eastAsia" w:ascii="仿宋_GB2312" w:hAnsi="仿宋_GB2312" w:eastAsia="仿宋_GB2312" w:cs="仿宋_GB2312"/>
                <w:sz w:val="20"/>
                <w:szCs w:val="20"/>
              </w:rPr>
            </w:pPr>
            <w:r>
              <w:rPr>
                <w:rFonts w:hint="eastAsia" w:ascii="仿宋_GB2312" w:hAnsi="仿宋_GB2312" w:eastAsia="仿宋_GB2312" w:cs="仿宋_GB2312"/>
                <w:spacing w:val="-2"/>
                <w:sz w:val="20"/>
                <w:szCs w:val="20"/>
              </w:rPr>
              <w:t>进行相关动态信息更新，未按要求处理的一次扣0.5分，共4分。</w:t>
            </w:r>
          </w:p>
        </w:tc>
        <w:tc>
          <w:tcPr>
            <w:tcW w:w="754" w:type="dxa"/>
            <w:vAlign w:val="top"/>
          </w:tcPr>
          <w:p w14:paraId="06A3DC51">
            <w:pPr>
              <w:keepNext/>
              <w:keepLines w:val="0"/>
              <w:pageBreakBefore w:val="0"/>
              <w:widowControl/>
              <w:kinsoku/>
              <w:wordWrap w:val="0"/>
              <w:overflowPunct w:val="0"/>
              <w:topLinePunct w:val="0"/>
              <w:autoSpaceDE w:val="0"/>
              <w:autoSpaceDN w:val="0"/>
              <w:bidi w:val="0"/>
              <w:adjustRightInd w:val="0"/>
              <w:snapToGrid w:val="0"/>
              <w:spacing w:line="400" w:lineRule="exact"/>
              <w:textAlignment w:val="auto"/>
              <w:rPr>
                <w:rFonts w:hint="eastAsia" w:ascii="仿宋_GB2312" w:hAnsi="仿宋_GB2312" w:eastAsia="仿宋_GB2312" w:cs="仿宋_GB2312"/>
                <w:sz w:val="20"/>
                <w:szCs w:val="20"/>
              </w:rPr>
            </w:pPr>
          </w:p>
        </w:tc>
        <w:tc>
          <w:tcPr>
            <w:tcW w:w="731" w:type="dxa"/>
            <w:vAlign w:val="top"/>
          </w:tcPr>
          <w:p w14:paraId="78C3D1F7">
            <w:pPr>
              <w:keepNext/>
              <w:keepLines w:val="0"/>
              <w:pageBreakBefore w:val="0"/>
              <w:widowControl/>
              <w:kinsoku/>
              <w:wordWrap w:val="0"/>
              <w:overflowPunct w:val="0"/>
              <w:topLinePunct w:val="0"/>
              <w:autoSpaceDE w:val="0"/>
              <w:autoSpaceDN w:val="0"/>
              <w:bidi w:val="0"/>
              <w:adjustRightInd w:val="0"/>
              <w:snapToGrid w:val="0"/>
              <w:spacing w:line="400" w:lineRule="exact"/>
              <w:textAlignment w:val="auto"/>
              <w:rPr>
                <w:rFonts w:hint="eastAsia" w:ascii="仿宋_GB2312" w:hAnsi="仿宋_GB2312" w:eastAsia="仿宋_GB2312" w:cs="仿宋_GB2312"/>
                <w:sz w:val="20"/>
                <w:szCs w:val="20"/>
              </w:rPr>
            </w:pPr>
          </w:p>
        </w:tc>
      </w:tr>
      <w:tr w14:paraId="3FC593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8" w:hRule="atLeast"/>
          <w:jc w:val="center"/>
        </w:trPr>
        <w:tc>
          <w:tcPr>
            <w:tcW w:w="721" w:type="dxa"/>
            <w:vMerge w:val="restart"/>
            <w:vAlign w:val="top"/>
          </w:tcPr>
          <w:p w14:paraId="5DE05FB1">
            <w:pPr>
              <w:pStyle w:val="14"/>
              <w:keepNext/>
              <w:keepLines w:val="0"/>
              <w:pageBreakBefore w:val="0"/>
              <w:widowControl/>
              <w:kinsoku/>
              <w:wordWrap w:val="0"/>
              <w:overflowPunct w:val="0"/>
              <w:topLinePunct w:val="0"/>
              <w:autoSpaceDE w:val="0"/>
              <w:autoSpaceDN w:val="0"/>
              <w:bidi w:val="0"/>
              <w:adjustRightInd w:val="0"/>
              <w:snapToGrid w:val="0"/>
              <w:spacing w:line="400" w:lineRule="exact"/>
              <w:ind w:left="145"/>
              <w:textAlignment w:val="auto"/>
              <w:rPr>
                <w:rFonts w:hint="eastAsia" w:ascii="仿宋_GB2312" w:hAnsi="仿宋_GB2312" w:eastAsia="仿宋_GB2312" w:cs="仿宋_GB2312"/>
                <w:spacing w:val="-20"/>
                <w:sz w:val="20"/>
                <w:szCs w:val="20"/>
                <w14:textOutline w14:w="4356" w14:cap="sq" w14:cmpd="sng">
                  <w14:solidFill>
                    <w14:srgbClr w14:val="000000"/>
                  </w14:solidFill>
                  <w14:prstDash w14:val="solid"/>
                  <w14:bevel/>
                </w14:textOutline>
              </w:rPr>
            </w:pPr>
          </w:p>
        </w:tc>
        <w:tc>
          <w:tcPr>
            <w:tcW w:w="1199" w:type="dxa"/>
            <w:vMerge w:val="restart"/>
            <w:vAlign w:val="center"/>
          </w:tcPr>
          <w:p w14:paraId="11E06C11">
            <w:pPr>
              <w:pStyle w:val="14"/>
              <w:keepNext/>
              <w:keepLines w:val="0"/>
              <w:pageBreakBefore w:val="0"/>
              <w:widowControl/>
              <w:kinsoku/>
              <w:wordWrap w:val="0"/>
              <w:overflowPunct w:val="0"/>
              <w:topLinePunct w:val="0"/>
              <w:autoSpaceDE w:val="0"/>
              <w:autoSpaceDN w:val="0"/>
              <w:bidi w:val="0"/>
              <w:adjustRightInd w:val="0"/>
              <w:snapToGrid w:val="0"/>
              <w:spacing w:before="78" w:line="400" w:lineRule="exact"/>
              <w:ind w:left="111"/>
              <w:jc w:val="center"/>
              <w:textAlignment w:val="auto"/>
              <w:rPr>
                <w:rFonts w:hint="eastAsia" w:ascii="仿宋_GB2312" w:hAnsi="仿宋_GB2312" w:eastAsia="仿宋_GB2312" w:cs="仿宋_GB2312"/>
                <w:sz w:val="20"/>
                <w:szCs w:val="20"/>
              </w:rPr>
            </w:pPr>
            <w:r>
              <w:rPr>
                <w:rFonts w:hint="eastAsia" w:ascii="仿宋_GB2312" w:hAnsi="仿宋_GB2312" w:eastAsia="仿宋_GB2312" w:cs="仿宋_GB2312"/>
                <w:spacing w:val="-3"/>
                <w:position w:val="17"/>
                <w:sz w:val="20"/>
                <w:szCs w:val="20"/>
              </w:rPr>
              <w:t>超标事件</w:t>
            </w:r>
          </w:p>
          <w:p w14:paraId="565A903C">
            <w:pPr>
              <w:pStyle w:val="14"/>
              <w:keepNext/>
              <w:keepLines w:val="0"/>
              <w:pageBreakBefore w:val="0"/>
              <w:widowControl/>
              <w:kinsoku/>
              <w:wordWrap w:val="0"/>
              <w:overflowPunct w:val="0"/>
              <w:topLinePunct w:val="0"/>
              <w:autoSpaceDE w:val="0"/>
              <w:autoSpaceDN w:val="0"/>
              <w:bidi w:val="0"/>
              <w:adjustRightInd w:val="0"/>
              <w:snapToGrid w:val="0"/>
              <w:spacing w:line="400" w:lineRule="exact"/>
              <w:ind w:left="115"/>
              <w:jc w:val="center"/>
              <w:textAlignment w:val="auto"/>
              <w:rPr>
                <w:rFonts w:hint="eastAsia" w:ascii="仿宋_GB2312" w:hAnsi="仿宋_GB2312" w:eastAsia="仿宋_GB2312" w:cs="仿宋_GB2312"/>
                <w:spacing w:val="-5"/>
                <w:sz w:val="20"/>
                <w:szCs w:val="20"/>
              </w:rPr>
            </w:pPr>
            <w:r>
              <w:rPr>
                <w:rFonts w:hint="eastAsia" w:ascii="仿宋_GB2312" w:hAnsi="仿宋_GB2312" w:eastAsia="仿宋_GB2312" w:cs="仿宋_GB2312"/>
                <w:spacing w:val="-4"/>
                <w:sz w:val="20"/>
                <w:szCs w:val="20"/>
              </w:rPr>
              <w:t>分析服务</w:t>
            </w:r>
          </w:p>
        </w:tc>
        <w:tc>
          <w:tcPr>
            <w:tcW w:w="3958" w:type="dxa"/>
            <w:gridSpan w:val="2"/>
            <w:vAlign w:val="top"/>
          </w:tcPr>
          <w:p w14:paraId="43241557">
            <w:pPr>
              <w:pStyle w:val="14"/>
              <w:keepNext/>
              <w:keepLines w:val="0"/>
              <w:pageBreakBefore w:val="0"/>
              <w:widowControl/>
              <w:kinsoku/>
              <w:wordWrap w:val="0"/>
              <w:overflowPunct w:val="0"/>
              <w:topLinePunct w:val="0"/>
              <w:autoSpaceDE w:val="0"/>
              <w:autoSpaceDN w:val="0"/>
              <w:bidi w:val="0"/>
              <w:adjustRightInd w:val="0"/>
              <w:snapToGrid w:val="0"/>
              <w:spacing w:before="39" w:line="400" w:lineRule="exact"/>
              <w:ind w:left="57" w:right="57" w:firstLine="1"/>
              <w:textAlignment w:val="auto"/>
              <w:rPr>
                <w:rFonts w:hint="eastAsia" w:ascii="仿宋_GB2312" w:hAnsi="仿宋_GB2312" w:eastAsia="仿宋_GB2312" w:cs="仿宋_GB2312"/>
                <w:spacing w:val="-1"/>
                <w:sz w:val="20"/>
                <w:szCs w:val="20"/>
              </w:rPr>
            </w:pPr>
            <w:r>
              <w:rPr>
                <w:rFonts w:hint="eastAsia" w:ascii="仿宋_GB2312" w:hAnsi="仿宋_GB2312" w:eastAsia="仿宋_GB2312" w:cs="仿宋_GB2312"/>
                <w:spacing w:val="-1"/>
                <w:sz w:val="20"/>
                <w:szCs w:val="20"/>
              </w:rPr>
              <w:t>利用平台各项监测设备、监控视频</w:t>
            </w:r>
          </w:p>
          <w:p w14:paraId="201F5C29">
            <w:pPr>
              <w:pStyle w:val="14"/>
              <w:keepNext/>
              <w:keepLines w:val="0"/>
              <w:pageBreakBefore w:val="0"/>
              <w:widowControl/>
              <w:kinsoku/>
              <w:wordWrap w:val="0"/>
              <w:overflowPunct w:val="0"/>
              <w:topLinePunct w:val="0"/>
              <w:autoSpaceDE w:val="0"/>
              <w:autoSpaceDN w:val="0"/>
              <w:bidi w:val="0"/>
              <w:adjustRightInd w:val="0"/>
              <w:snapToGrid w:val="0"/>
              <w:spacing w:before="39" w:line="400" w:lineRule="exact"/>
              <w:ind w:left="57" w:leftChars="0" w:right="57" w:rightChars="0" w:firstLine="1" w:firstLineChars="0"/>
              <w:textAlignment w:val="auto"/>
              <w:rPr>
                <w:rFonts w:hint="eastAsia" w:ascii="仿宋_GB2312" w:hAnsi="仿宋_GB2312" w:eastAsia="仿宋_GB2312" w:cs="仿宋_GB2312"/>
                <w:spacing w:val="-1"/>
                <w:sz w:val="20"/>
                <w:szCs w:val="20"/>
              </w:rPr>
            </w:pPr>
            <w:r>
              <w:rPr>
                <w:rFonts w:hint="eastAsia" w:ascii="仿宋_GB2312" w:hAnsi="仿宋_GB2312" w:eastAsia="仿宋_GB2312" w:cs="仿宋_GB2312"/>
                <w:spacing w:val="-1"/>
                <w:sz w:val="20"/>
                <w:szCs w:val="20"/>
              </w:rPr>
              <w:t>进行历史录像回放，开展污染分析，对污染事件进行溯源，分析污染成因，第一时间传递污染信息，同时利用平台指挥调度和每日一报开展污染事件的处置流程，将问题落实到各责任部门，指导处置工作的开展，落实各流程的处置要求，持续跟踪整改效果，并形成问题台账。针对三级以上超标事件进行视频核查工作，并针对超标申诉事件进行人工审核，审核通过后48小时内核查处理完成。统计三小时以上发生扬尘超标工地及超标数值提供超标工地明显污染源视频截图，分析超标疑似原因。</w:t>
            </w:r>
          </w:p>
        </w:tc>
        <w:tc>
          <w:tcPr>
            <w:tcW w:w="2350" w:type="dxa"/>
            <w:vAlign w:val="center"/>
          </w:tcPr>
          <w:p w14:paraId="485203A9">
            <w:pPr>
              <w:pStyle w:val="14"/>
              <w:keepNext/>
              <w:keepLines w:val="0"/>
              <w:pageBreakBefore w:val="0"/>
              <w:widowControl/>
              <w:kinsoku/>
              <w:wordWrap w:val="0"/>
              <w:overflowPunct w:val="0"/>
              <w:topLinePunct w:val="0"/>
              <w:autoSpaceDE w:val="0"/>
              <w:autoSpaceDN w:val="0"/>
              <w:bidi w:val="0"/>
              <w:adjustRightInd w:val="0"/>
              <w:snapToGrid w:val="0"/>
              <w:spacing w:before="78" w:line="400" w:lineRule="exact"/>
              <w:ind w:left="57" w:leftChars="0" w:right="57"/>
              <w:jc w:val="both"/>
              <w:textAlignment w:val="auto"/>
              <w:rPr>
                <w:rFonts w:hint="eastAsia" w:ascii="仿宋_GB2312" w:hAnsi="仿宋_GB2312" w:eastAsia="仿宋_GB2312" w:cs="仿宋_GB2312"/>
                <w:spacing w:val="-3"/>
                <w:sz w:val="20"/>
                <w:szCs w:val="20"/>
              </w:rPr>
            </w:pPr>
            <w:r>
              <w:rPr>
                <w:rFonts w:hint="eastAsia" w:ascii="仿宋_GB2312" w:hAnsi="仿宋_GB2312" w:eastAsia="仿宋_GB2312" w:cs="仿宋_GB2312"/>
                <w:spacing w:val="-2"/>
                <w:sz w:val="20"/>
                <w:szCs w:val="20"/>
              </w:rPr>
              <w:t>审核通过后48小时内处理完相关工作，未按要求处理的一次扣0.5分，共4分。</w:t>
            </w:r>
          </w:p>
        </w:tc>
        <w:tc>
          <w:tcPr>
            <w:tcW w:w="754" w:type="dxa"/>
            <w:vAlign w:val="top"/>
          </w:tcPr>
          <w:p w14:paraId="3C74200F">
            <w:pPr>
              <w:keepNext/>
              <w:keepLines w:val="0"/>
              <w:pageBreakBefore w:val="0"/>
              <w:widowControl/>
              <w:kinsoku/>
              <w:wordWrap w:val="0"/>
              <w:overflowPunct w:val="0"/>
              <w:topLinePunct w:val="0"/>
              <w:autoSpaceDE w:val="0"/>
              <w:autoSpaceDN w:val="0"/>
              <w:bidi w:val="0"/>
              <w:adjustRightInd w:val="0"/>
              <w:snapToGrid w:val="0"/>
              <w:spacing w:line="400" w:lineRule="exact"/>
              <w:textAlignment w:val="auto"/>
              <w:rPr>
                <w:rFonts w:hint="eastAsia" w:ascii="仿宋_GB2312" w:hAnsi="仿宋_GB2312" w:eastAsia="仿宋_GB2312" w:cs="仿宋_GB2312"/>
                <w:sz w:val="20"/>
                <w:szCs w:val="20"/>
              </w:rPr>
            </w:pPr>
          </w:p>
        </w:tc>
        <w:tc>
          <w:tcPr>
            <w:tcW w:w="731" w:type="dxa"/>
            <w:vAlign w:val="top"/>
          </w:tcPr>
          <w:p w14:paraId="767EC4E8">
            <w:pPr>
              <w:keepNext/>
              <w:keepLines w:val="0"/>
              <w:pageBreakBefore w:val="0"/>
              <w:widowControl/>
              <w:kinsoku/>
              <w:wordWrap w:val="0"/>
              <w:overflowPunct w:val="0"/>
              <w:topLinePunct w:val="0"/>
              <w:autoSpaceDE w:val="0"/>
              <w:autoSpaceDN w:val="0"/>
              <w:bidi w:val="0"/>
              <w:adjustRightInd w:val="0"/>
              <w:snapToGrid w:val="0"/>
              <w:spacing w:line="400" w:lineRule="exact"/>
              <w:textAlignment w:val="auto"/>
              <w:rPr>
                <w:rFonts w:hint="eastAsia" w:ascii="仿宋_GB2312" w:hAnsi="仿宋_GB2312" w:eastAsia="仿宋_GB2312" w:cs="仿宋_GB2312"/>
                <w:sz w:val="20"/>
                <w:szCs w:val="20"/>
              </w:rPr>
            </w:pPr>
          </w:p>
        </w:tc>
      </w:tr>
      <w:tr w14:paraId="71F35F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8" w:hRule="atLeast"/>
          <w:jc w:val="center"/>
        </w:trPr>
        <w:tc>
          <w:tcPr>
            <w:tcW w:w="721" w:type="dxa"/>
            <w:vMerge w:val="continue"/>
            <w:vAlign w:val="top"/>
          </w:tcPr>
          <w:p w14:paraId="140AC699">
            <w:pPr>
              <w:pStyle w:val="14"/>
              <w:keepNext/>
              <w:keepLines w:val="0"/>
              <w:pageBreakBefore w:val="0"/>
              <w:widowControl/>
              <w:kinsoku/>
              <w:wordWrap w:val="0"/>
              <w:overflowPunct w:val="0"/>
              <w:topLinePunct w:val="0"/>
              <w:autoSpaceDE w:val="0"/>
              <w:autoSpaceDN w:val="0"/>
              <w:bidi w:val="0"/>
              <w:adjustRightInd w:val="0"/>
              <w:snapToGrid w:val="0"/>
              <w:spacing w:line="400" w:lineRule="exact"/>
              <w:ind w:left="145"/>
              <w:textAlignment w:val="auto"/>
              <w:rPr>
                <w:rFonts w:hint="eastAsia" w:ascii="仿宋_GB2312" w:hAnsi="仿宋_GB2312" w:eastAsia="仿宋_GB2312" w:cs="仿宋_GB2312"/>
                <w:spacing w:val="-20"/>
                <w:sz w:val="20"/>
                <w:szCs w:val="20"/>
                <w14:textOutline w14:w="4356" w14:cap="sq" w14:cmpd="sng">
                  <w14:solidFill>
                    <w14:srgbClr w14:val="000000"/>
                  </w14:solidFill>
                  <w14:prstDash w14:val="solid"/>
                  <w14:bevel/>
                </w14:textOutline>
              </w:rPr>
            </w:pPr>
          </w:p>
        </w:tc>
        <w:tc>
          <w:tcPr>
            <w:tcW w:w="1199" w:type="dxa"/>
            <w:vMerge w:val="continue"/>
            <w:vAlign w:val="top"/>
          </w:tcPr>
          <w:p w14:paraId="0BCC8B22">
            <w:pPr>
              <w:pStyle w:val="14"/>
              <w:keepNext/>
              <w:keepLines w:val="0"/>
              <w:pageBreakBefore w:val="0"/>
              <w:widowControl/>
              <w:kinsoku/>
              <w:wordWrap w:val="0"/>
              <w:overflowPunct w:val="0"/>
              <w:topLinePunct w:val="0"/>
              <w:autoSpaceDE w:val="0"/>
              <w:autoSpaceDN w:val="0"/>
              <w:bidi w:val="0"/>
              <w:adjustRightInd w:val="0"/>
              <w:snapToGrid w:val="0"/>
              <w:spacing w:line="400" w:lineRule="exact"/>
              <w:ind w:left="115"/>
              <w:textAlignment w:val="auto"/>
              <w:rPr>
                <w:rFonts w:hint="eastAsia" w:ascii="仿宋_GB2312" w:hAnsi="仿宋_GB2312" w:eastAsia="仿宋_GB2312" w:cs="仿宋_GB2312"/>
                <w:spacing w:val="-5"/>
                <w:sz w:val="20"/>
                <w:szCs w:val="20"/>
              </w:rPr>
            </w:pPr>
          </w:p>
        </w:tc>
        <w:tc>
          <w:tcPr>
            <w:tcW w:w="3958" w:type="dxa"/>
            <w:gridSpan w:val="2"/>
            <w:vAlign w:val="top"/>
          </w:tcPr>
          <w:p w14:paraId="5A869F00">
            <w:pPr>
              <w:pStyle w:val="14"/>
              <w:keepNext/>
              <w:keepLines w:val="0"/>
              <w:pageBreakBefore w:val="0"/>
              <w:widowControl/>
              <w:kinsoku/>
              <w:wordWrap w:val="0"/>
              <w:overflowPunct w:val="0"/>
              <w:topLinePunct w:val="0"/>
              <w:autoSpaceDE w:val="0"/>
              <w:autoSpaceDN w:val="0"/>
              <w:bidi w:val="0"/>
              <w:adjustRightInd w:val="0"/>
              <w:snapToGrid w:val="0"/>
              <w:spacing w:before="39" w:line="400" w:lineRule="exact"/>
              <w:ind w:left="57" w:right="57" w:firstLine="1"/>
              <w:textAlignment w:val="auto"/>
              <w:rPr>
                <w:rFonts w:hint="eastAsia" w:ascii="仿宋_GB2312" w:hAnsi="仿宋_GB2312" w:eastAsia="仿宋_GB2312" w:cs="仿宋_GB2312"/>
                <w:spacing w:val="-1"/>
                <w:sz w:val="20"/>
                <w:szCs w:val="20"/>
              </w:rPr>
            </w:pPr>
            <w:r>
              <w:rPr>
                <w:rFonts w:hint="eastAsia" w:ascii="仿宋_GB2312" w:hAnsi="仿宋_GB2312" w:eastAsia="仿宋_GB2312" w:cs="仿宋_GB2312"/>
                <w:spacing w:val="-1"/>
                <w:sz w:val="20"/>
                <w:szCs w:val="20"/>
              </w:rPr>
              <w:t>提供西安市辖区内所有区县超标事件排名统计表；提供超标事件统计情况表，工地申诉情况统计，提供申诉数量统计，超标工地趋势分析，根据超标时间段特征，给出合理化建议。</w:t>
            </w:r>
          </w:p>
        </w:tc>
        <w:tc>
          <w:tcPr>
            <w:tcW w:w="2350" w:type="dxa"/>
            <w:vAlign w:val="center"/>
          </w:tcPr>
          <w:p w14:paraId="3B8ABB47">
            <w:pPr>
              <w:pStyle w:val="14"/>
              <w:keepNext/>
              <w:keepLines w:val="0"/>
              <w:pageBreakBefore w:val="0"/>
              <w:widowControl/>
              <w:kinsoku/>
              <w:wordWrap w:val="0"/>
              <w:overflowPunct w:val="0"/>
              <w:topLinePunct w:val="0"/>
              <w:autoSpaceDE w:val="0"/>
              <w:autoSpaceDN w:val="0"/>
              <w:bidi w:val="0"/>
              <w:adjustRightInd w:val="0"/>
              <w:snapToGrid w:val="0"/>
              <w:spacing w:before="78" w:line="400" w:lineRule="exact"/>
              <w:ind w:left="57" w:leftChars="0" w:right="57"/>
              <w:jc w:val="both"/>
              <w:textAlignment w:val="auto"/>
              <w:rPr>
                <w:rFonts w:hint="eastAsia" w:ascii="仿宋_GB2312" w:hAnsi="仿宋_GB2312" w:eastAsia="仿宋_GB2312" w:cs="仿宋_GB2312"/>
                <w:spacing w:val="-3"/>
                <w:sz w:val="20"/>
                <w:szCs w:val="20"/>
              </w:rPr>
            </w:pPr>
            <w:r>
              <w:rPr>
                <w:rFonts w:hint="eastAsia" w:ascii="仿宋_GB2312" w:hAnsi="仿宋_GB2312" w:eastAsia="仿宋_GB2312" w:cs="仿宋_GB2312"/>
                <w:spacing w:val="-2"/>
                <w:sz w:val="20"/>
                <w:szCs w:val="20"/>
              </w:rPr>
              <w:t>按甲方要求，乙方提供相关超标统计分析或报告，未按要求处理的一次扣0.5分，共4分。</w:t>
            </w:r>
          </w:p>
        </w:tc>
        <w:tc>
          <w:tcPr>
            <w:tcW w:w="754" w:type="dxa"/>
            <w:vAlign w:val="top"/>
          </w:tcPr>
          <w:p w14:paraId="3B16678E">
            <w:pPr>
              <w:keepNext/>
              <w:keepLines w:val="0"/>
              <w:pageBreakBefore w:val="0"/>
              <w:widowControl/>
              <w:kinsoku/>
              <w:wordWrap w:val="0"/>
              <w:overflowPunct w:val="0"/>
              <w:topLinePunct w:val="0"/>
              <w:autoSpaceDE w:val="0"/>
              <w:autoSpaceDN w:val="0"/>
              <w:bidi w:val="0"/>
              <w:adjustRightInd w:val="0"/>
              <w:snapToGrid w:val="0"/>
              <w:spacing w:line="400" w:lineRule="exact"/>
              <w:textAlignment w:val="auto"/>
              <w:rPr>
                <w:rFonts w:hint="eastAsia" w:ascii="仿宋_GB2312" w:hAnsi="仿宋_GB2312" w:eastAsia="仿宋_GB2312" w:cs="仿宋_GB2312"/>
                <w:sz w:val="20"/>
                <w:szCs w:val="20"/>
              </w:rPr>
            </w:pPr>
          </w:p>
        </w:tc>
        <w:tc>
          <w:tcPr>
            <w:tcW w:w="731" w:type="dxa"/>
            <w:vAlign w:val="top"/>
          </w:tcPr>
          <w:p w14:paraId="0E793692">
            <w:pPr>
              <w:keepNext/>
              <w:keepLines w:val="0"/>
              <w:pageBreakBefore w:val="0"/>
              <w:widowControl/>
              <w:kinsoku/>
              <w:wordWrap w:val="0"/>
              <w:overflowPunct w:val="0"/>
              <w:topLinePunct w:val="0"/>
              <w:autoSpaceDE w:val="0"/>
              <w:autoSpaceDN w:val="0"/>
              <w:bidi w:val="0"/>
              <w:adjustRightInd w:val="0"/>
              <w:snapToGrid w:val="0"/>
              <w:spacing w:line="400" w:lineRule="exact"/>
              <w:textAlignment w:val="auto"/>
              <w:rPr>
                <w:rFonts w:hint="eastAsia" w:ascii="仿宋_GB2312" w:hAnsi="仿宋_GB2312" w:eastAsia="仿宋_GB2312" w:cs="仿宋_GB2312"/>
                <w:sz w:val="20"/>
                <w:szCs w:val="20"/>
              </w:rPr>
            </w:pPr>
          </w:p>
        </w:tc>
      </w:tr>
      <w:tr w14:paraId="1D3602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8" w:hRule="atLeast"/>
          <w:jc w:val="center"/>
        </w:trPr>
        <w:tc>
          <w:tcPr>
            <w:tcW w:w="721" w:type="dxa"/>
            <w:vMerge w:val="continue"/>
            <w:vAlign w:val="top"/>
          </w:tcPr>
          <w:p w14:paraId="646DEC87">
            <w:pPr>
              <w:pStyle w:val="14"/>
              <w:keepNext/>
              <w:keepLines w:val="0"/>
              <w:pageBreakBefore w:val="0"/>
              <w:widowControl/>
              <w:kinsoku/>
              <w:wordWrap w:val="0"/>
              <w:overflowPunct w:val="0"/>
              <w:topLinePunct w:val="0"/>
              <w:autoSpaceDE w:val="0"/>
              <w:autoSpaceDN w:val="0"/>
              <w:bidi w:val="0"/>
              <w:adjustRightInd w:val="0"/>
              <w:snapToGrid w:val="0"/>
              <w:spacing w:line="400" w:lineRule="exact"/>
              <w:ind w:left="145"/>
              <w:textAlignment w:val="auto"/>
              <w:rPr>
                <w:rFonts w:hint="eastAsia" w:ascii="仿宋_GB2312" w:hAnsi="仿宋_GB2312" w:eastAsia="仿宋_GB2312" w:cs="仿宋_GB2312"/>
                <w:spacing w:val="-20"/>
                <w:sz w:val="20"/>
                <w:szCs w:val="20"/>
                <w14:textOutline w14:w="4356" w14:cap="sq" w14:cmpd="sng">
                  <w14:solidFill>
                    <w14:srgbClr w14:val="000000"/>
                  </w14:solidFill>
                  <w14:prstDash w14:val="solid"/>
                  <w14:bevel/>
                </w14:textOutline>
              </w:rPr>
            </w:pPr>
          </w:p>
        </w:tc>
        <w:tc>
          <w:tcPr>
            <w:tcW w:w="1199" w:type="dxa"/>
            <w:vMerge w:val="continue"/>
            <w:vAlign w:val="top"/>
          </w:tcPr>
          <w:p w14:paraId="4A6B649D">
            <w:pPr>
              <w:pStyle w:val="14"/>
              <w:keepNext/>
              <w:keepLines w:val="0"/>
              <w:pageBreakBefore w:val="0"/>
              <w:widowControl/>
              <w:kinsoku/>
              <w:wordWrap w:val="0"/>
              <w:overflowPunct w:val="0"/>
              <w:topLinePunct w:val="0"/>
              <w:autoSpaceDE w:val="0"/>
              <w:autoSpaceDN w:val="0"/>
              <w:bidi w:val="0"/>
              <w:adjustRightInd w:val="0"/>
              <w:snapToGrid w:val="0"/>
              <w:spacing w:line="400" w:lineRule="exact"/>
              <w:ind w:left="115"/>
              <w:textAlignment w:val="auto"/>
              <w:rPr>
                <w:rFonts w:hint="eastAsia" w:ascii="仿宋_GB2312" w:hAnsi="仿宋_GB2312" w:eastAsia="仿宋_GB2312" w:cs="仿宋_GB2312"/>
                <w:spacing w:val="-5"/>
                <w:sz w:val="20"/>
                <w:szCs w:val="20"/>
              </w:rPr>
            </w:pPr>
          </w:p>
        </w:tc>
        <w:tc>
          <w:tcPr>
            <w:tcW w:w="3958" w:type="dxa"/>
            <w:gridSpan w:val="2"/>
            <w:vAlign w:val="top"/>
          </w:tcPr>
          <w:p w14:paraId="660FC342">
            <w:pPr>
              <w:pStyle w:val="14"/>
              <w:keepNext/>
              <w:keepLines w:val="0"/>
              <w:pageBreakBefore w:val="0"/>
              <w:widowControl/>
              <w:kinsoku/>
              <w:wordWrap w:val="0"/>
              <w:overflowPunct w:val="0"/>
              <w:topLinePunct w:val="0"/>
              <w:autoSpaceDE w:val="0"/>
              <w:autoSpaceDN w:val="0"/>
              <w:bidi w:val="0"/>
              <w:adjustRightInd w:val="0"/>
              <w:snapToGrid w:val="0"/>
              <w:spacing w:before="39" w:line="400" w:lineRule="exact"/>
              <w:ind w:left="57" w:right="57"/>
              <w:textAlignment w:val="auto"/>
              <w:rPr>
                <w:rFonts w:hint="eastAsia" w:ascii="仿宋_GB2312" w:hAnsi="仿宋_GB2312" w:eastAsia="仿宋_GB2312" w:cs="仿宋_GB2312"/>
                <w:spacing w:val="-1"/>
                <w:sz w:val="20"/>
                <w:szCs w:val="20"/>
              </w:rPr>
            </w:pPr>
            <w:r>
              <w:rPr>
                <w:rFonts w:hint="eastAsia" w:ascii="仿宋_GB2312" w:hAnsi="仿宋_GB2312" w:eastAsia="仿宋_GB2312" w:cs="仿宋_GB2312"/>
                <w:spacing w:val="-1"/>
                <w:sz w:val="20"/>
                <w:szCs w:val="20"/>
              </w:rPr>
              <w:t>提供设备供应商排名，统计数据有效采集率排名及数据质控合格率排名，协助第三方数据质控服务。</w:t>
            </w:r>
          </w:p>
        </w:tc>
        <w:tc>
          <w:tcPr>
            <w:tcW w:w="2350" w:type="dxa"/>
            <w:vAlign w:val="center"/>
          </w:tcPr>
          <w:p w14:paraId="6CDD88BC">
            <w:pPr>
              <w:pStyle w:val="14"/>
              <w:keepNext/>
              <w:keepLines w:val="0"/>
              <w:pageBreakBefore w:val="0"/>
              <w:widowControl/>
              <w:kinsoku/>
              <w:wordWrap w:val="0"/>
              <w:overflowPunct w:val="0"/>
              <w:topLinePunct w:val="0"/>
              <w:autoSpaceDE w:val="0"/>
              <w:autoSpaceDN w:val="0"/>
              <w:bidi w:val="0"/>
              <w:adjustRightInd w:val="0"/>
              <w:snapToGrid w:val="0"/>
              <w:spacing w:before="40" w:line="400" w:lineRule="exact"/>
              <w:ind w:left="57" w:leftChars="0" w:right="57"/>
              <w:jc w:val="both"/>
              <w:textAlignment w:val="auto"/>
              <w:rPr>
                <w:rFonts w:hint="eastAsia" w:ascii="仿宋_GB2312" w:hAnsi="仿宋_GB2312" w:eastAsia="仿宋_GB2312" w:cs="仿宋_GB2312"/>
                <w:spacing w:val="-3"/>
                <w:sz w:val="20"/>
                <w:szCs w:val="20"/>
              </w:rPr>
            </w:pPr>
            <w:r>
              <w:rPr>
                <w:rFonts w:hint="eastAsia" w:ascii="仿宋_GB2312" w:hAnsi="仿宋_GB2312" w:eastAsia="仿宋_GB2312" w:cs="仿宋_GB2312"/>
                <w:spacing w:val="-2"/>
                <w:sz w:val="20"/>
                <w:szCs w:val="20"/>
              </w:rPr>
              <w:t>按甲方要求，乙方提供相关排名报告，未按要求处理</w:t>
            </w:r>
            <w:r>
              <w:rPr>
                <w:rFonts w:hint="eastAsia" w:ascii="仿宋_GB2312" w:hAnsi="仿宋_GB2312" w:eastAsia="仿宋_GB2312" w:cs="仿宋_GB2312"/>
                <w:spacing w:val="-3"/>
                <w:sz w:val="20"/>
                <w:szCs w:val="20"/>
              </w:rPr>
              <w:t>的一次扣0.5分，共4分。</w:t>
            </w:r>
          </w:p>
        </w:tc>
        <w:tc>
          <w:tcPr>
            <w:tcW w:w="754" w:type="dxa"/>
            <w:vAlign w:val="top"/>
          </w:tcPr>
          <w:p w14:paraId="22BE5CC9">
            <w:pPr>
              <w:keepNext/>
              <w:keepLines w:val="0"/>
              <w:pageBreakBefore w:val="0"/>
              <w:widowControl/>
              <w:kinsoku/>
              <w:wordWrap w:val="0"/>
              <w:overflowPunct w:val="0"/>
              <w:topLinePunct w:val="0"/>
              <w:autoSpaceDE w:val="0"/>
              <w:autoSpaceDN w:val="0"/>
              <w:bidi w:val="0"/>
              <w:adjustRightInd w:val="0"/>
              <w:snapToGrid w:val="0"/>
              <w:spacing w:line="400" w:lineRule="exact"/>
              <w:textAlignment w:val="auto"/>
              <w:rPr>
                <w:rFonts w:hint="eastAsia" w:ascii="仿宋_GB2312" w:hAnsi="仿宋_GB2312" w:eastAsia="仿宋_GB2312" w:cs="仿宋_GB2312"/>
                <w:sz w:val="20"/>
                <w:szCs w:val="20"/>
              </w:rPr>
            </w:pPr>
          </w:p>
        </w:tc>
        <w:tc>
          <w:tcPr>
            <w:tcW w:w="731" w:type="dxa"/>
            <w:vAlign w:val="top"/>
          </w:tcPr>
          <w:p w14:paraId="68A26D86">
            <w:pPr>
              <w:keepNext/>
              <w:keepLines w:val="0"/>
              <w:pageBreakBefore w:val="0"/>
              <w:widowControl/>
              <w:kinsoku/>
              <w:wordWrap w:val="0"/>
              <w:overflowPunct w:val="0"/>
              <w:topLinePunct w:val="0"/>
              <w:autoSpaceDE w:val="0"/>
              <w:autoSpaceDN w:val="0"/>
              <w:bidi w:val="0"/>
              <w:adjustRightInd w:val="0"/>
              <w:snapToGrid w:val="0"/>
              <w:spacing w:line="400" w:lineRule="exact"/>
              <w:textAlignment w:val="auto"/>
              <w:rPr>
                <w:rFonts w:hint="eastAsia" w:ascii="仿宋_GB2312" w:hAnsi="仿宋_GB2312" w:eastAsia="仿宋_GB2312" w:cs="仿宋_GB2312"/>
                <w:sz w:val="20"/>
                <w:szCs w:val="20"/>
              </w:rPr>
            </w:pPr>
          </w:p>
        </w:tc>
      </w:tr>
      <w:tr w14:paraId="0AD413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8" w:hRule="atLeast"/>
          <w:jc w:val="center"/>
        </w:trPr>
        <w:tc>
          <w:tcPr>
            <w:tcW w:w="721" w:type="dxa"/>
            <w:vAlign w:val="top"/>
          </w:tcPr>
          <w:p w14:paraId="2A8DCAF6">
            <w:pPr>
              <w:keepNext/>
              <w:keepLines w:val="0"/>
              <w:pageBreakBefore w:val="0"/>
              <w:widowControl/>
              <w:kinsoku/>
              <w:wordWrap w:val="0"/>
              <w:overflowPunct w:val="0"/>
              <w:topLinePunct w:val="0"/>
              <w:autoSpaceDE w:val="0"/>
              <w:autoSpaceDN w:val="0"/>
              <w:bidi w:val="0"/>
              <w:adjustRightInd w:val="0"/>
              <w:snapToGrid w:val="0"/>
              <w:spacing w:line="400" w:lineRule="exact"/>
              <w:textAlignment w:val="auto"/>
              <w:rPr>
                <w:rFonts w:hint="eastAsia" w:ascii="仿宋_GB2312" w:hAnsi="仿宋_GB2312" w:eastAsia="仿宋_GB2312" w:cs="仿宋_GB2312"/>
                <w:sz w:val="20"/>
                <w:szCs w:val="20"/>
              </w:rPr>
            </w:pPr>
          </w:p>
          <w:p w14:paraId="35261154">
            <w:pPr>
              <w:pStyle w:val="14"/>
              <w:keepNext/>
              <w:keepLines w:val="0"/>
              <w:pageBreakBefore w:val="0"/>
              <w:widowControl/>
              <w:kinsoku/>
              <w:wordWrap w:val="0"/>
              <w:overflowPunct w:val="0"/>
              <w:topLinePunct w:val="0"/>
              <w:autoSpaceDE w:val="0"/>
              <w:autoSpaceDN w:val="0"/>
              <w:bidi w:val="0"/>
              <w:adjustRightInd w:val="0"/>
              <w:snapToGrid w:val="0"/>
              <w:spacing w:before="78" w:line="400" w:lineRule="exact"/>
              <w:ind w:left="129"/>
              <w:textAlignment w:val="auto"/>
              <w:rPr>
                <w:rFonts w:hint="eastAsia" w:ascii="仿宋_GB2312" w:hAnsi="仿宋_GB2312" w:eastAsia="仿宋_GB2312" w:cs="仿宋_GB2312"/>
                <w:sz w:val="20"/>
                <w:szCs w:val="20"/>
              </w:rPr>
            </w:pPr>
            <w:r>
              <w:rPr>
                <w:rFonts w:hint="eastAsia" w:ascii="仿宋_GB2312" w:hAnsi="仿宋_GB2312" w:eastAsia="仿宋_GB2312" w:cs="仿宋_GB2312"/>
                <w:spacing w:val="-12"/>
                <w:position w:val="17"/>
                <w:sz w:val="20"/>
                <w:szCs w:val="20"/>
                <w14:textOutline w14:w="4358" w14:cap="sq" w14:cmpd="sng">
                  <w14:solidFill>
                    <w14:srgbClr w14:val="000000"/>
                  </w14:solidFill>
                  <w14:prstDash w14:val="solid"/>
                  <w14:bevel/>
                </w14:textOutline>
              </w:rPr>
              <w:t>临时</w:t>
            </w:r>
          </w:p>
          <w:p w14:paraId="3FC94F56">
            <w:pPr>
              <w:pStyle w:val="14"/>
              <w:keepNext/>
              <w:keepLines w:val="0"/>
              <w:pageBreakBefore w:val="0"/>
              <w:widowControl/>
              <w:kinsoku/>
              <w:wordWrap w:val="0"/>
              <w:overflowPunct w:val="0"/>
              <w:topLinePunct w:val="0"/>
              <w:autoSpaceDE w:val="0"/>
              <w:autoSpaceDN w:val="0"/>
              <w:bidi w:val="0"/>
              <w:adjustRightInd w:val="0"/>
              <w:snapToGrid w:val="0"/>
              <w:spacing w:line="400" w:lineRule="exact"/>
              <w:ind w:left="115" w:leftChars="0"/>
              <w:textAlignment w:val="auto"/>
              <w:rPr>
                <w:rFonts w:hint="eastAsia" w:ascii="仿宋_GB2312" w:hAnsi="仿宋_GB2312" w:eastAsia="仿宋_GB2312" w:cs="仿宋_GB2312"/>
                <w:spacing w:val="-20"/>
                <w:sz w:val="20"/>
                <w:szCs w:val="20"/>
                <w14:textOutline w14:w="4356" w14:cap="sq" w14:cmpd="sng">
                  <w14:solidFill>
                    <w14:srgbClr w14:val="000000"/>
                  </w14:solidFill>
                  <w14:prstDash w14:val="solid"/>
                  <w14:bevel/>
                </w14:textOutline>
              </w:rPr>
            </w:pPr>
            <w:r>
              <w:rPr>
                <w:rFonts w:hint="eastAsia" w:ascii="仿宋_GB2312" w:hAnsi="仿宋_GB2312" w:eastAsia="仿宋_GB2312" w:cs="仿宋_GB2312"/>
                <w:spacing w:val="-5"/>
                <w:sz w:val="20"/>
                <w:szCs w:val="20"/>
                <w14:textOutline w14:w="4358" w14:cap="sq" w14:cmpd="sng">
                  <w14:solidFill>
                    <w14:srgbClr w14:val="000000"/>
                  </w14:solidFill>
                  <w14:prstDash w14:val="solid"/>
                  <w14:bevel/>
                </w14:textOutline>
              </w:rPr>
              <w:t>任务</w:t>
            </w:r>
          </w:p>
        </w:tc>
        <w:tc>
          <w:tcPr>
            <w:tcW w:w="1199" w:type="dxa"/>
            <w:vAlign w:val="center"/>
          </w:tcPr>
          <w:p w14:paraId="6BE10F0D">
            <w:pPr>
              <w:pStyle w:val="14"/>
              <w:keepNext/>
              <w:keepLines w:val="0"/>
              <w:pageBreakBefore w:val="0"/>
              <w:widowControl/>
              <w:kinsoku/>
              <w:wordWrap w:val="0"/>
              <w:overflowPunct w:val="0"/>
              <w:topLinePunct w:val="0"/>
              <w:autoSpaceDE w:val="0"/>
              <w:autoSpaceDN w:val="0"/>
              <w:bidi w:val="0"/>
              <w:adjustRightInd w:val="0"/>
              <w:snapToGrid w:val="0"/>
              <w:spacing w:before="78" w:line="400" w:lineRule="exact"/>
              <w:ind w:left="504" w:leftChars="59" w:hanging="380" w:hangingChars="200"/>
              <w:jc w:val="center"/>
              <w:textAlignment w:val="auto"/>
              <w:rPr>
                <w:rFonts w:hint="eastAsia" w:ascii="仿宋_GB2312" w:hAnsi="仿宋_GB2312" w:eastAsia="仿宋_GB2312" w:cs="仿宋_GB2312"/>
                <w:spacing w:val="-5"/>
                <w:sz w:val="20"/>
                <w:szCs w:val="20"/>
                <w:lang w:val="en-US" w:eastAsia="zh-CN"/>
              </w:rPr>
            </w:pPr>
            <w:r>
              <w:rPr>
                <w:rFonts w:hint="eastAsia" w:ascii="仿宋_GB2312" w:hAnsi="仿宋_GB2312" w:eastAsia="仿宋_GB2312" w:cs="仿宋_GB2312"/>
                <w:spacing w:val="-5"/>
                <w:sz w:val="20"/>
                <w:szCs w:val="20"/>
                <w:lang w:val="en-US" w:eastAsia="zh-CN"/>
              </w:rPr>
              <w:t>临时数据</w:t>
            </w:r>
          </w:p>
          <w:p w14:paraId="00C3E682">
            <w:pPr>
              <w:pStyle w:val="14"/>
              <w:keepNext/>
              <w:keepLines w:val="0"/>
              <w:pageBreakBefore w:val="0"/>
              <w:widowControl/>
              <w:kinsoku/>
              <w:wordWrap w:val="0"/>
              <w:overflowPunct w:val="0"/>
              <w:topLinePunct w:val="0"/>
              <w:autoSpaceDE w:val="0"/>
              <w:autoSpaceDN w:val="0"/>
              <w:bidi w:val="0"/>
              <w:adjustRightInd w:val="0"/>
              <w:snapToGrid w:val="0"/>
              <w:spacing w:before="78" w:line="400" w:lineRule="exact"/>
              <w:ind w:left="504" w:leftChars="59" w:hanging="380" w:hangingChars="200"/>
              <w:jc w:val="center"/>
              <w:textAlignment w:val="auto"/>
              <w:rPr>
                <w:rFonts w:hint="eastAsia" w:ascii="仿宋_GB2312" w:hAnsi="仿宋_GB2312" w:eastAsia="仿宋_GB2312" w:cs="仿宋_GB2312"/>
                <w:spacing w:val="-5"/>
                <w:sz w:val="20"/>
                <w:szCs w:val="20"/>
                <w:lang w:val="en-US" w:eastAsia="zh-CN"/>
              </w:rPr>
            </w:pPr>
            <w:r>
              <w:rPr>
                <w:rFonts w:hint="eastAsia" w:ascii="仿宋_GB2312" w:hAnsi="仿宋_GB2312" w:eastAsia="仿宋_GB2312" w:cs="仿宋_GB2312"/>
                <w:spacing w:val="-5"/>
                <w:sz w:val="20"/>
                <w:szCs w:val="20"/>
                <w:lang w:val="en-US" w:eastAsia="zh-CN"/>
              </w:rPr>
              <w:t>统计</w:t>
            </w:r>
          </w:p>
        </w:tc>
        <w:tc>
          <w:tcPr>
            <w:tcW w:w="3958" w:type="dxa"/>
            <w:gridSpan w:val="2"/>
            <w:vAlign w:val="top"/>
          </w:tcPr>
          <w:p w14:paraId="729A07F3">
            <w:pPr>
              <w:pStyle w:val="14"/>
              <w:keepNext/>
              <w:keepLines w:val="0"/>
              <w:pageBreakBefore w:val="0"/>
              <w:widowControl/>
              <w:kinsoku/>
              <w:wordWrap w:val="0"/>
              <w:overflowPunct w:val="0"/>
              <w:topLinePunct w:val="0"/>
              <w:autoSpaceDE w:val="0"/>
              <w:autoSpaceDN w:val="0"/>
              <w:bidi w:val="0"/>
              <w:adjustRightInd w:val="0"/>
              <w:snapToGrid w:val="0"/>
              <w:spacing w:before="39" w:line="400" w:lineRule="exact"/>
              <w:ind w:left="57" w:right="57" w:rightChars="0"/>
              <w:textAlignment w:val="auto"/>
              <w:rPr>
                <w:rFonts w:hint="eastAsia" w:ascii="仿宋_GB2312" w:hAnsi="仿宋_GB2312" w:eastAsia="仿宋_GB2312" w:cs="仿宋_GB2312"/>
                <w:spacing w:val="-1"/>
                <w:sz w:val="20"/>
                <w:szCs w:val="20"/>
              </w:rPr>
            </w:pPr>
            <w:r>
              <w:rPr>
                <w:rFonts w:hint="eastAsia" w:ascii="仿宋_GB2312" w:hAnsi="仿宋_GB2312" w:eastAsia="仿宋_GB2312" w:cs="仿宋_GB2312"/>
                <w:spacing w:val="-1"/>
                <w:sz w:val="20"/>
                <w:szCs w:val="20"/>
              </w:rPr>
              <w:t>针对临时需求，输出对各类型数据统计汇总报告；厂商考核数据汇总表；住建需求数据等。</w:t>
            </w:r>
          </w:p>
        </w:tc>
        <w:tc>
          <w:tcPr>
            <w:tcW w:w="2350" w:type="dxa"/>
            <w:vAlign w:val="center"/>
          </w:tcPr>
          <w:p w14:paraId="2A67F7EC">
            <w:pPr>
              <w:pStyle w:val="14"/>
              <w:keepNext/>
              <w:keepLines w:val="0"/>
              <w:pageBreakBefore w:val="0"/>
              <w:widowControl/>
              <w:kinsoku/>
              <w:wordWrap w:val="0"/>
              <w:overflowPunct w:val="0"/>
              <w:topLinePunct w:val="0"/>
              <w:autoSpaceDE w:val="0"/>
              <w:autoSpaceDN w:val="0"/>
              <w:bidi w:val="0"/>
              <w:adjustRightInd w:val="0"/>
              <w:snapToGrid w:val="0"/>
              <w:spacing w:before="40" w:line="400" w:lineRule="exact"/>
              <w:ind w:left="57" w:right="57"/>
              <w:jc w:val="both"/>
              <w:textAlignment w:val="auto"/>
              <w:rPr>
                <w:rFonts w:hint="eastAsia" w:ascii="仿宋_GB2312" w:hAnsi="仿宋_GB2312" w:eastAsia="仿宋_GB2312" w:cs="仿宋_GB2312"/>
                <w:spacing w:val="-2"/>
                <w:sz w:val="20"/>
                <w:szCs w:val="20"/>
              </w:rPr>
            </w:pPr>
            <w:r>
              <w:rPr>
                <w:rFonts w:hint="eastAsia" w:ascii="仿宋_GB2312" w:hAnsi="仿宋_GB2312" w:eastAsia="仿宋_GB2312" w:cs="仿宋_GB2312"/>
                <w:spacing w:val="-2"/>
                <w:sz w:val="20"/>
                <w:szCs w:val="20"/>
              </w:rPr>
              <w:t>按甲方要求，乙方提供临时的统计分析或报告，未按要求处理的一次扣0.5分，共4分。</w:t>
            </w:r>
          </w:p>
        </w:tc>
        <w:tc>
          <w:tcPr>
            <w:tcW w:w="754" w:type="dxa"/>
            <w:vAlign w:val="top"/>
          </w:tcPr>
          <w:p w14:paraId="005D01F9">
            <w:pPr>
              <w:keepNext/>
              <w:keepLines w:val="0"/>
              <w:pageBreakBefore w:val="0"/>
              <w:widowControl/>
              <w:kinsoku/>
              <w:wordWrap w:val="0"/>
              <w:overflowPunct w:val="0"/>
              <w:topLinePunct w:val="0"/>
              <w:autoSpaceDE w:val="0"/>
              <w:autoSpaceDN w:val="0"/>
              <w:bidi w:val="0"/>
              <w:adjustRightInd w:val="0"/>
              <w:snapToGrid w:val="0"/>
              <w:spacing w:line="400" w:lineRule="exact"/>
              <w:textAlignment w:val="auto"/>
              <w:rPr>
                <w:rFonts w:hint="eastAsia" w:ascii="仿宋_GB2312" w:hAnsi="仿宋_GB2312" w:eastAsia="仿宋_GB2312" w:cs="仿宋_GB2312"/>
                <w:sz w:val="20"/>
                <w:szCs w:val="20"/>
              </w:rPr>
            </w:pPr>
          </w:p>
        </w:tc>
        <w:tc>
          <w:tcPr>
            <w:tcW w:w="731" w:type="dxa"/>
            <w:vAlign w:val="top"/>
          </w:tcPr>
          <w:p w14:paraId="4F54A28D">
            <w:pPr>
              <w:keepNext/>
              <w:keepLines w:val="0"/>
              <w:pageBreakBefore w:val="0"/>
              <w:widowControl/>
              <w:kinsoku/>
              <w:wordWrap w:val="0"/>
              <w:overflowPunct w:val="0"/>
              <w:topLinePunct w:val="0"/>
              <w:autoSpaceDE w:val="0"/>
              <w:autoSpaceDN w:val="0"/>
              <w:bidi w:val="0"/>
              <w:adjustRightInd w:val="0"/>
              <w:snapToGrid w:val="0"/>
              <w:spacing w:line="400" w:lineRule="exact"/>
              <w:textAlignment w:val="auto"/>
              <w:rPr>
                <w:rFonts w:hint="eastAsia" w:ascii="仿宋_GB2312" w:hAnsi="仿宋_GB2312" w:eastAsia="仿宋_GB2312" w:cs="仿宋_GB2312"/>
                <w:sz w:val="20"/>
                <w:szCs w:val="20"/>
              </w:rPr>
            </w:pPr>
          </w:p>
        </w:tc>
      </w:tr>
      <w:tr w14:paraId="290236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8" w:hRule="atLeast"/>
          <w:jc w:val="center"/>
        </w:trPr>
        <w:tc>
          <w:tcPr>
            <w:tcW w:w="721" w:type="dxa"/>
            <w:vMerge w:val="restart"/>
            <w:vAlign w:val="top"/>
          </w:tcPr>
          <w:p w14:paraId="15C40404">
            <w:pPr>
              <w:keepNext/>
              <w:keepLines w:val="0"/>
              <w:pageBreakBefore w:val="0"/>
              <w:widowControl/>
              <w:kinsoku/>
              <w:wordWrap w:val="0"/>
              <w:overflowPunct w:val="0"/>
              <w:topLinePunct w:val="0"/>
              <w:autoSpaceDE w:val="0"/>
              <w:autoSpaceDN w:val="0"/>
              <w:bidi w:val="0"/>
              <w:adjustRightInd w:val="0"/>
              <w:snapToGrid w:val="0"/>
              <w:spacing w:line="400" w:lineRule="exact"/>
              <w:textAlignment w:val="auto"/>
              <w:rPr>
                <w:rFonts w:hint="eastAsia" w:ascii="仿宋_GB2312" w:hAnsi="仿宋_GB2312" w:eastAsia="仿宋_GB2312" w:cs="仿宋_GB2312"/>
                <w:sz w:val="20"/>
                <w:szCs w:val="20"/>
              </w:rPr>
            </w:pPr>
          </w:p>
          <w:p w14:paraId="48CDA155">
            <w:pPr>
              <w:keepNext/>
              <w:keepLines w:val="0"/>
              <w:pageBreakBefore w:val="0"/>
              <w:widowControl/>
              <w:kinsoku/>
              <w:wordWrap w:val="0"/>
              <w:overflowPunct w:val="0"/>
              <w:topLinePunct w:val="0"/>
              <w:autoSpaceDE w:val="0"/>
              <w:autoSpaceDN w:val="0"/>
              <w:bidi w:val="0"/>
              <w:adjustRightInd w:val="0"/>
              <w:snapToGrid w:val="0"/>
              <w:spacing w:line="400" w:lineRule="exact"/>
              <w:textAlignment w:val="auto"/>
              <w:rPr>
                <w:rFonts w:hint="eastAsia" w:ascii="仿宋_GB2312" w:hAnsi="仿宋_GB2312" w:eastAsia="仿宋_GB2312" w:cs="仿宋_GB2312"/>
                <w:sz w:val="20"/>
                <w:szCs w:val="20"/>
              </w:rPr>
            </w:pPr>
          </w:p>
          <w:p w14:paraId="419E8143">
            <w:pPr>
              <w:keepNext/>
              <w:keepLines w:val="0"/>
              <w:pageBreakBefore w:val="0"/>
              <w:widowControl/>
              <w:kinsoku/>
              <w:wordWrap w:val="0"/>
              <w:overflowPunct w:val="0"/>
              <w:topLinePunct w:val="0"/>
              <w:autoSpaceDE w:val="0"/>
              <w:autoSpaceDN w:val="0"/>
              <w:bidi w:val="0"/>
              <w:adjustRightInd w:val="0"/>
              <w:snapToGrid w:val="0"/>
              <w:spacing w:line="400" w:lineRule="exact"/>
              <w:textAlignment w:val="auto"/>
              <w:rPr>
                <w:rFonts w:hint="eastAsia" w:ascii="仿宋_GB2312" w:hAnsi="仿宋_GB2312" w:eastAsia="仿宋_GB2312" w:cs="仿宋_GB2312"/>
                <w:sz w:val="20"/>
                <w:szCs w:val="20"/>
              </w:rPr>
            </w:pPr>
          </w:p>
          <w:p w14:paraId="0FB5FC1F">
            <w:pPr>
              <w:keepNext/>
              <w:keepLines w:val="0"/>
              <w:pageBreakBefore w:val="0"/>
              <w:widowControl/>
              <w:kinsoku/>
              <w:wordWrap w:val="0"/>
              <w:overflowPunct w:val="0"/>
              <w:topLinePunct w:val="0"/>
              <w:autoSpaceDE w:val="0"/>
              <w:autoSpaceDN w:val="0"/>
              <w:bidi w:val="0"/>
              <w:adjustRightInd w:val="0"/>
              <w:snapToGrid w:val="0"/>
              <w:spacing w:line="400" w:lineRule="exact"/>
              <w:textAlignment w:val="auto"/>
              <w:rPr>
                <w:rFonts w:hint="eastAsia" w:ascii="仿宋_GB2312" w:hAnsi="仿宋_GB2312" w:eastAsia="仿宋_GB2312" w:cs="仿宋_GB2312"/>
                <w:sz w:val="20"/>
                <w:szCs w:val="20"/>
              </w:rPr>
            </w:pPr>
          </w:p>
          <w:p w14:paraId="7088C52A">
            <w:pPr>
              <w:pStyle w:val="14"/>
              <w:keepNext/>
              <w:keepLines w:val="0"/>
              <w:pageBreakBefore w:val="0"/>
              <w:widowControl/>
              <w:kinsoku/>
              <w:wordWrap w:val="0"/>
              <w:overflowPunct w:val="0"/>
              <w:topLinePunct w:val="0"/>
              <w:autoSpaceDE w:val="0"/>
              <w:autoSpaceDN w:val="0"/>
              <w:bidi w:val="0"/>
              <w:adjustRightInd w:val="0"/>
              <w:snapToGrid w:val="0"/>
              <w:spacing w:before="78" w:line="400" w:lineRule="exact"/>
              <w:ind w:left="129"/>
              <w:textAlignment w:val="auto"/>
              <w:rPr>
                <w:rFonts w:hint="eastAsia" w:ascii="仿宋_GB2312" w:hAnsi="仿宋_GB2312" w:eastAsia="仿宋_GB2312" w:cs="仿宋_GB2312"/>
                <w:spacing w:val="-12"/>
                <w:position w:val="17"/>
                <w:sz w:val="20"/>
                <w:szCs w:val="20"/>
                <w14:textOutline w14:w="4358" w14:cap="sq" w14:cmpd="sng">
                  <w14:solidFill>
                    <w14:srgbClr w14:val="000000"/>
                  </w14:solidFill>
                  <w14:prstDash w14:val="solid"/>
                  <w14:bevel/>
                </w14:textOutline>
              </w:rPr>
            </w:pPr>
            <w:r>
              <w:rPr>
                <w:rFonts w:hint="eastAsia" w:ascii="仿宋_GB2312" w:hAnsi="仿宋_GB2312" w:eastAsia="仿宋_GB2312" w:cs="仿宋_GB2312"/>
                <w:spacing w:val="-12"/>
                <w:position w:val="17"/>
                <w:sz w:val="20"/>
                <w:szCs w:val="20"/>
                <w14:textOutline w14:w="4358" w14:cap="sq" w14:cmpd="sng">
                  <w14:solidFill>
                    <w14:srgbClr w14:val="000000"/>
                  </w14:solidFill>
                  <w14:prstDash w14:val="solid"/>
                  <w14:bevel/>
                </w14:textOutline>
              </w:rPr>
              <w:t>日常</w:t>
            </w:r>
          </w:p>
          <w:p w14:paraId="1933E2B1">
            <w:pPr>
              <w:pStyle w:val="14"/>
              <w:keepNext/>
              <w:keepLines w:val="0"/>
              <w:pageBreakBefore w:val="0"/>
              <w:widowControl/>
              <w:kinsoku/>
              <w:wordWrap w:val="0"/>
              <w:overflowPunct w:val="0"/>
              <w:topLinePunct w:val="0"/>
              <w:autoSpaceDE w:val="0"/>
              <w:autoSpaceDN w:val="0"/>
              <w:bidi w:val="0"/>
              <w:adjustRightInd w:val="0"/>
              <w:snapToGrid w:val="0"/>
              <w:spacing w:before="78" w:line="400" w:lineRule="exact"/>
              <w:ind w:left="129"/>
              <w:textAlignment w:val="auto"/>
              <w:rPr>
                <w:rFonts w:hint="eastAsia" w:ascii="仿宋_GB2312" w:hAnsi="仿宋_GB2312" w:eastAsia="仿宋_GB2312" w:cs="仿宋_GB2312"/>
                <w:spacing w:val="-20"/>
                <w:sz w:val="20"/>
                <w:szCs w:val="20"/>
                <w14:textOutline w14:w="4356" w14:cap="sq" w14:cmpd="sng">
                  <w14:solidFill>
                    <w14:srgbClr w14:val="000000"/>
                  </w14:solidFill>
                  <w14:prstDash w14:val="solid"/>
                  <w14:bevel/>
                </w14:textOutline>
              </w:rPr>
            </w:pPr>
            <w:r>
              <w:rPr>
                <w:rFonts w:hint="eastAsia" w:ascii="仿宋_GB2312" w:hAnsi="仿宋_GB2312" w:eastAsia="仿宋_GB2312" w:cs="仿宋_GB2312"/>
                <w:spacing w:val="-12"/>
                <w:position w:val="17"/>
                <w:sz w:val="20"/>
                <w:szCs w:val="20"/>
                <w14:textOutline w14:w="4358" w14:cap="sq" w14:cmpd="sng">
                  <w14:solidFill>
                    <w14:srgbClr w14:val="000000"/>
                  </w14:solidFill>
                  <w14:prstDash w14:val="solid"/>
                  <w14:bevel/>
                </w14:textOutline>
              </w:rPr>
              <w:t>报表</w:t>
            </w:r>
          </w:p>
        </w:tc>
        <w:tc>
          <w:tcPr>
            <w:tcW w:w="1199" w:type="dxa"/>
            <w:vAlign w:val="center"/>
          </w:tcPr>
          <w:p w14:paraId="281EFBB4">
            <w:pPr>
              <w:pStyle w:val="14"/>
              <w:keepNext/>
              <w:keepLines w:val="0"/>
              <w:pageBreakBefore w:val="0"/>
              <w:widowControl/>
              <w:kinsoku/>
              <w:wordWrap w:val="0"/>
              <w:overflowPunct w:val="0"/>
              <w:topLinePunct w:val="0"/>
              <w:autoSpaceDE w:val="0"/>
              <w:autoSpaceDN w:val="0"/>
              <w:bidi w:val="0"/>
              <w:adjustRightInd w:val="0"/>
              <w:snapToGrid w:val="0"/>
              <w:spacing w:before="78" w:line="400" w:lineRule="exact"/>
              <w:jc w:val="center"/>
              <w:textAlignment w:val="auto"/>
              <w:rPr>
                <w:rFonts w:hint="eastAsia" w:ascii="仿宋_GB2312" w:hAnsi="仿宋_GB2312" w:eastAsia="仿宋_GB2312" w:cs="仿宋_GB2312"/>
                <w:spacing w:val="-5"/>
                <w:sz w:val="20"/>
                <w:szCs w:val="20"/>
              </w:rPr>
            </w:pPr>
            <w:r>
              <w:rPr>
                <w:rFonts w:hint="eastAsia" w:ascii="仿宋_GB2312" w:hAnsi="仿宋_GB2312" w:eastAsia="仿宋_GB2312" w:cs="仿宋_GB2312"/>
                <w:spacing w:val="-17"/>
                <w:sz w:val="20"/>
                <w:szCs w:val="20"/>
              </w:rPr>
              <w:t>日报表</w:t>
            </w:r>
          </w:p>
        </w:tc>
        <w:tc>
          <w:tcPr>
            <w:tcW w:w="3958" w:type="dxa"/>
            <w:gridSpan w:val="2"/>
            <w:vAlign w:val="top"/>
          </w:tcPr>
          <w:p w14:paraId="57F536D8">
            <w:pPr>
              <w:pStyle w:val="14"/>
              <w:keepNext/>
              <w:keepLines w:val="0"/>
              <w:pageBreakBefore w:val="0"/>
              <w:widowControl/>
              <w:kinsoku/>
              <w:wordWrap w:val="0"/>
              <w:overflowPunct w:val="0"/>
              <w:topLinePunct w:val="0"/>
              <w:autoSpaceDE w:val="0"/>
              <w:autoSpaceDN w:val="0"/>
              <w:bidi w:val="0"/>
              <w:adjustRightInd w:val="0"/>
              <w:snapToGrid w:val="0"/>
              <w:spacing w:before="38" w:line="400" w:lineRule="exact"/>
              <w:ind w:left="57" w:leftChars="0" w:right="57" w:rightChars="0"/>
              <w:jc w:val="both"/>
              <w:textAlignment w:val="auto"/>
              <w:rPr>
                <w:rFonts w:hint="eastAsia" w:ascii="仿宋_GB2312" w:hAnsi="仿宋_GB2312" w:eastAsia="仿宋_GB2312" w:cs="仿宋_GB2312"/>
                <w:spacing w:val="-1"/>
                <w:sz w:val="20"/>
                <w:szCs w:val="20"/>
              </w:rPr>
            </w:pPr>
            <w:r>
              <w:rPr>
                <w:rFonts w:hint="eastAsia" w:ascii="仿宋_GB2312" w:hAnsi="仿宋_GB2312" w:eastAsia="仿宋_GB2312" w:cs="仿宋_GB2312"/>
                <w:spacing w:val="-1"/>
                <w:sz w:val="20"/>
                <w:szCs w:val="20"/>
              </w:rPr>
              <w:t>根据甲方要求定时汇总前一天日数据报表，提供相关的数值，并进行超标原因分析等报表。</w:t>
            </w:r>
          </w:p>
        </w:tc>
        <w:tc>
          <w:tcPr>
            <w:tcW w:w="2350" w:type="dxa"/>
            <w:vAlign w:val="center"/>
          </w:tcPr>
          <w:p w14:paraId="4E44619B">
            <w:pPr>
              <w:pStyle w:val="14"/>
              <w:keepNext/>
              <w:keepLines w:val="0"/>
              <w:pageBreakBefore w:val="0"/>
              <w:widowControl/>
              <w:kinsoku/>
              <w:wordWrap w:val="0"/>
              <w:overflowPunct w:val="0"/>
              <w:topLinePunct w:val="0"/>
              <w:autoSpaceDE w:val="0"/>
              <w:autoSpaceDN w:val="0"/>
              <w:bidi w:val="0"/>
              <w:adjustRightInd w:val="0"/>
              <w:snapToGrid w:val="0"/>
              <w:spacing w:before="40" w:line="400" w:lineRule="exact"/>
              <w:ind w:left="57" w:right="57"/>
              <w:jc w:val="both"/>
              <w:textAlignment w:val="auto"/>
              <w:rPr>
                <w:rFonts w:hint="eastAsia" w:ascii="仿宋_GB2312" w:hAnsi="仿宋_GB2312" w:eastAsia="仿宋_GB2312" w:cs="仿宋_GB2312"/>
                <w:spacing w:val="-2"/>
                <w:sz w:val="20"/>
                <w:szCs w:val="20"/>
              </w:rPr>
            </w:pPr>
            <w:r>
              <w:rPr>
                <w:rFonts w:hint="eastAsia" w:ascii="仿宋_GB2312" w:hAnsi="仿宋_GB2312" w:eastAsia="仿宋_GB2312" w:cs="仿宋_GB2312"/>
                <w:spacing w:val="-2"/>
                <w:sz w:val="20"/>
                <w:szCs w:val="20"/>
              </w:rPr>
              <w:t>按甲方要求，乙方提交报告，少一次扣1分，共8分。</w:t>
            </w:r>
          </w:p>
        </w:tc>
        <w:tc>
          <w:tcPr>
            <w:tcW w:w="754" w:type="dxa"/>
            <w:vAlign w:val="top"/>
          </w:tcPr>
          <w:p w14:paraId="455943D0">
            <w:pPr>
              <w:keepNext/>
              <w:keepLines w:val="0"/>
              <w:pageBreakBefore w:val="0"/>
              <w:widowControl/>
              <w:kinsoku/>
              <w:wordWrap w:val="0"/>
              <w:overflowPunct w:val="0"/>
              <w:topLinePunct w:val="0"/>
              <w:autoSpaceDE w:val="0"/>
              <w:autoSpaceDN w:val="0"/>
              <w:bidi w:val="0"/>
              <w:adjustRightInd w:val="0"/>
              <w:snapToGrid w:val="0"/>
              <w:spacing w:line="400" w:lineRule="exact"/>
              <w:textAlignment w:val="auto"/>
              <w:rPr>
                <w:rFonts w:hint="eastAsia" w:ascii="仿宋_GB2312" w:hAnsi="仿宋_GB2312" w:eastAsia="仿宋_GB2312" w:cs="仿宋_GB2312"/>
                <w:sz w:val="20"/>
                <w:szCs w:val="20"/>
              </w:rPr>
            </w:pPr>
          </w:p>
        </w:tc>
        <w:tc>
          <w:tcPr>
            <w:tcW w:w="731" w:type="dxa"/>
            <w:vAlign w:val="top"/>
          </w:tcPr>
          <w:p w14:paraId="448C8DEB">
            <w:pPr>
              <w:keepNext/>
              <w:keepLines w:val="0"/>
              <w:pageBreakBefore w:val="0"/>
              <w:widowControl/>
              <w:kinsoku/>
              <w:wordWrap w:val="0"/>
              <w:overflowPunct w:val="0"/>
              <w:topLinePunct w:val="0"/>
              <w:autoSpaceDE w:val="0"/>
              <w:autoSpaceDN w:val="0"/>
              <w:bidi w:val="0"/>
              <w:adjustRightInd w:val="0"/>
              <w:snapToGrid w:val="0"/>
              <w:spacing w:line="400" w:lineRule="exact"/>
              <w:textAlignment w:val="auto"/>
              <w:rPr>
                <w:rFonts w:hint="eastAsia" w:ascii="仿宋_GB2312" w:hAnsi="仿宋_GB2312" w:eastAsia="仿宋_GB2312" w:cs="仿宋_GB2312"/>
                <w:sz w:val="20"/>
                <w:szCs w:val="20"/>
              </w:rPr>
            </w:pPr>
          </w:p>
        </w:tc>
      </w:tr>
      <w:tr w14:paraId="1C2EC3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8" w:hRule="atLeast"/>
          <w:jc w:val="center"/>
        </w:trPr>
        <w:tc>
          <w:tcPr>
            <w:tcW w:w="721" w:type="dxa"/>
            <w:vMerge w:val="continue"/>
            <w:vAlign w:val="top"/>
          </w:tcPr>
          <w:p w14:paraId="7FF9D511">
            <w:pPr>
              <w:keepNext/>
              <w:keepLines w:val="0"/>
              <w:pageBreakBefore w:val="0"/>
              <w:widowControl/>
              <w:kinsoku/>
              <w:wordWrap w:val="0"/>
              <w:overflowPunct w:val="0"/>
              <w:topLinePunct w:val="0"/>
              <w:autoSpaceDE w:val="0"/>
              <w:autoSpaceDN w:val="0"/>
              <w:bidi w:val="0"/>
              <w:adjustRightInd w:val="0"/>
              <w:snapToGrid w:val="0"/>
              <w:spacing w:line="400" w:lineRule="exact"/>
              <w:textAlignment w:val="auto"/>
              <w:rPr>
                <w:rFonts w:hint="eastAsia" w:ascii="仿宋_GB2312" w:hAnsi="仿宋_GB2312" w:eastAsia="仿宋_GB2312" w:cs="仿宋_GB2312"/>
                <w:spacing w:val="-20"/>
                <w:sz w:val="20"/>
                <w:szCs w:val="20"/>
                <w14:textOutline w14:w="4356" w14:cap="sq" w14:cmpd="sng">
                  <w14:solidFill>
                    <w14:srgbClr w14:val="000000"/>
                  </w14:solidFill>
                  <w14:prstDash w14:val="solid"/>
                  <w14:bevel/>
                </w14:textOutline>
              </w:rPr>
            </w:pPr>
          </w:p>
        </w:tc>
        <w:tc>
          <w:tcPr>
            <w:tcW w:w="1199" w:type="dxa"/>
            <w:vAlign w:val="center"/>
          </w:tcPr>
          <w:p w14:paraId="346C3A1C">
            <w:pPr>
              <w:pStyle w:val="14"/>
              <w:keepNext/>
              <w:keepLines w:val="0"/>
              <w:pageBreakBefore w:val="0"/>
              <w:widowControl/>
              <w:kinsoku/>
              <w:wordWrap w:val="0"/>
              <w:overflowPunct w:val="0"/>
              <w:topLinePunct w:val="0"/>
              <w:autoSpaceDE w:val="0"/>
              <w:autoSpaceDN w:val="0"/>
              <w:bidi w:val="0"/>
              <w:adjustRightInd w:val="0"/>
              <w:snapToGrid w:val="0"/>
              <w:spacing w:before="78" w:line="400" w:lineRule="exact"/>
              <w:jc w:val="center"/>
              <w:textAlignment w:val="auto"/>
              <w:rPr>
                <w:rFonts w:hint="eastAsia" w:ascii="仿宋_GB2312" w:hAnsi="仿宋_GB2312" w:eastAsia="仿宋_GB2312" w:cs="仿宋_GB2312"/>
                <w:spacing w:val="-5"/>
                <w:sz w:val="20"/>
                <w:szCs w:val="20"/>
              </w:rPr>
            </w:pPr>
            <w:r>
              <w:rPr>
                <w:rFonts w:hint="eastAsia" w:ascii="仿宋_GB2312" w:hAnsi="仿宋_GB2312" w:eastAsia="仿宋_GB2312" w:cs="仿宋_GB2312"/>
                <w:spacing w:val="-4"/>
                <w:sz w:val="20"/>
                <w:szCs w:val="20"/>
              </w:rPr>
              <w:t>周报表</w:t>
            </w:r>
          </w:p>
        </w:tc>
        <w:tc>
          <w:tcPr>
            <w:tcW w:w="3958" w:type="dxa"/>
            <w:gridSpan w:val="2"/>
            <w:vAlign w:val="top"/>
          </w:tcPr>
          <w:p w14:paraId="2E69D10D">
            <w:pPr>
              <w:pStyle w:val="14"/>
              <w:keepNext/>
              <w:keepLines w:val="0"/>
              <w:pageBreakBefore w:val="0"/>
              <w:widowControl/>
              <w:kinsoku/>
              <w:wordWrap w:val="0"/>
              <w:overflowPunct w:val="0"/>
              <w:topLinePunct w:val="0"/>
              <w:autoSpaceDE w:val="0"/>
              <w:autoSpaceDN w:val="0"/>
              <w:bidi w:val="0"/>
              <w:adjustRightInd w:val="0"/>
              <w:snapToGrid w:val="0"/>
              <w:spacing w:before="37" w:line="400" w:lineRule="exact"/>
              <w:ind w:left="57" w:leftChars="0" w:right="57" w:rightChars="0"/>
              <w:textAlignment w:val="auto"/>
              <w:rPr>
                <w:rFonts w:hint="eastAsia" w:ascii="仿宋_GB2312" w:hAnsi="仿宋_GB2312" w:eastAsia="仿宋_GB2312" w:cs="仿宋_GB2312"/>
                <w:spacing w:val="-1"/>
                <w:sz w:val="20"/>
                <w:szCs w:val="20"/>
              </w:rPr>
            </w:pPr>
            <w:r>
              <w:rPr>
                <w:rFonts w:hint="eastAsia" w:ascii="仿宋_GB2312" w:hAnsi="仿宋_GB2312" w:eastAsia="仿宋_GB2312" w:cs="仿宋_GB2312"/>
                <w:spacing w:val="-1"/>
                <w:sz w:val="20"/>
                <w:szCs w:val="20"/>
              </w:rPr>
              <w:t>根据甲方要求每周提交上周一至周天事件处理情况的整体统计情况，针对事件类型、数量、内容及处理</w:t>
            </w:r>
            <w:r>
              <w:rPr>
                <w:rFonts w:hint="eastAsia" w:ascii="仿宋_GB2312" w:hAnsi="仿宋_GB2312" w:eastAsia="仿宋_GB2312" w:cs="仿宋_GB2312"/>
                <w:spacing w:val="-2"/>
                <w:sz w:val="20"/>
                <w:szCs w:val="20"/>
              </w:rPr>
              <w:t>结果进行反馈，编制数据报告。</w:t>
            </w:r>
          </w:p>
        </w:tc>
        <w:tc>
          <w:tcPr>
            <w:tcW w:w="2350" w:type="dxa"/>
            <w:vAlign w:val="center"/>
          </w:tcPr>
          <w:p w14:paraId="4D89FD37">
            <w:pPr>
              <w:pStyle w:val="14"/>
              <w:keepNext/>
              <w:keepLines w:val="0"/>
              <w:pageBreakBefore w:val="0"/>
              <w:widowControl/>
              <w:kinsoku/>
              <w:wordWrap w:val="0"/>
              <w:overflowPunct w:val="0"/>
              <w:topLinePunct w:val="0"/>
              <w:autoSpaceDE w:val="0"/>
              <w:autoSpaceDN w:val="0"/>
              <w:bidi w:val="0"/>
              <w:adjustRightInd w:val="0"/>
              <w:snapToGrid w:val="0"/>
              <w:spacing w:before="40" w:line="400" w:lineRule="exact"/>
              <w:ind w:left="57" w:right="57"/>
              <w:jc w:val="both"/>
              <w:textAlignment w:val="auto"/>
              <w:rPr>
                <w:rFonts w:hint="eastAsia" w:ascii="仿宋_GB2312" w:hAnsi="仿宋_GB2312" w:eastAsia="仿宋_GB2312" w:cs="仿宋_GB2312"/>
                <w:spacing w:val="-2"/>
                <w:sz w:val="20"/>
                <w:szCs w:val="20"/>
              </w:rPr>
            </w:pPr>
            <w:r>
              <w:rPr>
                <w:rFonts w:hint="eastAsia" w:ascii="仿宋_GB2312" w:hAnsi="仿宋_GB2312" w:eastAsia="仿宋_GB2312" w:cs="仿宋_GB2312"/>
                <w:color w:val="000000"/>
                <w:spacing w:val="-2"/>
                <w:kern w:val="0"/>
                <w:sz w:val="20"/>
                <w:szCs w:val="20"/>
                <w:lang w:val="en-US" w:eastAsia="en-US" w:bidi="ar-SA"/>
              </w:rPr>
              <w:t>按甲方要求，乙方提交报告，少一次扣2分，共8分。</w:t>
            </w:r>
          </w:p>
        </w:tc>
        <w:tc>
          <w:tcPr>
            <w:tcW w:w="754" w:type="dxa"/>
            <w:vAlign w:val="top"/>
          </w:tcPr>
          <w:p w14:paraId="29CEF3C1">
            <w:pPr>
              <w:keepNext/>
              <w:keepLines w:val="0"/>
              <w:pageBreakBefore w:val="0"/>
              <w:widowControl/>
              <w:kinsoku/>
              <w:wordWrap w:val="0"/>
              <w:overflowPunct w:val="0"/>
              <w:topLinePunct w:val="0"/>
              <w:autoSpaceDE w:val="0"/>
              <w:autoSpaceDN w:val="0"/>
              <w:bidi w:val="0"/>
              <w:adjustRightInd w:val="0"/>
              <w:snapToGrid w:val="0"/>
              <w:spacing w:line="400" w:lineRule="exact"/>
              <w:textAlignment w:val="auto"/>
              <w:rPr>
                <w:rFonts w:hint="eastAsia" w:ascii="仿宋_GB2312" w:hAnsi="仿宋_GB2312" w:eastAsia="仿宋_GB2312" w:cs="仿宋_GB2312"/>
                <w:sz w:val="20"/>
                <w:szCs w:val="20"/>
              </w:rPr>
            </w:pPr>
          </w:p>
        </w:tc>
        <w:tc>
          <w:tcPr>
            <w:tcW w:w="731" w:type="dxa"/>
            <w:vAlign w:val="top"/>
          </w:tcPr>
          <w:p w14:paraId="55DA9B20">
            <w:pPr>
              <w:keepNext/>
              <w:keepLines w:val="0"/>
              <w:pageBreakBefore w:val="0"/>
              <w:widowControl/>
              <w:kinsoku/>
              <w:wordWrap w:val="0"/>
              <w:overflowPunct w:val="0"/>
              <w:topLinePunct w:val="0"/>
              <w:autoSpaceDE w:val="0"/>
              <w:autoSpaceDN w:val="0"/>
              <w:bidi w:val="0"/>
              <w:adjustRightInd w:val="0"/>
              <w:snapToGrid w:val="0"/>
              <w:spacing w:line="400" w:lineRule="exact"/>
              <w:textAlignment w:val="auto"/>
              <w:rPr>
                <w:rFonts w:hint="eastAsia" w:ascii="仿宋_GB2312" w:hAnsi="仿宋_GB2312" w:eastAsia="仿宋_GB2312" w:cs="仿宋_GB2312"/>
                <w:sz w:val="20"/>
                <w:szCs w:val="20"/>
              </w:rPr>
            </w:pPr>
          </w:p>
        </w:tc>
      </w:tr>
      <w:tr w14:paraId="15CAE6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8" w:hRule="atLeast"/>
          <w:jc w:val="center"/>
        </w:trPr>
        <w:tc>
          <w:tcPr>
            <w:tcW w:w="721" w:type="dxa"/>
            <w:vMerge w:val="continue"/>
            <w:vAlign w:val="top"/>
          </w:tcPr>
          <w:p w14:paraId="54CA8445">
            <w:pPr>
              <w:keepNext/>
              <w:keepLines w:val="0"/>
              <w:pageBreakBefore w:val="0"/>
              <w:widowControl/>
              <w:kinsoku/>
              <w:wordWrap w:val="0"/>
              <w:overflowPunct w:val="0"/>
              <w:topLinePunct w:val="0"/>
              <w:autoSpaceDE w:val="0"/>
              <w:autoSpaceDN w:val="0"/>
              <w:bidi w:val="0"/>
              <w:adjustRightInd w:val="0"/>
              <w:snapToGrid w:val="0"/>
              <w:spacing w:line="400" w:lineRule="exact"/>
              <w:textAlignment w:val="auto"/>
              <w:rPr>
                <w:rFonts w:hint="eastAsia" w:ascii="仿宋_GB2312" w:hAnsi="仿宋_GB2312" w:eastAsia="仿宋_GB2312" w:cs="仿宋_GB2312"/>
                <w:spacing w:val="-20"/>
                <w:sz w:val="20"/>
                <w:szCs w:val="20"/>
                <w14:textOutline w14:w="4356" w14:cap="sq" w14:cmpd="sng">
                  <w14:solidFill>
                    <w14:srgbClr w14:val="000000"/>
                  </w14:solidFill>
                  <w14:prstDash w14:val="solid"/>
                  <w14:bevel/>
                </w14:textOutline>
              </w:rPr>
            </w:pPr>
          </w:p>
        </w:tc>
        <w:tc>
          <w:tcPr>
            <w:tcW w:w="1199" w:type="dxa"/>
            <w:vAlign w:val="center"/>
          </w:tcPr>
          <w:p w14:paraId="5834F9CD">
            <w:pPr>
              <w:pStyle w:val="14"/>
              <w:keepNext/>
              <w:keepLines w:val="0"/>
              <w:pageBreakBefore w:val="0"/>
              <w:widowControl/>
              <w:kinsoku/>
              <w:wordWrap w:val="0"/>
              <w:overflowPunct w:val="0"/>
              <w:topLinePunct w:val="0"/>
              <w:autoSpaceDE w:val="0"/>
              <w:autoSpaceDN w:val="0"/>
              <w:bidi w:val="0"/>
              <w:adjustRightInd w:val="0"/>
              <w:snapToGrid w:val="0"/>
              <w:spacing w:before="78" w:line="400" w:lineRule="exact"/>
              <w:jc w:val="center"/>
              <w:textAlignment w:val="auto"/>
              <w:rPr>
                <w:rFonts w:hint="eastAsia" w:ascii="仿宋_GB2312" w:hAnsi="仿宋_GB2312" w:eastAsia="仿宋_GB2312" w:cs="仿宋_GB2312"/>
                <w:spacing w:val="-5"/>
                <w:sz w:val="20"/>
                <w:szCs w:val="20"/>
              </w:rPr>
            </w:pPr>
            <w:r>
              <w:rPr>
                <w:rFonts w:hint="eastAsia" w:ascii="仿宋_GB2312" w:hAnsi="仿宋_GB2312" w:eastAsia="仿宋_GB2312" w:cs="仿宋_GB2312"/>
                <w:spacing w:val="-6"/>
                <w:sz w:val="20"/>
                <w:szCs w:val="20"/>
              </w:rPr>
              <w:t>月报表</w:t>
            </w:r>
          </w:p>
        </w:tc>
        <w:tc>
          <w:tcPr>
            <w:tcW w:w="3958" w:type="dxa"/>
            <w:gridSpan w:val="2"/>
            <w:vAlign w:val="top"/>
          </w:tcPr>
          <w:p w14:paraId="4C25560A">
            <w:pPr>
              <w:pStyle w:val="14"/>
              <w:keepNext/>
              <w:keepLines w:val="0"/>
              <w:pageBreakBefore w:val="0"/>
              <w:widowControl/>
              <w:kinsoku/>
              <w:wordWrap w:val="0"/>
              <w:overflowPunct w:val="0"/>
              <w:topLinePunct w:val="0"/>
              <w:autoSpaceDE w:val="0"/>
              <w:autoSpaceDN w:val="0"/>
              <w:bidi w:val="0"/>
              <w:adjustRightInd w:val="0"/>
              <w:snapToGrid w:val="0"/>
              <w:spacing w:before="61" w:line="400" w:lineRule="exact"/>
              <w:ind w:left="57" w:leftChars="0" w:right="57" w:rightChars="0" w:hanging="20" w:firstLineChars="0"/>
              <w:textAlignment w:val="auto"/>
              <w:rPr>
                <w:rFonts w:hint="eastAsia" w:ascii="仿宋_GB2312" w:hAnsi="仿宋_GB2312" w:eastAsia="仿宋_GB2312" w:cs="仿宋_GB2312"/>
                <w:spacing w:val="-1"/>
                <w:sz w:val="20"/>
                <w:szCs w:val="20"/>
              </w:rPr>
            </w:pPr>
            <w:r>
              <w:rPr>
                <w:rFonts w:hint="eastAsia" w:ascii="仿宋_GB2312" w:hAnsi="仿宋_GB2312" w:eastAsia="仿宋_GB2312" w:cs="仿宋_GB2312"/>
                <w:spacing w:val="-1"/>
                <w:sz w:val="20"/>
                <w:szCs w:val="20"/>
              </w:rPr>
              <w:t>根据甲方要求月初提交上月分别提出厂商告警数据、区县告警数据、工地告警数据、三级超标数据汇总，厂商考核数据汇总表及明细等相关数据报表。</w:t>
            </w:r>
          </w:p>
        </w:tc>
        <w:tc>
          <w:tcPr>
            <w:tcW w:w="2350" w:type="dxa"/>
            <w:vAlign w:val="center"/>
          </w:tcPr>
          <w:p w14:paraId="4C682D17">
            <w:pPr>
              <w:pStyle w:val="14"/>
              <w:keepNext/>
              <w:keepLines w:val="0"/>
              <w:pageBreakBefore w:val="0"/>
              <w:widowControl/>
              <w:kinsoku/>
              <w:wordWrap w:val="0"/>
              <w:overflowPunct w:val="0"/>
              <w:topLinePunct w:val="0"/>
              <w:autoSpaceDE w:val="0"/>
              <w:autoSpaceDN w:val="0"/>
              <w:bidi w:val="0"/>
              <w:adjustRightInd w:val="0"/>
              <w:snapToGrid w:val="0"/>
              <w:spacing w:before="78" w:line="400" w:lineRule="exact"/>
              <w:ind w:left="57" w:leftChars="0" w:right="57" w:rightChars="0"/>
              <w:jc w:val="both"/>
              <w:textAlignment w:val="auto"/>
              <w:rPr>
                <w:rFonts w:hint="eastAsia" w:ascii="仿宋_GB2312" w:hAnsi="仿宋_GB2312" w:eastAsia="仿宋_GB2312" w:cs="仿宋_GB2312"/>
                <w:spacing w:val="-2"/>
                <w:sz w:val="20"/>
                <w:szCs w:val="20"/>
              </w:rPr>
            </w:pPr>
            <w:r>
              <w:rPr>
                <w:rFonts w:hint="eastAsia" w:ascii="仿宋_GB2312" w:hAnsi="仿宋_GB2312" w:eastAsia="仿宋_GB2312" w:cs="仿宋_GB2312"/>
                <w:color w:val="000000"/>
                <w:spacing w:val="-2"/>
                <w:kern w:val="0"/>
                <w:sz w:val="20"/>
                <w:szCs w:val="20"/>
                <w:lang w:val="en-US" w:eastAsia="en-US" w:bidi="ar-SA"/>
              </w:rPr>
              <w:t>按甲方要求，乙方提交报告，少一次扣5分，共5分。</w:t>
            </w:r>
          </w:p>
        </w:tc>
        <w:tc>
          <w:tcPr>
            <w:tcW w:w="754" w:type="dxa"/>
            <w:vAlign w:val="top"/>
          </w:tcPr>
          <w:p w14:paraId="104500B3">
            <w:pPr>
              <w:keepNext/>
              <w:keepLines w:val="0"/>
              <w:pageBreakBefore w:val="0"/>
              <w:widowControl/>
              <w:kinsoku/>
              <w:wordWrap w:val="0"/>
              <w:overflowPunct w:val="0"/>
              <w:topLinePunct w:val="0"/>
              <w:autoSpaceDE w:val="0"/>
              <w:autoSpaceDN w:val="0"/>
              <w:bidi w:val="0"/>
              <w:adjustRightInd w:val="0"/>
              <w:snapToGrid w:val="0"/>
              <w:spacing w:line="400" w:lineRule="exact"/>
              <w:textAlignment w:val="auto"/>
              <w:rPr>
                <w:rFonts w:hint="eastAsia" w:ascii="仿宋_GB2312" w:hAnsi="仿宋_GB2312" w:eastAsia="仿宋_GB2312" w:cs="仿宋_GB2312"/>
                <w:sz w:val="20"/>
                <w:szCs w:val="20"/>
              </w:rPr>
            </w:pPr>
          </w:p>
        </w:tc>
        <w:tc>
          <w:tcPr>
            <w:tcW w:w="731" w:type="dxa"/>
            <w:vAlign w:val="top"/>
          </w:tcPr>
          <w:p w14:paraId="791573E5">
            <w:pPr>
              <w:keepNext/>
              <w:keepLines w:val="0"/>
              <w:pageBreakBefore w:val="0"/>
              <w:widowControl/>
              <w:kinsoku/>
              <w:wordWrap w:val="0"/>
              <w:overflowPunct w:val="0"/>
              <w:topLinePunct w:val="0"/>
              <w:autoSpaceDE w:val="0"/>
              <w:autoSpaceDN w:val="0"/>
              <w:bidi w:val="0"/>
              <w:adjustRightInd w:val="0"/>
              <w:snapToGrid w:val="0"/>
              <w:spacing w:line="400" w:lineRule="exact"/>
              <w:textAlignment w:val="auto"/>
              <w:rPr>
                <w:rFonts w:hint="eastAsia" w:ascii="仿宋_GB2312" w:hAnsi="仿宋_GB2312" w:eastAsia="仿宋_GB2312" w:cs="仿宋_GB2312"/>
                <w:sz w:val="20"/>
                <w:szCs w:val="20"/>
              </w:rPr>
            </w:pPr>
          </w:p>
        </w:tc>
      </w:tr>
      <w:tr w14:paraId="683444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8" w:hRule="atLeast"/>
          <w:jc w:val="center"/>
        </w:trPr>
        <w:tc>
          <w:tcPr>
            <w:tcW w:w="721" w:type="dxa"/>
            <w:vAlign w:val="center"/>
          </w:tcPr>
          <w:p w14:paraId="0DDACC23">
            <w:pPr>
              <w:pStyle w:val="14"/>
              <w:keepNext/>
              <w:keepLines w:val="0"/>
              <w:pageBreakBefore w:val="0"/>
              <w:widowControl/>
              <w:kinsoku/>
              <w:wordWrap w:val="0"/>
              <w:overflowPunct w:val="0"/>
              <w:topLinePunct w:val="0"/>
              <w:autoSpaceDE w:val="0"/>
              <w:autoSpaceDN w:val="0"/>
              <w:bidi w:val="0"/>
              <w:adjustRightInd w:val="0"/>
              <w:snapToGrid w:val="0"/>
              <w:spacing w:before="78" w:line="400" w:lineRule="exact"/>
              <w:ind w:left="117"/>
              <w:jc w:val="center"/>
              <w:textAlignment w:val="auto"/>
              <w:rPr>
                <w:rFonts w:hint="eastAsia" w:ascii="仿宋_GB2312" w:hAnsi="仿宋_GB2312" w:eastAsia="仿宋_GB2312" w:cs="仿宋_GB2312"/>
                <w:sz w:val="20"/>
                <w:szCs w:val="20"/>
              </w:rPr>
            </w:pPr>
            <w:r>
              <w:rPr>
                <w:rFonts w:hint="eastAsia" w:ascii="仿宋_GB2312" w:hAnsi="仿宋_GB2312" w:eastAsia="仿宋_GB2312" w:cs="仿宋_GB2312"/>
                <w:spacing w:val="-6"/>
                <w:position w:val="17"/>
                <w:sz w:val="20"/>
                <w:szCs w:val="20"/>
                <w14:textOutline w14:w="4358" w14:cap="sq" w14:cmpd="sng">
                  <w14:solidFill>
                    <w14:srgbClr w14:val="000000"/>
                  </w14:solidFill>
                  <w14:prstDash w14:val="solid"/>
                  <w14:bevel/>
                </w14:textOutline>
              </w:rPr>
              <w:t>重大</w:t>
            </w:r>
          </w:p>
          <w:p w14:paraId="7CB20B1A">
            <w:pPr>
              <w:pStyle w:val="14"/>
              <w:keepNext/>
              <w:keepLines w:val="0"/>
              <w:pageBreakBefore w:val="0"/>
              <w:widowControl/>
              <w:kinsoku/>
              <w:wordWrap w:val="0"/>
              <w:overflowPunct w:val="0"/>
              <w:topLinePunct w:val="0"/>
              <w:autoSpaceDE w:val="0"/>
              <w:autoSpaceDN w:val="0"/>
              <w:bidi w:val="0"/>
              <w:adjustRightInd w:val="0"/>
              <w:snapToGrid w:val="0"/>
              <w:spacing w:line="400" w:lineRule="exact"/>
              <w:ind w:left="116" w:leftChars="0"/>
              <w:jc w:val="center"/>
              <w:textAlignment w:val="auto"/>
              <w:rPr>
                <w:rFonts w:hint="eastAsia" w:ascii="仿宋_GB2312" w:hAnsi="仿宋_GB2312" w:eastAsia="仿宋_GB2312" w:cs="仿宋_GB2312"/>
                <w:spacing w:val="-20"/>
                <w:sz w:val="20"/>
                <w:szCs w:val="20"/>
                <w14:textOutline w14:w="4356" w14:cap="sq" w14:cmpd="sng">
                  <w14:solidFill>
                    <w14:srgbClr w14:val="000000"/>
                  </w14:solidFill>
                  <w14:prstDash w14:val="solid"/>
                  <w14:bevel/>
                </w14:textOutline>
              </w:rPr>
            </w:pPr>
            <w:r>
              <w:rPr>
                <w:rFonts w:hint="eastAsia" w:ascii="仿宋_GB2312" w:hAnsi="仿宋_GB2312" w:eastAsia="仿宋_GB2312" w:cs="仿宋_GB2312"/>
                <w:spacing w:val="-5"/>
                <w:sz w:val="20"/>
                <w:szCs w:val="20"/>
                <w14:textOutline w14:w="4358" w14:cap="sq" w14:cmpd="sng">
                  <w14:solidFill>
                    <w14:srgbClr w14:val="000000"/>
                  </w14:solidFill>
                  <w14:prstDash w14:val="solid"/>
                  <w14:bevel/>
                </w14:textOutline>
              </w:rPr>
              <w:t>影响</w:t>
            </w:r>
          </w:p>
        </w:tc>
        <w:tc>
          <w:tcPr>
            <w:tcW w:w="1199" w:type="dxa"/>
            <w:vAlign w:val="center"/>
          </w:tcPr>
          <w:p w14:paraId="6D816461">
            <w:pPr>
              <w:pStyle w:val="14"/>
              <w:keepNext/>
              <w:keepLines w:val="0"/>
              <w:pageBreakBefore w:val="0"/>
              <w:widowControl/>
              <w:kinsoku/>
              <w:wordWrap w:val="0"/>
              <w:overflowPunct w:val="0"/>
              <w:topLinePunct w:val="0"/>
              <w:autoSpaceDE w:val="0"/>
              <w:autoSpaceDN w:val="0"/>
              <w:bidi w:val="0"/>
              <w:adjustRightInd w:val="0"/>
              <w:snapToGrid w:val="0"/>
              <w:spacing w:before="78" w:line="400" w:lineRule="exact"/>
              <w:ind w:left="113" w:leftChars="0"/>
              <w:jc w:val="center"/>
              <w:textAlignment w:val="auto"/>
              <w:rPr>
                <w:rFonts w:hint="eastAsia" w:ascii="仿宋_GB2312" w:hAnsi="仿宋_GB2312" w:eastAsia="仿宋_GB2312" w:cs="仿宋_GB2312"/>
                <w:spacing w:val="-5"/>
                <w:sz w:val="20"/>
                <w:szCs w:val="20"/>
              </w:rPr>
            </w:pPr>
            <w:r>
              <w:rPr>
                <w:rFonts w:hint="eastAsia" w:ascii="仿宋_GB2312" w:hAnsi="仿宋_GB2312" w:eastAsia="仿宋_GB2312" w:cs="仿宋_GB2312"/>
                <w:spacing w:val="-3"/>
                <w:sz w:val="20"/>
                <w:szCs w:val="20"/>
              </w:rPr>
              <w:t>重大影响</w:t>
            </w:r>
          </w:p>
        </w:tc>
        <w:tc>
          <w:tcPr>
            <w:tcW w:w="3958" w:type="dxa"/>
            <w:gridSpan w:val="2"/>
            <w:vAlign w:val="center"/>
          </w:tcPr>
          <w:p w14:paraId="3CE69F84">
            <w:pPr>
              <w:pStyle w:val="14"/>
              <w:keepNext/>
              <w:keepLines w:val="0"/>
              <w:pageBreakBefore w:val="0"/>
              <w:widowControl/>
              <w:kinsoku/>
              <w:wordWrap w:val="0"/>
              <w:overflowPunct w:val="0"/>
              <w:topLinePunct w:val="0"/>
              <w:autoSpaceDE w:val="0"/>
              <w:autoSpaceDN w:val="0"/>
              <w:bidi w:val="0"/>
              <w:adjustRightInd w:val="0"/>
              <w:snapToGrid w:val="0"/>
              <w:spacing w:before="78" w:line="400" w:lineRule="exact"/>
              <w:ind w:left="114" w:leftChars="0"/>
              <w:jc w:val="both"/>
              <w:textAlignment w:val="auto"/>
              <w:rPr>
                <w:rFonts w:hint="eastAsia" w:ascii="仿宋_GB2312" w:hAnsi="仿宋_GB2312" w:eastAsia="仿宋_GB2312" w:cs="仿宋_GB2312"/>
                <w:spacing w:val="-1"/>
                <w:sz w:val="20"/>
                <w:szCs w:val="20"/>
              </w:rPr>
            </w:pPr>
            <w:r>
              <w:rPr>
                <w:rFonts w:hint="eastAsia" w:ascii="仿宋_GB2312" w:hAnsi="仿宋_GB2312" w:eastAsia="仿宋_GB2312" w:cs="仿宋_GB2312"/>
                <w:spacing w:val="-3"/>
                <w:sz w:val="20"/>
                <w:szCs w:val="20"/>
              </w:rPr>
              <w:t>重大影响。</w:t>
            </w:r>
          </w:p>
        </w:tc>
        <w:tc>
          <w:tcPr>
            <w:tcW w:w="2350" w:type="dxa"/>
            <w:vAlign w:val="center"/>
          </w:tcPr>
          <w:p w14:paraId="17AB1399">
            <w:pPr>
              <w:pStyle w:val="14"/>
              <w:keepNext/>
              <w:keepLines w:val="0"/>
              <w:pageBreakBefore w:val="0"/>
              <w:widowControl/>
              <w:kinsoku/>
              <w:wordWrap w:val="0"/>
              <w:overflowPunct w:val="0"/>
              <w:topLinePunct w:val="0"/>
              <w:autoSpaceDE w:val="0"/>
              <w:autoSpaceDN w:val="0"/>
              <w:bidi w:val="0"/>
              <w:adjustRightInd w:val="0"/>
              <w:snapToGrid w:val="0"/>
              <w:spacing w:before="40" w:line="400" w:lineRule="exact"/>
              <w:ind w:left="57" w:leftChars="0" w:right="57"/>
              <w:jc w:val="both"/>
              <w:textAlignment w:val="auto"/>
              <w:rPr>
                <w:rFonts w:hint="eastAsia" w:ascii="仿宋_GB2312" w:hAnsi="仿宋_GB2312" w:eastAsia="仿宋_GB2312" w:cs="仿宋_GB2312"/>
                <w:spacing w:val="-2"/>
                <w:sz w:val="20"/>
                <w:szCs w:val="20"/>
              </w:rPr>
            </w:pPr>
            <w:r>
              <w:rPr>
                <w:rFonts w:hint="eastAsia" w:ascii="仿宋_GB2312" w:hAnsi="仿宋_GB2312" w:eastAsia="仿宋_GB2312" w:cs="仿宋_GB2312"/>
                <w:spacing w:val="-2"/>
                <w:sz w:val="20"/>
                <w:szCs w:val="20"/>
              </w:rPr>
              <w:t>由于乙方工作失误造成重大影响的，1次扣30分，共30分。</w:t>
            </w:r>
          </w:p>
        </w:tc>
        <w:tc>
          <w:tcPr>
            <w:tcW w:w="754" w:type="dxa"/>
            <w:vAlign w:val="top"/>
          </w:tcPr>
          <w:p w14:paraId="262DAAE0">
            <w:pPr>
              <w:keepNext/>
              <w:keepLines w:val="0"/>
              <w:pageBreakBefore w:val="0"/>
              <w:widowControl/>
              <w:kinsoku/>
              <w:wordWrap w:val="0"/>
              <w:overflowPunct w:val="0"/>
              <w:topLinePunct w:val="0"/>
              <w:autoSpaceDE w:val="0"/>
              <w:autoSpaceDN w:val="0"/>
              <w:bidi w:val="0"/>
              <w:adjustRightInd w:val="0"/>
              <w:snapToGrid w:val="0"/>
              <w:spacing w:line="400" w:lineRule="exact"/>
              <w:textAlignment w:val="auto"/>
              <w:rPr>
                <w:rFonts w:hint="eastAsia" w:ascii="仿宋_GB2312" w:hAnsi="仿宋_GB2312" w:eastAsia="仿宋_GB2312" w:cs="仿宋_GB2312"/>
                <w:sz w:val="20"/>
                <w:szCs w:val="20"/>
              </w:rPr>
            </w:pPr>
          </w:p>
        </w:tc>
        <w:tc>
          <w:tcPr>
            <w:tcW w:w="731" w:type="dxa"/>
            <w:vAlign w:val="top"/>
          </w:tcPr>
          <w:p w14:paraId="3364EC48">
            <w:pPr>
              <w:keepNext/>
              <w:keepLines w:val="0"/>
              <w:pageBreakBefore w:val="0"/>
              <w:widowControl/>
              <w:kinsoku/>
              <w:wordWrap w:val="0"/>
              <w:overflowPunct w:val="0"/>
              <w:topLinePunct w:val="0"/>
              <w:autoSpaceDE w:val="0"/>
              <w:autoSpaceDN w:val="0"/>
              <w:bidi w:val="0"/>
              <w:adjustRightInd w:val="0"/>
              <w:snapToGrid w:val="0"/>
              <w:spacing w:line="400" w:lineRule="exact"/>
              <w:textAlignment w:val="auto"/>
              <w:rPr>
                <w:rFonts w:hint="eastAsia" w:ascii="仿宋_GB2312" w:hAnsi="仿宋_GB2312" w:eastAsia="仿宋_GB2312" w:cs="仿宋_GB2312"/>
                <w:sz w:val="20"/>
                <w:szCs w:val="20"/>
              </w:rPr>
            </w:pPr>
          </w:p>
        </w:tc>
      </w:tr>
      <w:tr w14:paraId="477FC2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8" w:hRule="atLeast"/>
          <w:jc w:val="center"/>
        </w:trPr>
        <w:tc>
          <w:tcPr>
            <w:tcW w:w="721" w:type="dxa"/>
            <w:vAlign w:val="center"/>
          </w:tcPr>
          <w:p w14:paraId="4AF55641">
            <w:pPr>
              <w:keepNext/>
              <w:keepLines w:val="0"/>
              <w:pageBreakBefore w:val="0"/>
              <w:widowControl/>
              <w:kinsoku/>
              <w:wordWrap w:val="0"/>
              <w:overflowPunct w:val="0"/>
              <w:topLinePunct w:val="0"/>
              <w:autoSpaceDE w:val="0"/>
              <w:autoSpaceDN w:val="0"/>
              <w:bidi w:val="0"/>
              <w:adjustRightInd w:val="0"/>
              <w:snapToGrid w:val="0"/>
              <w:spacing w:line="400" w:lineRule="exact"/>
              <w:jc w:val="center"/>
              <w:textAlignment w:val="auto"/>
              <w:rPr>
                <w:rFonts w:hint="eastAsia" w:ascii="仿宋_GB2312" w:hAnsi="仿宋_GB2312" w:eastAsia="仿宋_GB2312" w:cs="仿宋_GB2312"/>
                <w:sz w:val="20"/>
                <w:szCs w:val="20"/>
              </w:rPr>
            </w:pPr>
          </w:p>
          <w:p w14:paraId="39B578CB">
            <w:pPr>
              <w:pStyle w:val="14"/>
              <w:keepNext/>
              <w:keepLines w:val="0"/>
              <w:pageBreakBefore w:val="0"/>
              <w:widowControl/>
              <w:kinsoku/>
              <w:wordWrap w:val="0"/>
              <w:overflowPunct w:val="0"/>
              <w:topLinePunct w:val="0"/>
              <w:autoSpaceDE w:val="0"/>
              <w:autoSpaceDN w:val="0"/>
              <w:bidi w:val="0"/>
              <w:adjustRightInd w:val="0"/>
              <w:snapToGrid w:val="0"/>
              <w:spacing w:before="78" w:line="400" w:lineRule="exact"/>
              <w:ind w:left="116" w:leftChars="0"/>
              <w:jc w:val="center"/>
              <w:textAlignment w:val="auto"/>
              <w:rPr>
                <w:rFonts w:hint="eastAsia" w:ascii="仿宋_GB2312" w:hAnsi="仿宋_GB2312" w:eastAsia="仿宋_GB2312" w:cs="仿宋_GB2312"/>
                <w:spacing w:val="-20"/>
                <w:sz w:val="20"/>
                <w:szCs w:val="20"/>
                <w14:textOutline w14:w="4356" w14:cap="sq" w14:cmpd="sng">
                  <w14:solidFill>
                    <w14:srgbClr w14:val="000000"/>
                  </w14:solidFill>
                  <w14:prstDash w14:val="solid"/>
                  <w14:bevel/>
                </w14:textOutline>
              </w:rPr>
            </w:pPr>
            <w:r>
              <w:rPr>
                <w:rFonts w:hint="eastAsia" w:ascii="仿宋_GB2312" w:hAnsi="仿宋_GB2312" w:eastAsia="仿宋_GB2312" w:cs="仿宋_GB2312"/>
                <w:spacing w:val="-5"/>
                <w:sz w:val="20"/>
                <w:szCs w:val="20"/>
                <w14:textOutline w14:w="4358" w14:cap="sq" w14:cmpd="sng">
                  <w14:solidFill>
                    <w14:srgbClr w14:val="000000"/>
                  </w14:solidFill>
                  <w14:prstDash w14:val="solid"/>
                  <w14:bevel/>
                </w14:textOutline>
              </w:rPr>
              <w:t>注：</w:t>
            </w:r>
          </w:p>
        </w:tc>
        <w:tc>
          <w:tcPr>
            <w:tcW w:w="8261" w:type="dxa"/>
            <w:gridSpan w:val="5"/>
            <w:vAlign w:val="center"/>
          </w:tcPr>
          <w:p w14:paraId="6FE0D2D7">
            <w:pPr>
              <w:pStyle w:val="14"/>
              <w:keepNext/>
              <w:keepLines w:val="0"/>
              <w:pageBreakBefore w:val="0"/>
              <w:widowControl/>
              <w:kinsoku/>
              <w:wordWrap w:val="0"/>
              <w:overflowPunct w:val="0"/>
              <w:topLinePunct w:val="0"/>
              <w:autoSpaceDE w:val="0"/>
              <w:autoSpaceDN w:val="0"/>
              <w:bidi w:val="0"/>
              <w:adjustRightInd w:val="0"/>
              <w:snapToGrid w:val="0"/>
              <w:spacing w:before="39" w:line="400" w:lineRule="exact"/>
              <w:ind w:left="126"/>
              <w:jc w:val="left"/>
              <w:textAlignment w:val="auto"/>
              <w:rPr>
                <w:rFonts w:hint="eastAsia" w:ascii="仿宋_GB2312" w:hAnsi="仿宋_GB2312" w:eastAsia="仿宋_GB2312" w:cs="仿宋_GB2312"/>
                <w:sz w:val="20"/>
                <w:szCs w:val="20"/>
                <w:lang w:eastAsia="zh-CN"/>
              </w:rPr>
            </w:pPr>
            <w:r>
              <w:rPr>
                <w:rFonts w:hint="eastAsia" w:ascii="仿宋_GB2312" w:hAnsi="仿宋_GB2312" w:eastAsia="仿宋_GB2312" w:cs="仿宋_GB2312"/>
                <w:spacing w:val="-3"/>
                <w:sz w:val="20"/>
                <w:szCs w:val="20"/>
              </w:rPr>
              <w:t>1.由于乙方工作失误造成重大影响的，</w:t>
            </w:r>
            <w:r>
              <w:rPr>
                <w:rFonts w:hint="eastAsia" w:ascii="仿宋_GB2312" w:hAnsi="仿宋_GB2312" w:eastAsia="仿宋_GB2312" w:cs="仿宋_GB2312"/>
                <w:spacing w:val="-4"/>
                <w:sz w:val="20"/>
                <w:szCs w:val="20"/>
              </w:rPr>
              <w:t>1次扣30分</w:t>
            </w:r>
            <w:r>
              <w:rPr>
                <w:rFonts w:hint="eastAsia" w:ascii="仿宋_GB2312" w:hAnsi="仿宋_GB2312" w:eastAsia="仿宋_GB2312" w:cs="仿宋_GB2312"/>
                <w:spacing w:val="-4"/>
                <w:sz w:val="20"/>
                <w:szCs w:val="20"/>
                <w:lang w:eastAsia="zh-CN"/>
              </w:rPr>
              <w:t>；</w:t>
            </w:r>
          </w:p>
          <w:p w14:paraId="25962979">
            <w:pPr>
              <w:pStyle w:val="14"/>
              <w:keepNext/>
              <w:keepLines w:val="0"/>
              <w:pageBreakBefore w:val="0"/>
              <w:widowControl/>
              <w:kinsoku/>
              <w:wordWrap w:val="0"/>
              <w:overflowPunct w:val="0"/>
              <w:topLinePunct w:val="0"/>
              <w:autoSpaceDE w:val="0"/>
              <w:autoSpaceDN w:val="0"/>
              <w:bidi w:val="0"/>
              <w:adjustRightInd w:val="0"/>
              <w:snapToGrid w:val="0"/>
              <w:spacing w:before="57" w:line="400" w:lineRule="exact"/>
              <w:ind w:left="110" w:right="754" w:hanging="3"/>
              <w:jc w:val="left"/>
              <w:textAlignment w:val="auto"/>
              <w:rPr>
                <w:rFonts w:hint="eastAsia" w:ascii="仿宋_GB2312" w:hAnsi="仿宋_GB2312" w:eastAsia="仿宋_GB2312" w:cs="仿宋_GB2312"/>
                <w:spacing w:val="-3"/>
                <w:sz w:val="20"/>
                <w:szCs w:val="20"/>
              </w:rPr>
            </w:pPr>
            <w:r>
              <w:rPr>
                <w:rFonts w:hint="eastAsia" w:ascii="仿宋_GB2312" w:hAnsi="仿宋_GB2312" w:eastAsia="仿宋_GB2312" w:cs="仿宋_GB2312"/>
                <w:spacing w:val="-3"/>
                <w:sz w:val="20"/>
                <w:szCs w:val="20"/>
              </w:rPr>
              <w:t>2.运营期间得到甲方肯定并提出嘉奖或收到表扬信的，1次加10</w:t>
            </w:r>
            <w:r>
              <w:rPr>
                <w:rFonts w:hint="eastAsia" w:ascii="仿宋_GB2312" w:hAnsi="仿宋_GB2312" w:eastAsia="仿宋_GB2312" w:cs="仿宋_GB2312"/>
                <w:spacing w:val="-48"/>
                <w:sz w:val="20"/>
                <w:szCs w:val="20"/>
                <w:lang w:val="en-US" w:eastAsia="zh-CN"/>
              </w:rPr>
              <w:t>分</w:t>
            </w:r>
            <w:r>
              <w:rPr>
                <w:rFonts w:hint="eastAsia" w:ascii="仿宋_GB2312" w:hAnsi="仿宋_GB2312" w:eastAsia="仿宋_GB2312" w:cs="仿宋_GB2312"/>
                <w:spacing w:val="-3"/>
                <w:sz w:val="20"/>
                <w:szCs w:val="20"/>
              </w:rPr>
              <w:t>；</w:t>
            </w:r>
          </w:p>
          <w:p w14:paraId="387C1E54">
            <w:pPr>
              <w:pStyle w:val="14"/>
              <w:keepNext/>
              <w:keepLines w:val="0"/>
              <w:pageBreakBefore w:val="0"/>
              <w:widowControl/>
              <w:kinsoku/>
              <w:wordWrap w:val="0"/>
              <w:overflowPunct w:val="0"/>
              <w:topLinePunct w:val="0"/>
              <w:autoSpaceDE w:val="0"/>
              <w:autoSpaceDN w:val="0"/>
              <w:bidi w:val="0"/>
              <w:adjustRightInd w:val="0"/>
              <w:snapToGrid w:val="0"/>
              <w:spacing w:before="57" w:line="400" w:lineRule="exact"/>
              <w:ind w:left="110" w:right="754" w:hanging="3"/>
              <w:jc w:val="left"/>
              <w:textAlignment w:val="auto"/>
              <w:rPr>
                <w:rFonts w:hint="eastAsia" w:ascii="仿宋_GB2312" w:hAnsi="仿宋_GB2312" w:eastAsia="仿宋_GB2312" w:cs="仿宋_GB2312"/>
                <w:sz w:val="20"/>
                <w:szCs w:val="20"/>
              </w:rPr>
            </w:pPr>
            <w:r>
              <w:rPr>
                <w:rFonts w:hint="eastAsia" w:ascii="仿宋_GB2312" w:hAnsi="仿宋_GB2312" w:eastAsia="仿宋_GB2312" w:cs="仿宋_GB2312"/>
                <w:spacing w:val="-2"/>
                <w:sz w:val="20"/>
                <w:szCs w:val="20"/>
              </w:rPr>
              <w:t>3.运营期间有突出贡献得到甲方认可的，1次加10分；</w:t>
            </w:r>
          </w:p>
          <w:p w14:paraId="2224B531">
            <w:pPr>
              <w:pStyle w:val="14"/>
              <w:keepNext/>
              <w:keepLines w:val="0"/>
              <w:pageBreakBefore w:val="0"/>
              <w:widowControl/>
              <w:kinsoku/>
              <w:wordWrap w:val="0"/>
              <w:overflowPunct w:val="0"/>
              <w:topLinePunct w:val="0"/>
              <w:autoSpaceDE w:val="0"/>
              <w:autoSpaceDN w:val="0"/>
              <w:bidi w:val="0"/>
              <w:adjustRightInd w:val="0"/>
              <w:snapToGrid w:val="0"/>
              <w:spacing w:before="58" w:line="400" w:lineRule="exact"/>
              <w:ind w:left="106" w:leftChars="0"/>
              <w:jc w:val="left"/>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4.根据最终考核结果，超出运营费用总额部分不另行结算。</w:t>
            </w:r>
          </w:p>
        </w:tc>
        <w:tc>
          <w:tcPr>
            <w:tcW w:w="731" w:type="dxa"/>
            <w:vAlign w:val="center"/>
          </w:tcPr>
          <w:p w14:paraId="5DC706B5">
            <w:pPr>
              <w:keepNext/>
              <w:keepLines w:val="0"/>
              <w:pageBreakBefore w:val="0"/>
              <w:widowControl/>
              <w:kinsoku/>
              <w:wordWrap w:val="0"/>
              <w:overflowPunct w:val="0"/>
              <w:topLinePunct w:val="0"/>
              <w:autoSpaceDE w:val="0"/>
              <w:autoSpaceDN w:val="0"/>
              <w:bidi w:val="0"/>
              <w:adjustRightInd w:val="0"/>
              <w:snapToGrid w:val="0"/>
              <w:spacing w:line="400" w:lineRule="exact"/>
              <w:jc w:val="center"/>
              <w:textAlignment w:val="auto"/>
              <w:rPr>
                <w:rFonts w:hint="eastAsia" w:ascii="仿宋_GB2312" w:hAnsi="仿宋_GB2312" w:eastAsia="仿宋_GB2312" w:cs="仿宋_GB2312"/>
                <w:sz w:val="20"/>
                <w:szCs w:val="20"/>
              </w:rPr>
            </w:pPr>
          </w:p>
        </w:tc>
      </w:tr>
      <w:tr w14:paraId="69BA11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8" w:hRule="atLeast"/>
          <w:jc w:val="center"/>
        </w:trPr>
        <w:tc>
          <w:tcPr>
            <w:tcW w:w="721" w:type="dxa"/>
            <w:vAlign w:val="center"/>
          </w:tcPr>
          <w:p w14:paraId="49355073">
            <w:pPr>
              <w:pStyle w:val="14"/>
              <w:keepNext/>
              <w:keepLines w:val="0"/>
              <w:pageBreakBefore w:val="0"/>
              <w:widowControl/>
              <w:kinsoku/>
              <w:wordWrap w:val="0"/>
              <w:overflowPunct w:val="0"/>
              <w:topLinePunct w:val="0"/>
              <w:autoSpaceDE w:val="0"/>
              <w:autoSpaceDN w:val="0"/>
              <w:bidi w:val="0"/>
              <w:adjustRightInd w:val="0"/>
              <w:snapToGrid w:val="0"/>
              <w:spacing w:before="78" w:line="400" w:lineRule="exact"/>
              <w:jc w:val="center"/>
              <w:textAlignment w:val="auto"/>
              <w:rPr>
                <w:rFonts w:hint="eastAsia" w:ascii="仿宋_GB2312" w:hAnsi="仿宋_GB2312" w:eastAsia="仿宋_GB2312" w:cs="仿宋_GB2312"/>
                <w:spacing w:val="-20"/>
                <w:sz w:val="20"/>
                <w:szCs w:val="20"/>
                <w14:textOutline w14:w="4356" w14:cap="sq" w14:cmpd="sng">
                  <w14:solidFill>
                    <w14:srgbClr w14:val="000000"/>
                  </w14:solidFill>
                  <w14:prstDash w14:val="solid"/>
                  <w14:bevel/>
                </w14:textOutline>
              </w:rPr>
            </w:pPr>
            <w:r>
              <w:rPr>
                <w:rFonts w:hint="eastAsia" w:ascii="仿宋_GB2312" w:hAnsi="仿宋_GB2312" w:eastAsia="仿宋_GB2312" w:cs="仿宋_GB2312"/>
                <w:spacing w:val="-8"/>
                <w:sz w:val="20"/>
                <w:szCs w:val="20"/>
                <w14:textOutline w14:w="4358" w14:cap="sq" w14:cmpd="sng">
                  <w14:solidFill>
                    <w14:srgbClr w14:val="000000"/>
                  </w14:solidFill>
                  <w14:prstDash w14:val="solid"/>
                  <w14:bevel/>
                </w14:textOutline>
              </w:rPr>
              <w:t>总分</w:t>
            </w:r>
          </w:p>
        </w:tc>
        <w:tc>
          <w:tcPr>
            <w:tcW w:w="3722" w:type="dxa"/>
            <w:gridSpan w:val="2"/>
            <w:vAlign w:val="center"/>
          </w:tcPr>
          <w:p w14:paraId="5602F1EB">
            <w:pPr>
              <w:keepNext/>
              <w:keepLines w:val="0"/>
              <w:pageBreakBefore w:val="0"/>
              <w:widowControl/>
              <w:kinsoku/>
              <w:wordWrap w:val="0"/>
              <w:overflowPunct w:val="0"/>
              <w:topLinePunct w:val="0"/>
              <w:autoSpaceDE w:val="0"/>
              <w:autoSpaceDN w:val="0"/>
              <w:bidi w:val="0"/>
              <w:adjustRightInd w:val="0"/>
              <w:snapToGrid w:val="0"/>
              <w:spacing w:line="400" w:lineRule="exact"/>
              <w:jc w:val="center"/>
              <w:textAlignment w:val="auto"/>
              <w:rPr>
                <w:rFonts w:hint="eastAsia" w:ascii="仿宋_GB2312" w:hAnsi="仿宋_GB2312" w:eastAsia="仿宋_GB2312" w:cs="仿宋_GB2312"/>
                <w:spacing w:val="-5"/>
                <w:sz w:val="20"/>
                <w:szCs w:val="20"/>
              </w:rPr>
            </w:pPr>
          </w:p>
        </w:tc>
        <w:tc>
          <w:tcPr>
            <w:tcW w:w="1435" w:type="dxa"/>
            <w:vAlign w:val="center"/>
          </w:tcPr>
          <w:p w14:paraId="6FEC6B4F">
            <w:pPr>
              <w:pStyle w:val="14"/>
              <w:keepNext/>
              <w:keepLines w:val="0"/>
              <w:pageBreakBefore w:val="0"/>
              <w:widowControl/>
              <w:kinsoku/>
              <w:wordWrap w:val="0"/>
              <w:overflowPunct w:val="0"/>
              <w:topLinePunct w:val="0"/>
              <w:autoSpaceDE w:val="0"/>
              <w:autoSpaceDN w:val="0"/>
              <w:bidi w:val="0"/>
              <w:adjustRightInd w:val="0"/>
              <w:snapToGrid w:val="0"/>
              <w:spacing w:before="78" w:line="400" w:lineRule="exact"/>
              <w:jc w:val="center"/>
              <w:textAlignment w:val="auto"/>
              <w:rPr>
                <w:rFonts w:hint="eastAsia" w:ascii="仿宋_GB2312" w:hAnsi="仿宋_GB2312" w:eastAsia="仿宋_GB2312" w:cs="仿宋_GB2312"/>
                <w:spacing w:val="-1"/>
                <w:sz w:val="20"/>
                <w:szCs w:val="20"/>
              </w:rPr>
            </w:pPr>
            <w:r>
              <w:rPr>
                <w:rFonts w:hint="eastAsia" w:ascii="仿宋_GB2312" w:hAnsi="仿宋_GB2312" w:eastAsia="仿宋_GB2312" w:cs="仿宋_GB2312"/>
                <w:spacing w:val="-3"/>
                <w:sz w:val="20"/>
                <w:szCs w:val="20"/>
                <w14:textOutline w14:w="4358" w14:cap="sq" w14:cmpd="sng">
                  <w14:solidFill>
                    <w14:srgbClr w14:val="000000"/>
                  </w14:solidFill>
                  <w14:prstDash w14:val="solid"/>
                  <w14:bevel/>
                </w14:textOutline>
              </w:rPr>
              <w:t>客户签字</w:t>
            </w:r>
          </w:p>
        </w:tc>
        <w:tc>
          <w:tcPr>
            <w:tcW w:w="3835" w:type="dxa"/>
            <w:gridSpan w:val="3"/>
            <w:vAlign w:val="center"/>
          </w:tcPr>
          <w:p w14:paraId="659EAB22">
            <w:pPr>
              <w:keepNext/>
              <w:keepLines w:val="0"/>
              <w:pageBreakBefore w:val="0"/>
              <w:widowControl/>
              <w:kinsoku/>
              <w:wordWrap w:val="0"/>
              <w:overflowPunct w:val="0"/>
              <w:topLinePunct w:val="0"/>
              <w:autoSpaceDE w:val="0"/>
              <w:autoSpaceDN w:val="0"/>
              <w:bidi w:val="0"/>
              <w:adjustRightInd w:val="0"/>
              <w:snapToGrid w:val="0"/>
              <w:spacing w:line="400" w:lineRule="exact"/>
              <w:jc w:val="center"/>
              <w:textAlignment w:val="auto"/>
              <w:rPr>
                <w:rFonts w:hint="eastAsia" w:ascii="仿宋_GB2312" w:hAnsi="仿宋_GB2312" w:eastAsia="仿宋_GB2312" w:cs="仿宋_GB2312"/>
                <w:sz w:val="20"/>
                <w:szCs w:val="20"/>
              </w:rPr>
            </w:pPr>
          </w:p>
          <w:p w14:paraId="1013AF2C">
            <w:pPr>
              <w:keepNext/>
              <w:keepLines w:val="0"/>
              <w:pageBreakBefore w:val="0"/>
              <w:widowControl/>
              <w:kinsoku/>
              <w:wordWrap w:val="0"/>
              <w:overflowPunct w:val="0"/>
              <w:topLinePunct w:val="0"/>
              <w:autoSpaceDE w:val="0"/>
              <w:autoSpaceDN w:val="0"/>
              <w:bidi w:val="0"/>
              <w:adjustRightInd w:val="0"/>
              <w:snapToGrid w:val="0"/>
              <w:spacing w:line="400" w:lineRule="exact"/>
              <w:jc w:val="center"/>
              <w:textAlignment w:val="auto"/>
              <w:rPr>
                <w:rFonts w:hint="eastAsia" w:ascii="仿宋_GB2312" w:hAnsi="仿宋_GB2312" w:eastAsia="仿宋_GB2312" w:cs="仿宋_GB2312"/>
                <w:sz w:val="20"/>
                <w:szCs w:val="20"/>
              </w:rPr>
            </w:pPr>
          </w:p>
        </w:tc>
      </w:tr>
    </w:tbl>
    <w:p w14:paraId="274517FB">
      <w:pPr>
        <w:keepNext w:val="0"/>
        <w:keepLines w:val="0"/>
        <w:pageBreakBefore w:val="0"/>
        <w:widowControl w:val="0"/>
        <w:kinsoku/>
        <w:wordWrap/>
        <w:overflowPunct/>
        <w:topLinePunct w:val="0"/>
        <w:bidi w:val="0"/>
        <w:spacing w:line="560" w:lineRule="exact"/>
        <w:ind w:firstLine="420" w:firstLineChars="20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方正小标宋简体">
    <w:altName w:val="Arial Unicode MS"/>
    <w:panose1 w:val="02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00000000"/>
    <w:rsid w:val="01091F26"/>
    <w:rsid w:val="029C1412"/>
    <w:rsid w:val="047E2BDC"/>
    <w:rsid w:val="04AD7ABA"/>
    <w:rsid w:val="07554228"/>
    <w:rsid w:val="088B0AD2"/>
    <w:rsid w:val="08B82EF3"/>
    <w:rsid w:val="0CA43C19"/>
    <w:rsid w:val="14B37887"/>
    <w:rsid w:val="1E8D5F3B"/>
    <w:rsid w:val="20045859"/>
    <w:rsid w:val="22AF0896"/>
    <w:rsid w:val="22FB2867"/>
    <w:rsid w:val="22FE48A1"/>
    <w:rsid w:val="23002CC8"/>
    <w:rsid w:val="29450034"/>
    <w:rsid w:val="29E259F5"/>
    <w:rsid w:val="2CF40789"/>
    <w:rsid w:val="2D23061C"/>
    <w:rsid w:val="2DB155D6"/>
    <w:rsid w:val="2F193C67"/>
    <w:rsid w:val="30332969"/>
    <w:rsid w:val="305425A9"/>
    <w:rsid w:val="32F94991"/>
    <w:rsid w:val="34651AF2"/>
    <w:rsid w:val="34FC549D"/>
    <w:rsid w:val="366E3E9D"/>
    <w:rsid w:val="3A102E54"/>
    <w:rsid w:val="3B6E0E98"/>
    <w:rsid w:val="3DF24001"/>
    <w:rsid w:val="435720D9"/>
    <w:rsid w:val="44E664AF"/>
    <w:rsid w:val="459B04FB"/>
    <w:rsid w:val="46784A78"/>
    <w:rsid w:val="475F17EC"/>
    <w:rsid w:val="4D6132AA"/>
    <w:rsid w:val="4E0B7D9B"/>
    <w:rsid w:val="50CA2930"/>
    <w:rsid w:val="51F233A7"/>
    <w:rsid w:val="54C774C4"/>
    <w:rsid w:val="58907E91"/>
    <w:rsid w:val="58DF3ACC"/>
    <w:rsid w:val="59C3741A"/>
    <w:rsid w:val="5B1E7567"/>
    <w:rsid w:val="5C440896"/>
    <w:rsid w:val="623C6124"/>
    <w:rsid w:val="661821AE"/>
    <w:rsid w:val="680C37D3"/>
    <w:rsid w:val="68FC4253"/>
    <w:rsid w:val="690A53D6"/>
    <w:rsid w:val="6AF83D38"/>
    <w:rsid w:val="6E4E7318"/>
    <w:rsid w:val="6FC32419"/>
    <w:rsid w:val="70443EED"/>
    <w:rsid w:val="7312139A"/>
    <w:rsid w:val="773B10EA"/>
    <w:rsid w:val="78571E88"/>
    <w:rsid w:val="78F637DD"/>
    <w:rsid w:val="7B864284"/>
    <w:rsid w:val="7BBB198C"/>
    <w:rsid w:val="7CA10B3D"/>
    <w:rsid w:val="7E342B22"/>
    <w:rsid w:val="7EC62364"/>
    <w:rsid w:val="7EF377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1"/>
    <w:qFormat/>
    <w:uiPriority w:val="0"/>
    <w:pPr>
      <w:keepNext/>
      <w:widowControl w:val="0"/>
      <w:jc w:val="center"/>
      <w:outlineLvl w:val="0"/>
    </w:pPr>
    <w:rPr>
      <w:rFonts w:ascii="黑体" w:eastAsia="黑体"/>
      <w:sz w:val="28"/>
    </w:rPr>
  </w:style>
  <w:style w:type="paragraph" w:styleId="3">
    <w:name w:val="heading 2"/>
    <w:basedOn w:val="1"/>
    <w:next w:val="1"/>
    <w:qFormat/>
    <w:uiPriority w:val="0"/>
    <w:pPr>
      <w:keepNext/>
      <w:widowControl w:val="0"/>
      <w:spacing w:line="720" w:lineRule="exact"/>
      <w:outlineLvl w:val="1"/>
    </w:pPr>
    <w:rPr>
      <w:rFonts w:ascii="黑体" w:hAnsi="黑体" w:eastAsia="楷体_GB2312"/>
      <w:sz w:val="28"/>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pPr>
      <w:jc w:val="center"/>
    </w:pPr>
  </w:style>
  <w:style w:type="paragraph" w:styleId="7">
    <w:name w:val="footer"/>
    <w:basedOn w:val="1"/>
    <w:qFormat/>
    <w:uiPriority w:val="0"/>
    <w:pPr>
      <w:tabs>
        <w:tab w:val="center" w:pos="4153"/>
        <w:tab w:val="right" w:pos="8306"/>
      </w:tabs>
      <w:snapToGrid w:val="0"/>
      <w:jc w:val="left"/>
    </w:pPr>
    <w:rPr>
      <w:sz w:val="18"/>
    </w:rPr>
  </w:style>
  <w:style w:type="paragraph" w:customStyle="1" w:styleId="10">
    <w:name w:val="Normal"/>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character" w:customStyle="1" w:styleId="11">
    <w:name w:val="标题 1 Char"/>
    <w:link w:val="2"/>
    <w:qFormat/>
    <w:uiPriority w:val="0"/>
    <w:rPr>
      <w:rFonts w:ascii="黑体" w:eastAsia="黑体"/>
      <w:sz w:val="28"/>
    </w:rPr>
  </w:style>
  <w:style w:type="paragraph" w:customStyle="1" w:styleId="12">
    <w:name w:val="p0"/>
    <w:basedOn w:val="1"/>
    <w:qFormat/>
    <w:uiPriority w:val="0"/>
    <w:pPr>
      <w:widowControl/>
      <w:jc w:val="left"/>
    </w:pPr>
    <w:rPr>
      <w:rFonts w:ascii="Calibri" w:hAnsi="Calibri"/>
      <w:kern w:val="0"/>
      <w:szCs w:val="21"/>
    </w:rPr>
  </w:style>
  <w:style w:type="paragraph" w:customStyle="1" w:styleId="13">
    <w:name w:val="Default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4">
    <w:name w:val="Table Text"/>
    <w:basedOn w:val="1"/>
    <w:semiHidden/>
    <w:qFormat/>
    <w:uiPriority w:val="0"/>
    <w:rPr>
      <w:rFonts w:ascii="宋体" w:hAnsi="宋体" w:eastAsia="宋体" w:cs="宋体"/>
      <w:sz w:val="24"/>
      <w:szCs w:val="24"/>
      <w:lang w:val="en-US" w:eastAsia="en-US" w:bidi="ar-SA"/>
    </w:rPr>
  </w:style>
  <w:style w:type="table" w:customStyle="1" w:styleId="1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9724</Words>
  <Characters>10008</Characters>
  <Lines>0</Lines>
  <Paragraphs>0</Paragraphs>
  <TotalTime>3</TotalTime>
  <ScaleCrop>false</ScaleCrop>
  <LinksUpToDate>false</LinksUpToDate>
  <CharactersWithSpaces>10183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2023-07-26T09:00:00Z</dcterms:created>
  <dc:creator>hc618</dc:creator>
  <cp:lastModifiedBy>陕西华采招标有限公司</cp:lastModifiedBy>
  <cp:lastPrinted>2025-04-01T07:59:00Z</cp:lastPrinted>
  <dcterms:modified xsi:type="dcterms:W3CDTF">2025-08-22T03:10:33Z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9E724B8E9A8F48279104D4476B7E9153_13</vt:lpwstr>
  </property>
  <property fmtid="{D5CDD505-2E9C-101B-9397-08002B2CF9AE}" pid="4" name="KSOTemplateDocerSaveRecord">
    <vt:lpwstr>eyJoZGlkIjoiZWMxNWU5MTM1NDJhMzM3NzZlNjAyMmRiMjcyMmY4OWYiLCJ1c2VySWQiOiI5MzY1NjA0ODAifQ==</vt:lpwstr>
  </property>
</Properties>
</file>