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版本号：SXHC2025-18120250820001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2025年中心机房视频会议及信息安全检测技术服务外包项目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SXHC2025-181</w:t>
      </w:r>
      <w:r>
        <w:br/>
      </w:r>
      <w:r>
        <w:br/>
      </w:r>
      <w:r>
        <w:br/>
      </w:r>
    </w:p>
    <w:p>
      <w:pPr>
        <w:pStyle w:val="null3"/>
        <w:jc w:val="center"/>
        <w:outlineLvl w:val="2"/>
      </w:pPr>
      <w:r>
        <w:rPr>
          <w:rFonts w:ascii="仿宋_GB2312" w:hAnsi="仿宋_GB2312" w:cs="仿宋_GB2312" w:eastAsia="仿宋_GB2312"/>
          <w:sz w:val="28"/>
          <w:b/>
        </w:rPr>
        <w:t>西安市智慧环保综合指挥中心</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西安市智慧环保综合指挥中心</w:t>
      </w:r>
      <w:r>
        <w:rPr>
          <w:rFonts w:ascii="仿宋_GB2312" w:hAnsi="仿宋_GB2312" w:cs="仿宋_GB2312" w:eastAsia="仿宋_GB2312"/>
        </w:rPr>
        <w:t>委托，拟对</w:t>
      </w:r>
      <w:r>
        <w:rPr>
          <w:rFonts w:ascii="仿宋_GB2312" w:hAnsi="仿宋_GB2312" w:cs="仿宋_GB2312" w:eastAsia="仿宋_GB2312"/>
        </w:rPr>
        <w:t>2025年中心机房视频会议及信息安全检测技术服务外包项目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SXHC2025-181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2025年中心机房视频会议及信息安全检测技术服务外包项目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西安市生态环境局的中心机房环境、机房硬件设备、视频会议室设备提供定期巡检、数据备份、应急响应等技术支持，并对西安市生态环境局的中心机房及市电子政务办托管设备、智慧环保平台软件提供信息安全检测技术服务，开展专业化检测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采购包1（2025年中心机房视频会议及信息安全检测技术服务外包）：属于专门面向中小企业采购。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 、其他组织或自然人：企业法人应提供合法有效的标识有统一社会信用代码的营业执照；事业法人应提供事业单位法人证书；其他组织应提供合法登记证明文件，自然人提供身份证；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3、具有履行本合同所必需的设备和专业技术能力：提供具有履行本合同所必需的设备和专业技术能力的书面声明；</w:t>
      </w:r>
    </w:p>
    <w:p>
      <w:pPr>
        <w:pStyle w:val="null3"/>
      </w:pPr>
      <w:r>
        <w:rPr>
          <w:rFonts w:ascii="仿宋_GB2312" w:hAnsi="仿宋_GB2312" w:cs="仿宋_GB2312" w:eastAsia="仿宋_GB2312"/>
        </w:rPr>
        <w:t>4、参加政府采购活动前3年内在经营活动中没有重大违法记录：提供参加政府采购活动前3年内在经营活动中没有重大违法记录的书面声明；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5、法定代表人身份证明或法定代表人授权委托书：法定代表人直接参加投标的，须提供法定代表人身份证明；法定代表人授权代表参加投标的，须提供法定代表人授权委托书；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6、信誉要求：供应商未列入“失信被执行人”、“重大税收违法案件当事人名单”和“政府采购严重违法失信行 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西安市智慧环保综合指挥中心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未央区凤城七路与明光路十字西北角联益中心三楼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029-89823892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张瑞娜、赵凡、张聪聪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采购包1：316,560.00元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考《国家计委关于印发&lt;招标代理服务收费管理暂行办法&gt;的通知》（计价格〔2002〕1980号）及《国家发改委关于降低部分建设项目收费标准规范收费行为等有关问题的通知》（发改价格〔2011〕534号）规定按标准的收取，若按照标准收取不足6000元，按6000元计取。代理服务费缴纳信息如下： 银行户名：陕西华采招标有限公司 开户行名称：招商银行陕西自贸试验区西安高新科技支行 行 号：308791011305 账 号：129905942210666 联 系 人：韩工 联系电话：029-68255920-802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西安市智慧环保综合指挥中心</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西安市智慧环保综合指挥中心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西安市智慧环保综合指挥中心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联系电话：029-68255920转808</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西安市生态环境局的中心机房环境、机房硬件设备、视频会议室设备提供定期巡检、数据备份、应急响应等技术支持，并对西安市生态环境局的中心机房及市电子政务办托管设备、智慧环保平台软件提供信息安全检测技术服务，开展专业化检测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316,560.00</w:t>
      </w:r>
    </w:p>
    <w:p>
      <w:pPr>
        <w:pStyle w:val="null3"/>
      </w:pPr>
      <w:r>
        <w:rPr>
          <w:rFonts w:ascii="仿宋_GB2312" w:hAnsi="仿宋_GB2312" w:cs="仿宋_GB2312" w:eastAsia="仿宋_GB2312"/>
        </w:rPr>
        <w:t>采购包最高限价（元）: 316,560.00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2025年中心机房视频会议及信息安全检测技术服务外包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316,560.00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标的名称：2025年中心机房视频会议及信息安全检测技术服务外包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381"/>
              <w:jc w:val="left"/>
            </w:pPr>
            <w:r>
              <w:rPr>
                <w:rFonts w:ascii="仿宋_GB2312" w:hAnsi="仿宋_GB2312" w:cs="仿宋_GB2312" w:eastAsia="仿宋_GB2312"/>
                <w:sz w:val="19"/>
                <w:b/>
                <w:color w:val="000000"/>
              </w:rPr>
              <w:t>一、项目概况</w:t>
            </w:r>
          </w:p>
          <w:p>
            <w:pPr>
              <w:pStyle w:val="null3"/>
              <w:ind w:firstLine="380"/>
              <w:jc w:val="left"/>
            </w:pPr>
            <w:r>
              <w:rPr>
                <w:rFonts w:ascii="仿宋_GB2312" w:hAnsi="仿宋_GB2312" w:cs="仿宋_GB2312" w:eastAsia="仿宋_GB2312"/>
                <w:sz w:val="19"/>
                <w:color w:val="000000"/>
              </w:rPr>
              <w:t>对西安市生态环境局的中心机房环境、机房硬件设备、视频会议室设备提供定期巡检、数据备份、应急响应等技术支持，并对西安市生态环境局的中心机房及市电子政务办托管设备、智慧环保平台软件提供信息安全检测技术服务，开展专业化检测工作。</w:t>
            </w:r>
          </w:p>
          <w:p>
            <w:pPr>
              <w:pStyle w:val="null3"/>
              <w:ind w:firstLine="381"/>
              <w:jc w:val="left"/>
            </w:pPr>
            <w:r>
              <w:rPr>
                <w:rFonts w:ascii="仿宋_GB2312" w:hAnsi="仿宋_GB2312" w:cs="仿宋_GB2312" w:eastAsia="仿宋_GB2312"/>
                <w:sz w:val="19"/>
                <w:b/>
                <w:color w:val="000000"/>
              </w:rPr>
              <w:t>二、项目要求</w:t>
            </w:r>
            <w:r>
              <w:rPr>
                <w:rFonts w:ascii="仿宋_GB2312" w:hAnsi="仿宋_GB2312" w:cs="仿宋_GB2312" w:eastAsia="仿宋_GB2312"/>
                <w:sz w:val="21"/>
              </w:rPr>
              <w:t xml:space="preserve"> </w:t>
            </w:r>
          </w:p>
          <w:p>
            <w:pPr>
              <w:pStyle w:val="null3"/>
              <w:ind w:firstLine="380"/>
              <w:jc w:val="left"/>
            </w:pPr>
            <w:r>
              <w:rPr>
                <w:rFonts w:ascii="仿宋_GB2312" w:hAnsi="仿宋_GB2312" w:cs="仿宋_GB2312" w:eastAsia="仿宋_GB2312"/>
                <w:sz w:val="19"/>
                <w:color w:val="000000"/>
              </w:rPr>
              <w:t>1、供应商需明确采购人机房维护重难点，采取相应的维护体系和维护策略，提出相应的服务设计思路，明确管理目标，制定服务流程。</w:t>
            </w:r>
          </w:p>
          <w:p>
            <w:pPr>
              <w:pStyle w:val="null3"/>
              <w:ind w:firstLine="380"/>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、针对服务对象明确主要交付成果或文档、服务时间、服务频率及服务实现方式等。</w:t>
            </w:r>
          </w:p>
          <w:p>
            <w:pPr>
              <w:pStyle w:val="null3"/>
              <w:ind w:firstLine="380"/>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、供应商需提供整体服务的实施计划，包含：服务进度计划、服务团队沟通计划、服务资料交付计划。</w:t>
            </w:r>
          </w:p>
          <w:p>
            <w:pPr>
              <w:pStyle w:val="null3"/>
              <w:ind w:firstLine="380"/>
              <w:jc w:val="left"/>
            </w:pPr>
            <w:r>
              <w:rPr>
                <w:rFonts w:ascii="仿宋_GB2312" w:hAnsi="仿宋_GB2312" w:cs="仿宋_GB2312" w:eastAsia="仿宋_GB2312"/>
                <w:sz w:val="19"/>
                <w:color w:val="000000"/>
              </w:rPr>
              <w:t>4、供应商需针对采购人提供应急方案，包含应急预案的制定、措施安排、应急响应、应急准备、监测与预警、应急处置、总结改进等。</w:t>
            </w:r>
          </w:p>
          <w:p>
            <w:pPr>
              <w:pStyle w:val="null3"/>
              <w:ind w:firstLine="380"/>
              <w:jc w:val="left"/>
            </w:pPr>
            <w:r>
              <w:rPr>
                <w:rFonts w:ascii="仿宋_GB2312" w:hAnsi="仿宋_GB2312" w:cs="仿宋_GB2312" w:eastAsia="仿宋_GB2312"/>
                <w:sz w:val="19"/>
                <w:color w:val="000000"/>
              </w:rPr>
              <w:t>5、为规范服务行为，供应商需明确其服务的交付规范，确保IT运维服务符合国家或行业标准。</w:t>
            </w:r>
          </w:p>
          <w:p>
            <w:pPr>
              <w:pStyle w:val="null3"/>
              <w:ind w:firstLine="381"/>
              <w:jc w:val="left"/>
            </w:pPr>
            <w:r>
              <w:rPr>
                <w:rFonts w:ascii="仿宋_GB2312" w:hAnsi="仿宋_GB2312" w:cs="仿宋_GB2312" w:eastAsia="仿宋_GB2312"/>
                <w:sz w:val="19"/>
                <w:b/>
                <w:color w:val="000000"/>
              </w:rPr>
              <w:t>三、运维服务响应级别</w:t>
            </w:r>
          </w:p>
          <w:p>
            <w:pPr>
              <w:pStyle w:val="null3"/>
              <w:ind w:firstLine="380"/>
              <w:jc w:val="left"/>
            </w:pPr>
            <w:r>
              <w:rPr>
                <w:rFonts w:ascii="仿宋_GB2312" w:hAnsi="仿宋_GB2312" w:cs="仿宋_GB2312" w:eastAsia="仿宋_GB2312"/>
                <w:sz w:val="19"/>
                <w:color w:val="000000"/>
              </w:rPr>
              <w:t>供应商需根据事件的影响范围及紧急程度，将事件划分为</w:t>
            </w:r>
            <w:r>
              <w:rPr>
                <w:rFonts w:ascii="仿宋_GB2312" w:hAnsi="仿宋_GB2312" w:cs="仿宋_GB2312" w:eastAsia="仿宋_GB2312"/>
                <w:sz w:val="19"/>
                <w:color w:val="000000"/>
              </w:rPr>
              <w:t>S1级、S2级、S3级、S4级，四个级别。对应不同的级别，协调相应的资源予以支持及保证。</w:t>
            </w:r>
          </w:p>
          <w:p>
            <w:pPr>
              <w:pStyle w:val="null3"/>
              <w:ind w:firstLine="380"/>
              <w:jc w:val="left"/>
            </w:pPr>
            <w:r>
              <w:rPr>
                <w:rFonts w:ascii="仿宋_GB2312" w:hAnsi="仿宋_GB2312" w:cs="仿宋_GB2312" w:eastAsia="仿宋_GB2312"/>
                <w:sz w:val="19"/>
                <w:color w:val="000000"/>
              </w:rPr>
              <w:t>S1级：因设备故障导致的关键业务的系统中断，全部用户无法访问。</w:t>
            </w:r>
          </w:p>
          <w:p>
            <w:pPr>
              <w:pStyle w:val="null3"/>
              <w:ind w:firstLine="380"/>
              <w:jc w:val="left"/>
            </w:pPr>
            <w:r>
              <w:rPr>
                <w:rFonts w:ascii="仿宋_GB2312" w:hAnsi="仿宋_GB2312" w:cs="仿宋_GB2312" w:eastAsia="仿宋_GB2312"/>
                <w:sz w:val="19"/>
                <w:color w:val="000000"/>
              </w:rPr>
              <w:t>S2级：因设备故障导致关键业务中断，部分用户无法访问，或者VIP用户无法访问。</w:t>
            </w:r>
          </w:p>
          <w:p>
            <w:pPr>
              <w:pStyle w:val="null3"/>
              <w:ind w:firstLine="380"/>
              <w:jc w:val="left"/>
            </w:pPr>
            <w:r>
              <w:rPr>
                <w:rFonts w:ascii="仿宋_GB2312" w:hAnsi="仿宋_GB2312" w:cs="仿宋_GB2312" w:eastAsia="仿宋_GB2312"/>
                <w:sz w:val="19"/>
                <w:color w:val="000000"/>
              </w:rPr>
              <w:t>S3级：个别业务因设备故障出现异常，导致用户访问变慢。</w:t>
            </w:r>
          </w:p>
          <w:p>
            <w:pPr>
              <w:pStyle w:val="null3"/>
              <w:ind w:firstLine="380"/>
              <w:jc w:val="left"/>
            </w:pPr>
            <w:r>
              <w:rPr>
                <w:rFonts w:ascii="仿宋_GB2312" w:hAnsi="仿宋_GB2312" w:cs="仿宋_GB2312" w:eastAsia="仿宋_GB2312"/>
                <w:sz w:val="19"/>
                <w:color w:val="000000"/>
              </w:rPr>
              <w:t>S4级：设备的个别配置项失效，不影响正常业务。</w:t>
            </w:r>
          </w:p>
          <w:tbl>
            <w:tblPr>
              <w:tblInd w:type="dxa" w:w="120"/>
              <w:tblBorders>
                <w:top w:val="none" w:color="000000" w:sz="4"/>
                <w:left w:val="none" w:color="000000" w:sz="4"/>
                <w:bottom w:val="none" w:color="000000" w:sz="4"/>
                <w:right w:val="none" w:color="000000" w:sz="4"/>
                <w:insideH w:val="none"/>
                <w:insideV w:val="none"/>
              </w:tblBorders>
            </w:tblPr>
            <w:tblGrid>
              <w:gridCol w:w="499"/>
              <w:gridCol w:w="467"/>
              <w:gridCol w:w="878"/>
              <w:gridCol w:w="695"/>
            </w:tblGrid>
            <w:tr>
              <w:tc>
                <w:tcPr>
                  <w:tcW w:type="dxa" w:w="49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故障级别</w:t>
                  </w:r>
                </w:p>
              </w:tc>
              <w:tc>
                <w:tcPr>
                  <w:tcW w:type="dxa" w:w="4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响应时间</w:t>
                  </w:r>
                </w:p>
              </w:tc>
              <w:tc>
                <w:tcPr>
                  <w:tcW w:type="dxa" w:w="87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找到原因或临时措施</w:t>
                  </w:r>
                </w:p>
              </w:tc>
              <w:tc>
                <w:tcPr>
                  <w:tcW w:type="dxa" w:w="69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故障恢复时间</w:t>
                  </w: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S1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5分钟</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1小时内</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2小时内</w:t>
                  </w: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S2</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5分钟</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2小时内</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4小时内</w:t>
                  </w: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S3</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15分钟</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4小时内</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8小时内</w:t>
                  </w: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S4</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15分钟</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8小时内</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12小时内</w:t>
                  </w:r>
                </w:p>
              </w:tc>
            </w:tr>
          </w:tbl>
          <w:p>
            <w:pPr>
              <w:pStyle w:val="null3"/>
              <w:ind w:firstLine="380"/>
              <w:jc w:val="left"/>
            </w:pPr>
            <w:r>
              <w:rPr>
                <w:rFonts w:ascii="仿宋_GB2312" w:hAnsi="仿宋_GB2312" w:cs="仿宋_GB2312" w:eastAsia="仿宋_GB2312"/>
                <w:sz w:val="19"/>
                <w:color w:val="000000"/>
              </w:rPr>
              <w:t>备注：</w:t>
            </w:r>
          </w:p>
          <w:p>
            <w:pPr>
              <w:pStyle w:val="null3"/>
              <w:ind w:firstLine="380"/>
              <w:jc w:val="left"/>
            </w:pPr>
            <w:r>
              <w:rPr>
                <w:rFonts w:ascii="仿宋_GB2312" w:hAnsi="仿宋_GB2312" w:cs="仿宋_GB2312" w:eastAsia="仿宋_GB2312"/>
                <w:sz w:val="19"/>
                <w:color w:val="000000"/>
              </w:rPr>
              <w:t>若发生问题驻场工程师无法解决，则由二线工程师协助解决，</w:t>
            </w:r>
            <w:r>
              <w:rPr>
                <w:rFonts w:ascii="仿宋_GB2312" w:hAnsi="仿宋_GB2312" w:cs="仿宋_GB2312" w:eastAsia="仿宋_GB2312"/>
                <w:sz w:val="19"/>
                <w:color w:val="000000"/>
              </w:rPr>
              <w:t>S1/S2级别故障二线工程师到场时间不超过一小时，S3级别故障在远程协助无果的情况下，两个小时内到场，S4级别故障在远程协助无果的情况下，一个工作日内到场。</w:t>
            </w:r>
          </w:p>
          <w:p>
            <w:pPr>
              <w:pStyle w:val="null3"/>
              <w:ind w:firstLine="381"/>
              <w:jc w:val="left"/>
            </w:pPr>
            <w:r>
              <w:rPr>
                <w:rFonts w:ascii="仿宋_GB2312" w:hAnsi="仿宋_GB2312" w:cs="仿宋_GB2312" w:eastAsia="仿宋_GB2312"/>
                <w:sz w:val="19"/>
                <w:b/>
                <w:color w:val="000000"/>
              </w:rPr>
              <w:t>四、运维服务团队要求</w:t>
            </w:r>
          </w:p>
          <w:p>
            <w:pPr>
              <w:pStyle w:val="null3"/>
              <w:ind w:firstLine="380"/>
              <w:jc w:val="left"/>
            </w:pPr>
            <w:r>
              <w:rPr>
                <w:rFonts w:ascii="仿宋_GB2312" w:hAnsi="仿宋_GB2312" w:cs="仿宋_GB2312" w:eastAsia="仿宋_GB2312"/>
                <w:sz w:val="19"/>
                <w:color w:val="000000"/>
              </w:rPr>
              <w:t>整体运维外包服务内容是由供应商组建的专业技术支持团队完成。</w:t>
            </w:r>
          </w:p>
          <w:p>
            <w:pPr>
              <w:pStyle w:val="null3"/>
              <w:ind w:firstLine="380"/>
              <w:jc w:val="left"/>
            </w:pPr>
            <w:r>
              <w:rPr>
                <w:rFonts w:ascii="仿宋_GB2312" w:hAnsi="仿宋_GB2312" w:cs="仿宋_GB2312" w:eastAsia="仿宋_GB2312"/>
                <w:sz w:val="19"/>
                <w:color w:val="000000"/>
              </w:rPr>
              <w:t>1、一线驻场</w:t>
            </w:r>
          </w:p>
          <w:p>
            <w:pPr>
              <w:pStyle w:val="null3"/>
              <w:ind w:firstLine="380"/>
              <w:jc w:val="left"/>
            </w:pPr>
            <w:r>
              <w:rPr>
                <w:rFonts w:ascii="仿宋_GB2312" w:hAnsi="仿宋_GB2312" w:cs="仿宋_GB2312" w:eastAsia="仿宋_GB2312"/>
                <w:sz w:val="19"/>
                <w:color w:val="000000"/>
              </w:rPr>
              <w:t>一线技术支持人员</w:t>
            </w:r>
            <w:r>
              <w:rPr>
                <w:rFonts w:ascii="仿宋_GB2312" w:hAnsi="仿宋_GB2312" w:cs="仿宋_GB2312" w:eastAsia="仿宋_GB2312"/>
                <w:sz w:val="19"/>
                <w:color w:val="000000"/>
              </w:rPr>
              <w:t>2名，提供5*8小时驻场服务，加入到数据中心运维团队中，每周驻场时间40个小时。负责数据中心常规作业，日常巡检，定期提供数据中心运维的日常事务处理，完成现场最紧急和重复性较大的日常事务。</w:t>
            </w:r>
          </w:p>
          <w:p>
            <w:pPr>
              <w:pStyle w:val="null3"/>
              <w:ind w:firstLine="380"/>
              <w:jc w:val="left"/>
            </w:pPr>
            <w:r>
              <w:rPr>
                <w:rFonts w:ascii="仿宋_GB2312" w:hAnsi="仿宋_GB2312" w:cs="仿宋_GB2312" w:eastAsia="仿宋_GB2312"/>
                <w:sz w:val="19"/>
                <w:color w:val="000000"/>
              </w:rPr>
              <w:t>2、二线支持</w:t>
            </w:r>
          </w:p>
          <w:p>
            <w:pPr>
              <w:pStyle w:val="null3"/>
              <w:ind w:firstLine="380"/>
              <w:jc w:val="left"/>
            </w:pPr>
            <w:r>
              <w:rPr>
                <w:rFonts w:ascii="仿宋_GB2312" w:hAnsi="仿宋_GB2312" w:cs="仿宋_GB2312" w:eastAsia="仿宋_GB2312"/>
                <w:sz w:val="19"/>
                <w:color w:val="000000"/>
              </w:rPr>
              <w:t>根据需要提供定期或不定期的技术支持。二线技术团队是由多个技术领域的资深技术专家组成，技术领域包含：服务器、存储、网络、操作系统、</w:t>
            </w:r>
            <w:r>
              <w:rPr>
                <w:rFonts w:ascii="仿宋_GB2312" w:hAnsi="仿宋_GB2312" w:cs="仿宋_GB2312" w:eastAsia="仿宋_GB2312"/>
                <w:sz w:val="19"/>
                <w:color w:val="000000"/>
              </w:rPr>
              <w:t>oracle数据库、中间件、备份、机房环境等。</w:t>
            </w:r>
          </w:p>
          <w:p>
            <w:pPr>
              <w:pStyle w:val="null3"/>
              <w:ind w:firstLine="380"/>
              <w:jc w:val="left"/>
            </w:pPr>
            <w:r>
              <w:rPr>
                <w:rFonts w:ascii="仿宋_GB2312" w:hAnsi="仿宋_GB2312" w:cs="仿宋_GB2312" w:eastAsia="仿宋_GB2312"/>
                <w:sz w:val="19"/>
                <w:color w:val="000000"/>
              </w:rPr>
              <w:t>2、服务时间</w:t>
            </w:r>
          </w:p>
          <w:p>
            <w:pPr>
              <w:pStyle w:val="null3"/>
              <w:ind w:firstLine="380"/>
              <w:jc w:val="left"/>
            </w:pPr>
            <w:r>
              <w:rPr>
                <w:rFonts w:ascii="仿宋_GB2312" w:hAnsi="仿宋_GB2312" w:cs="仿宋_GB2312" w:eastAsia="仿宋_GB2312"/>
                <w:sz w:val="19"/>
                <w:color w:val="000000"/>
              </w:rPr>
              <w:t>维保</w:t>
            </w:r>
            <w:r>
              <w:rPr>
                <w:rFonts w:ascii="仿宋_GB2312" w:hAnsi="仿宋_GB2312" w:cs="仿宋_GB2312" w:eastAsia="仿宋_GB2312"/>
                <w:sz w:val="19"/>
              </w:rPr>
              <w:t>时间：</w:t>
            </w:r>
            <w:r>
              <w:rPr>
                <w:rFonts w:ascii="仿宋_GB2312" w:hAnsi="仿宋_GB2312" w:cs="仿宋_GB2312" w:eastAsia="仿宋_GB2312"/>
                <w:sz w:val="19"/>
              </w:rPr>
              <w:t>自合同签订起一年。</w:t>
            </w:r>
          </w:p>
          <w:p>
            <w:pPr>
              <w:pStyle w:val="null3"/>
              <w:ind w:firstLine="380"/>
              <w:jc w:val="left"/>
            </w:pPr>
            <w:r>
              <w:rPr>
                <w:rFonts w:ascii="仿宋_GB2312" w:hAnsi="仿宋_GB2312" w:cs="仿宋_GB2312" w:eastAsia="仿宋_GB2312"/>
                <w:sz w:val="19"/>
                <w:color w:val="000000"/>
              </w:rPr>
              <w:t>考核指标</w:t>
            </w:r>
          </w:p>
          <w:tbl>
            <w:tblPr>
              <w:tblInd w:type="dxa" w:w="120"/>
              <w:tblBorders>
                <w:top w:val="none" w:color="000000" w:sz="4"/>
                <w:left w:val="none" w:color="000000" w:sz="4"/>
                <w:bottom w:val="none" w:color="000000" w:sz="4"/>
                <w:right w:val="none" w:color="000000" w:sz="4"/>
                <w:insideH w:val="none"/>
                <w:insideV w:val="none"/>
              </w:tblBorders>
            </w:tblPr>
            <w:tblGrid>
              <w:gridCol w:w="304"/>
              <w:gridCol w:w="242"/>
              <w:gridCol w:w="310"/>
              <w:gridCol w:w="577"/>
              <w:gridCol w:w="515"/>
              <w:gridCol w:w="596"/>
            </w:tblGrid>
            <w:tr>
              <w:tc>
                <w:tcPr>
                  <w:tcW w:type="dxa" w:w="2544"/>
                  <w:gridSpan w:val="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绩效目标表</w:t>
                  </w:r>
                </w:p>
              </w:tc>
            </w:tr>
            <w:tr>
              <w:tc>
                <w:tcPr>
                  <w:tcW w:type="dxa" w:w="5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主管部门</w:t>
                  </w:r>
                </w:p>
              </w:tc>
              <w:tc>
                <w:tcPr>
                  <w:tcW w:type="dxa" w:w="88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西安市生态环境局</w:t>
                  </w:r>
                </w:p>
              </w:tc>
              <w:tc>
                <w:tcPr>
                  <w:tcW w:type="dxa" w:w="5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市级财政部门</w:t>
                  </w:r>
                </w:p>
              </w:tc>
              <w:tc>
                <w:tcPr>
                  <w:tcW w:type="dxa" w:w="5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西安</w:t>
                  </w:r>
                  <w:r>
                    <w:rPr>
                      <w:rFonts w:ascii="仿宋_GB2312" w:hAnsi="仿宋_GB2312" w:cs="仿宋_GB2312" w:eastAsia="仿宋_GB2312"/>
                      <w:sz w:val="18"/>
                    </w:rPr>
                    <w:t>市</w:t>
                  </w:r>
                  <w:r>
                    <w:rPr>
                      <w:rFonts w:ascii="仿宋_GB2312" w:hAnsi="仿宋_GB2312" w:cs="仿宋_GB2312" w:eastAsia="仿宋_GB2312"/>
                      <w:sz w:val="18"/>
                    </w:rPr>
                    <w:t>数据</w:t>
                  </w:r>
                  <w:r>
                    <w:rPr>
                      <w:rFonts w:ascii="仿宋_GB2312" w:hAnsi="仿宋_GB2312" w:cs="仿宋_GB2312" w:eastAsia="仿宋_GB2312"/>
                      <w:sz w:val="18"/>
                      <w:color w:val="000000"/>
                    </w:rPr>
                    <w:t>局</w:t>
                  </w:r>
                </w:p>
              </w:tc>
            </w:tr>
            <w:tr>
              <w:tc>
                <w:tcPr>
                  <w:tcW w:type="dxa" w:w="5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项目单位</w:t>
                  </w:r>
                </w:p>
              </w:tc>
              <w:tc>
                <w:tcPr>
                  <w:tcW w:type="dxa" w:w="199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西安市智慧环保综合指挥中心</w:t>
                  </w:r>
                </w:p>
              </w:tc>
            </w:tr>
            <w:tr>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总</w:t>
                  </w:r>
                </w:p>
                <w:p>
                  <w:pPr>
                    <w:pStyle w:val="null3"/>
                    <w:jc w:val="center"/>
                  </w:pPr>
                  <w:r>
                    <w:rPr>
                      <w:rFonts w:ascii="仿宋_GB2312" w:hAnsi="仿宋_GB2312" w:cs="仿宋_GB2312" w:eastAsia="仿宋_GB2312"/>
                      <w:sz w:val="18"/>
                    </w:rPr>
                    <w:t>体</w:t>
                  </w:r>
                </w:p>
                <w:p>
                  <w:pPr>
                    <w:pStyle w:val="null3"/>
                    <w:jc w:val="center"/>
                  </w:pPr>
                  <w:r>
                    <w:rPr>
                      <w:rFonts w:ascii="仿宋_GB2312" w:hAnsi="仿宋_GB2312" w:cs="仿宋_GB2312" w:eastAsia="仿宋_GB2312"/>
                      <w:sz w:val="18"/>
                    </w:rPr>
                    <w:t>目</w:t>
                  </w:r>
                </w:p>
                <w:p>
                  <w:pPr>
                    <w:pStyle w:val="null3"/>
                    <w:jc w:val="center"/>
                  </w:pPr>
                  <w:r>
                    <w:rPr>
                      <w:rFonts w:ascii="仿宋_GB2312" w:hAnsi="仿宋_GB2312" w:cs="仿宋_GB2312" w:eastAsia="仿宋_GB2312"/>
                      <w:sz w:val="18"/>
                    </w:rPr>
                    <w:t>标</w:t>
                  </w:r>
                </w:p>
              </w:tc>
              <w:tc>
                <w:tcPr>
                  <w:tcW w:type="dxa" w:w="224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8"/>
                    </w:rPr>
                    <w:t>本次运维服务内容包括视频会议及信息安全检测两部分，总体目标是对采购人运维的重点污染源自动监控系统、西安市环境遥感监测管理系统、机动车检验检测管理系统、西安市环境监测全程信息化系统等及智慧环保平台软件开展专业化信息安全检测工作，并对发现的网络与信息安全问题进行整改，通过优化安全策略，建立防护、检测和恢复的安全机制，保证业务系统持续安全。对采购人机房硬件设备、曲江视频会议室及局机关视频会议室扩音系统、摄像系统、视频终端系统、显示系统、网络与安全系统进行巡检及数据备份，定期对会议设备进行清洁整理，确保操控间的环境符合设备运行要求；会前对设备进行联通性测试；对局系统视频会议分会场提供技术支持，及时发现设备故障及隐患，确保设备健康运行。每季度巡检一次，完成后</w:t>
                  </w:r>
                  <w:r>
                    <w:rPr>
                      <w:rFonts w:ascii="仿宋_GB2312" w:hAnsi="仿宋_GB2312" w:cs="仿宋_GB2312" w:eastAsia="仿宋_GB2312"/>
                      <w:sz w:val="18"/>
                    </w:rPr>
                    <w:t xml:space="preserve">3个工作日内出具《检测报告》；同时制定服务响应级别，对服务期间发生的服务需求、故障需求及应急需求按级别进行响应，确保服务范围内各系统的稳定运行；建立健全的电子档案，对服务范围内设备及系统进行资产配置调查，梳理出资产配置列表、网络拓扑等，制定详细的资产配置列表维护计划。针对不同服务内容安排2人5×8驻场服务，完成现场重复性较大或应急工作。                                     </w:t>
                  </w:r>
                </w:p>
              </w:tc>
            </w:tr>
            <w:tr>
              <w:tc>
                <w:tcPr>
                  <w:tcW w:type="dxa" w:w="304"/>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绩</w:t>
                  </w:r>
                </w:p>
                <w:p>
                  <w:pPr>
                    <w:pStyle w:val="null3"/>
                    <w:jc w:val="center"/>
                  </w:pPr>
                  <w:r>
                    <w:rPr>
                      <w:rFonts w:ascii="仿宋_GB2312" w:hAnsi="仿宋_GB2312" w:cs="仿宋_GB2312" w:eastAsia="仿宋_GB2312"/>
                      <w:sz w:val="18"/>
                    </w:rPr>
                    <w:t>效</w:t>
                  </w:r>
                </w:p>
                <w:p>
                  <w:pPr>
                    <w:pStyle w:val="null3"/>
                    <w:jc w:val="center"/>
                  </w:pPr>
                  <w:r>
                    <w:rPr>
                      <w:rFonts w:ascii="仿宋_GB2312" w:hAnsi="仿宋_GB2312" w:cs="仿宋_GB2312" w:eastAsia="仿宋_GB2312"/>
                      <w:sz w:val="18"/>
                    </w:rPr>
                    <w:t>指</w:t>
                  </w:r>
                </w:p>
                <w:p>
                  <w:pPr>
                    <w:pStyle w:val="null3"/>
                    <w:jc w:val="center"/>
                  </w:pPr>
                  <w:r>
                    <w:rPr>
                      <w:rFonts w:ascii="仿宋_GB2312" w:hAnsi="仿宋_GB2312" w:cs="仿宋_GB2312" w:eastAsia="仿宋_GB2312"/>
                      <w:sz w:val="18"/>
                    </w:rPr>
                    <w:t>标</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一级指标</w:t>
                  </w:r>
                </w:p>
              </w:tc>
              <w:tc>
                <w:tcPr>
                  <w:tcW w:type="dxa" w:w="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二级</w:t>
                  </w:r>
                </w:p>
                <w:p>
                  <w:pPr>
                    <w:pStyle w:val="null3"/>
                    <w:jc w:val="center"/>
                  </w:pPr>
                  <w:r>
                    <w:rPr>
                      <w:rFonts w:ascii="仿宋_GB2312" w:hAnsi="仿宋_GB2312" w:cs="仿宋_GB2312" w:eastAsia="仿宋_GB2312"/>
                      <w:sz w:val="18"/>
                      <w:color w:val="000000"/>
                    </w:rPr>
                    <w:t>指标</w:t>
                  </w:r>
                </w:p>
              </w:tc>
              <w:tc>
                <w:tcPr>
                  <w:tcW w:type="dxa" w:w="109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指标内容</w:t>
                  </w:r>
                </w:p>
              </w:tc>
              <w:tc>
                <w:tcPr>
                  <w:tcW w:type="dxa" w:w="5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指标值</w:t>
                  </w:r>
                </w:p>
              </w:tc>
            </w:tr>
            <w:tr>
              <w:tc>
                <w:tcPr>
                  <w:tcW w:type="dxa" w:w="304"/>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产出指标</w:t>
                  </w:r>
                </w:p>
              </w:tc>
              <w:tc>
                <w:tcPr>
                  <w:tcW w:type="dxa" w:w="3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p>
                  <w:pPr>
                    <w:pStyle w:val="null3"/>
                    <w:jc w:val="center"/>
                  </w:pPr>
                  <w:r>
                    <w:rPr>
                      <w:rFonts w:ascii="仿宋_GB2312" w:hAnsi="仿宋_GB2312" w:cs="仿宋_GB2312" w:eastAsia="仿宋_GB2312"/>
                      <w:sz w:val="18"/>
                    </w:rPr>
                    <w:t>指标</w:t>
                  </w:r>
                </w:p>
              </w:tc>
              <w:tc>
                <w:tcPr>
                  <w:tcW w:type="dxa" w:w="10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每季度定期巡检</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4次</w:t>
                  </w:r>
                </w:p>
              </w:tc>
            </w:tr>
            <w:tr>
              <w:tc>
                <w:tcPr>
                  <w:tcW w:type="dxa" w:w="304"/>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310"/>
                  <w:vMerge/>
                  <w:tcBorders>
                    <w:top w:val="none" w:color="000000" w:sz="4"/>
                    <w:left w:val="none" w:color="000000" w:sz="4"/>
                    <w:bottom w:val="single" w:color="000000" w:sz="4"/>
                    <w:right w:val="single" w:color="000000" w:sz="4"/>
                  </w:tcBorders>
                </w:tcPr>
                <w:p/>
              </w:tc>
              <w:tc>
                <w:tcPr>
                  <w:tcW w:type="dxa" w:w="10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应用系统技术服务</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7*24技术支持，确保数据安全稳定运行</w:t>
                  </w:r>
                </w:p>
              </w:tc>
            </w:tr>
            <w:tr>
              <w:tc>
                <w:tcPr>
                  <w:tcW w:type="dxa" w:w="304"/>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310"/>
                  <w:vMerge/>
                  <w:tcBorders>
                    <w:top w:val="none" w:color="000000" w:sz="4"/>
                    <w:left w:val="none" w:color="000000" w:sz="4"/>
                    <w:bottom w:val="single" w:color="000000" w:sz="4"/>
                    <w:right w:val="single" w:color="000000" w:sz="4"/>
                  </w:tcBorders>
                </w:tcPr>
                <w:p/>
              </w:tc>
              <w:tc>
                <w:tcPr>
                  <w:tcW w:type="dxa" w:w="10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系统优化</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1次</w:t>
                  </w:r>
                </w:p>
              </w:tc>
            </w:tr>
            <w:tr>
              <w:tc>
                <w:tcPr>
                  <w:tcW w:type="dxa" w:w="304"/>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310"/>
                  <w:vMerge/>
                  <w:tcBorders>
                    <w:top w:val="none" w:color="000000" w:sz="4"/>
                    <w:left w:val="none" w:color="000000" w:sz="4"/>
                    <w:bottom w:val="single" w:color="000000" w:sz="4"/>
                    <w:right w:val="single" w:color="000000" w:sz="4"/>
                  </w:tcBorders>
                </w:tcPr>
                <w:p/>
              </w:tc>
              <w:tc>
                <w:tcPr>
                  <w:tcW w:type="dxa" w:w="10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建立安全机制</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每年对服务范围内系统优化安全策略</w:t>
                  </w:r>
                </w:p>
              </w:tc>
            </w:tr>
            <w:tr>
              <w:tc>
                <w:tcPr>
                  <w:tcW w:type="dxa" w:w="304"/>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310"/>
                  <w:vMerge/>
                  <w:tcBorders>
                    <w:top w:val="none" w:color="000000" w:sz="4"/>
                    <w:left w:val="none" w:color="000000" w:sz="4"/>
                    <w:bottom w:val="single" w:color="000000" w:sz="4"/>
                    <w:right w:val="single" w:color="000000" w:sz="4"/>
                  </w:tcBorders>
                </w:tcPr>
                <w:p/>
              </w:tc>
              <w:tc>
                <w:tcPr>
                  <w:tcW w:type="dxa" w:w="10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梳理资产配置列表、网络拓扑等</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每年对服务范围内设备及系统进行资产配置调查</w:t>
                  </w:r>
                </w:p>
              </w:tc>
            </w:tr>
            <w:tr>
              <w:tc>
                <w:tcPr>
                  <w:tcW w:type="dxa" w:w="304"/>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310"/>
                  <w:vMerge/>
                  <w:tcBorders>
                    <w:top w:val="none" w:color="000000" w:sz="4"/>
                    <w:left w:val="none" w:color="000000" w:sz="4"/>
                    <w:bottom w:val="single" w:color="000000" w:sz="4"/>
                    <w:right w:val="single" w:color="000000" w:sz="4"/>
                  </w:tcBorders>
                </w:tcPr>
                <w:p/>
              </w:tc>
              <w:tc>
                <w:tcPr>
                  <w:tcW w:type="dxa" w:w="10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制定详细的维护计划和检测报告</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4次</w:t>
                  </w:r>
                </w:p>
              </w:tc>
            </w:tr>
            <w:tr>
              <w:tc>
                <w:tcPr>
                  <w:tcW w:type="dxa" w:w="304"/>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310"/>
                  <w:vMerge/>
                  <w:tcBorders>
                    <w:top w:val="none" w:color="000000" w:sz="4"/>
                    <w:left w:val="none" w:color="000000" w:sz="4"/>
                    <w:bottom w:val="single" w:color="000000" w:sz="4"/>
                    <w:right w:val="single" w:color="000000" w:sz="4"/>
                  </w:tcBorders>
                </w:tcPr>
                <w:p/>
              </w:tc>
              <w:tc>
                <w:tcPr>
                  <w:tcW w:type="dxa" w:w="10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应急支撑人员</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2人5×8驻场服务及二线支持团队</w:t>
                  </w:r>
                </w:p>
              </w:tc>
            </w:tr>
            <w:tr>
              <w:tc>
                <w:tcPr>
                  <w:tcW w:type="dxa" w:w="304"/>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3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质量</w:t>
                  </w:r>
                </w:p>
                <w:p>
                  <w:pPr>
                    <w:pStyle w:val="null3"/>
                    <w:jc w:val="center"/>
                  </w:pPr>
                  <w:r>
                    <w:rPr>
                      <w:rFonts w:ascii="仿宋_GB2312" w:hAnsi="仿宋_GB2312" w:cs="仿宋_GB2312" w:eastAsia="仿宋_GB2312"/>
                      <w:sz w:val="18"/>
                    </w:rPr>
                    <w:t>指标</w:t>
                  </w:r>
                </w:p>
              </w:tc>
              <w:tc>
                <w:tcPr>
                  <w:tcW w:type="dxa" w:w="10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系统运行稳定性</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7×24小时</w:t>
                  </w:r>
                </w:p>
              </w:tc>
            </w:tr>
            <w:tr>
              <w:tc>
                <w:tcPr>
                  <w:tcW w:type="dxa" w:w="304"/>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310"/>
                  <w:vMerge/>
                  <w:tcBorders>
                    <w:top w:val="none" w:color="000000" w:sz="4"/>
                    <w:left w:val="none" w:color="000000" w:sz="4"/>
                    <w:bottom w:val="single" w:color="000000" w:sz="4"/>
                    <w:right w:val="single" w:color="000000" w:sz="4"/>
                  </w:tcBorders>
                </w:tcPr>
                <w:p/>
              </w:tc>
              <w:tc>
                <w:tcPr>
                  <w:tcW w:type="dxa" w:w="10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故障修复时限</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≤24小时</w:t>
                  </w:r>
                </w:p>
              </w:tc>
            </w:tr>
            <w:tr>
              <w:tc>
                <w:tcPr>
                  <w:tcW w:type="dxa" w:w="304"/>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310"/>
                  <w:vMerge/>
                  <w:tcBorders>
                    <w:top w:val="none" w:color="000000" w:sz="4"/>
                    <w:left w:val="none" w:color="000000" w:sz="4"/>
                    <w:bottom w:val="single" w:color="000000" w:sz="4"/>
                    <w:right w:val="single" w:color="000000" w:sz="4"/>
                  </w:tcBorders>
                </w:tcPr>
                <w:p/>
              </w:tc>
              <w:tc>
                <w:tcPr>
                  <w:tcW w:type="dxa" w:w="10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服务响应</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≤0.5小时响应，1小时到达故障现场</w:t>
                  </w:r>
                </w:p>
              </w:tc>
            </w:tr>
            <w:tr>
              <w:tc>
                <w:tcPr>
                  <w:tcW w:type="dxa" w:w="304"/>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时效</w:t>
                  </w:r>
                </w:p>
                <w:p>
                  <w:pPr>
                    <w:pStyle w:val="null3"/>
                    <w:jc w:val="center"/>
                  </w:pPr>
                  <w:r>
                    <w:rPr>
                      <w:rFonts w:ascii="仿宋_GB2312" w:hAnsi="仿宋_GB2312" w:cs="仿宋_GB2312" w:eastAsia="仿宋_GB2312"/>
                      <w:sz w:val="18"/>
                    </w:rPr>
                    <w:t>指标</w:t>
                  </w:r>
                </w:p>
              </w:tc>
              <w:tc>
                <w:tcPr>
                  <w:tcW w:type="dxa" w:w="10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服务周期</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w:t>
                  </w:r>
                  <w:r>
                    <w:rPr>
                      <w:rFonts w:ascii="仿宋_GB2312" w:hAnsi="仿宋_GB2312" w:cs="仿宋_GB2312" w:eastAsia="仿宋_GB2312"/>
                      <w:sz w:val="18"/>
                    </w:rPr>
                    <w:t>个月</w:t>
                  </w:r>
                </w:p>
              </w:tc>
            </w:tr>
            <w:tr>
              <w:tc>
                <w:tcPr>
                  <w:tcW w:type="dxa" w:w="304"/>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31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社会效益</w:t>
                  </w:r>
                </w:p>
                <w:p>
                  <w:pPr>
                    <w:pStyle w:val="null3"/>
                    <w:jc w:val="center"/>
                  </w:pPr>
                  <w:r>
                    <w:rPr>
                      <w:rFonts w:ascii="仿宋_GB2312" w:hAnsi="仿宋_GB2312" w:cs="仿宋_GB2312" w:eastAsia="仿宋_GB2312"/>
                      <w:sz w:val="18"/>
                    </w:rPr>
                    <w:t>指标</w:t>
                  </w:r>
                </w:p>
              </w:tc>
              <w:tc>
                <w:tcPr>
                  <w:tcW w:type="dxa" w:w="10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中心机房及视频会议系统健康、稳定、高效的正常运行，是确保中心日常办公、环境数据支撑、环境宣传教育等的基础，提升环境信息化持续建设和保障，提高局机关信息共享的效率。</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≥10%</w:t>
                  </w:r>
                </w:p>
              </w:tc>
            </w:tr>
            <w:tr>
              <w:tc>
                <w:tcPr>
                  <w:tcW w:type="dxa" w:w="304"/>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310"/>
                  <w:vMerge/>
                  <w:tcBorders>
                    <w:top w:val="none" w:color="000000" w:sz="4"/>
                    <w:left w:val="none" w:color="000000" w:sz="4"/>
                    <w:bottom w:val="single" w:color="000000" w:sz="4"/>
                    <w:right w:val="single" w:color="000000" w:sz="4"/>
                  </w:tcBorders>
                </w:tcPr>
                <w:p/>
              </w:tc>
              <w:tc>
                <w:tcPr>
                  <w:tcW w:type="dxa" w:w="10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业务应用系统的安全、稳定运行，是确保中心日常办公、环境数据支撑的基础，重视安全管理保护，加强计算机网络数据的安全管理工作力度，符合国家等保</w:t>
                  </w:r>
                  <w:r>
                    <w:rPr>
                      <w:rFonts w:ascii="仿宋_GB2312" w:hAnsi="仿宋_GB2312" w:cs="仿宋_GB2312" w:eastAsia="仿宋_GB2312"/>
                      <w:sz w:val="18"/>
                    </w:rPr>
                    <w:t>2.0要求，减少安全问题发生频率。</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≥10%</w:t>
                  </w:r>
                </w:p>
              </w:tc>
            </w:tr>
            <w:tr>
              <w:tc>
                <w:tcPr>
                  <w:tcW w:type="dxa" w:w="304"/>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生态效益</w:t>
                  </w:r>
                </w:p>
                <w:p>
                  <w:pPr>
                    <w:pStyle w:val="null3"/>
                    <w:jc w:val="center"/>
                  </w:pPr>
                  <w:r>
                    <w:rPr>
                      <w:rFonts w:ascii="仿宋_GB2312" w:hAnsi="仿宋_GB2312" w:cs="仿宋_GB2312" w:eastAsia="仿宋_GB2312"/>
                      <w:sz w:val="18"/>
                    </w:rPr>
                    <w:t>指标</w:t>
                  </w:r>
                </w:p>
              </w:tc>
              <w:tc>
                <w:tcPr>
                  <w:tcW w:type="dxa" w:w="10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通过服务商对各软硬件的运行维护，降低设备故障率，延长设备使用时间节能减排，提高资源利用率。</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≥10%</w:t>
                  </w:r>
                </w:p>
              </w:tc>
            </w:tr>
            <w:tr>
              <w:tc>
                <w:tcPr>
                  <w:tcW w:type="dxa" w:w="304"/>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3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可持续影响</w:t>
                  </w:r>
                </w:p>
                <w:p>
                  <w:pPr>
                    <w:pStyle w:val="null3"/>
                    <w:jc w:val="center"/>
                  </w:pPr>
                  <w:r>
                    <w:rPr>
                      <w:rFonts w:ascii="仿宋_GB2312" w:hAnsi="仿宋_GB2312" w:cs="仿宋_GB2312" w:eastAsia="仿宋_GB2312"/>
                      <w:sz w:val="18"/>
                    </w:rPr>
                    <w:t>指标</w:t>
                  </w:r>
                </w:p>
              </w:tc>
              <w:tc>
                <w:tcPr>
                  <w:tcW w:type="dxa" w:w="10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促进推广信息化管理，落实信息化运行维护管理体系，强化服务效能，降低服务风险。</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≥1年</w:t>
                  </w:r>
                </w:p>
              </w:tc>
            </w:tr>
            <w:tr>
              <w:tc>
                <w:tcPr>
                  <w:tcW w:type="dxa" w:w="304"/>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满意度指标</w:t>
                  </w:r>
                </w:p>
              </w:tc>
              <w:tc>
                <w:tcPr>
                  <w:tcW w:type="dxa" w:w="31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服务对象</w:t>
                  </w:r>
                </w:p>
                <w:p>
                  <w:pPr>
                    <w:pStyle w:val="null3"/>
                    <w:jc w:val="center"/>
                  </w:pPr>
                  <w:r>
                    <w:rPr>
                      <w:rFonts w:ascii="仿宋_GB2312" w:hAnsi="仿宋_GB2312" w:cs="仿宋_GB2312" w:eastAsia="仿宋_GB2312"/>
                      <w:sz w:val="18"/>
                    </w:rPr>
                    <w:t>满意度指标</w:t>
                  </w:r>
                </w:p>
              </w:tc>
              <w:tc>
                <w:tcPr>
                  <w:tcW w:type="dxa" w:w="1092"/>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中心机房及市电子政务办托管设备信息安全检测技术服务及视频会议系统运行维护服务满意度满意度</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≥90%</w:t>
                  </w:r>
                </w:p>
              </w:tc>
            </w:tr>
            <w:tr>
              <w:tc>
                <w:tcPr>
                  <w:tcW w:type="dxa" w:w="304"/>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310"/>
                  <w:vMerge/>
                  <w:tcBorders>
                    <w:top w:val="none" w:color="000000" w:sz="4"/>
                    <w:left w:val="none" w:color="000000" w:sz="4"/>
                    <w:bottom w:val="single" w:color="000000" w:sz="4"/>
                    <w:right w:val="single" w:color="000000" w:sz="4"/>
                  </w:tcBorders>
                </w:tcPr>
                <w:p/>
              </w:tc>
              <w:tc>
                <w:tcPr>
                  <w:tcW w:type="dxa" w:w="1092"/>
                  <w:gridSpan w:val="2"/>
                  <w:vMerge/>
                  <w:tcBorders>
                    <w:top w:val="none" w:color="000000" w:sz="4"/>
                    <w:left w:val="none" w:color="000000" w:sz="4"/>
                    <w:bottom w:val="single" w:color="000000" w:sz="4"/>
                    <w:right w:val="single" w:color="000000" w:sz="4"/>
                  </w:tcBorders>
                </w:tcPr>
                <w:p/>
              </w:tc>
              <w:tc>
                <w:tcPr>
                  <w:tcW w:type="dxa" w:w="59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bl>
          <w:p>
            <w:pPr>
              <w:pStyle w:val="null3"/>
              <w:ind w:firstLine="380"/>
              <w:jc w:val="both"/>
            </w:pPr>
            <w:r>
              <w:rPr>
                <w:rFonts w:ascii="仿宋_GB2312" w:hAnsi="仿宋_GB2312" w:cs="仿宋_GB2312" w:eastAsia="仿宋_GB2312"/>
                <w:sz w:val="19"/>
                <w:color w:val="000000"/>
              </w:rPr>
              <w:t>五、技术服务内容</w:t>
            </w:r>
          </w:p>
          <w:p>
            <w:pPr>
              <w:pStyle w:val="null3"/>
              <w:ind w:firstLine="380"/>
              <w:jc w:val="both"/>
            </w:pPr>
            <w:r>
              <w:rPr>
                <w:rFonts w:ascii="仿宋_GB2312" w:hAnsi="仿宋_GB2312" w:cs="仿宋_GB2312" w:eastAsia="仿宋_GB2312"/>
                <w:sz w:val="19"/>
                <w:color w:val="000000"/>
              </w:rPr>
              <w:t>1、建立健全的电子档案，对服务范围内设备及系统进行资产配置调查，梳理出资产配置列表、网络拓扑等，制定详细的资产配置列表维护计划。</w:t>
            </w:r>
          </w:p>
          <w:p>
            <w:pPr>
              <w:pStyle w:val="null3"/>
              <w:ind w:firstLine="380"/>
              <w:jc w:val="both"/>
            </w:pPr>
            <w:r>
              <w:rPr>
                <w:rFonts w:ascii="仿宋_GB2312" w:hAnsi="仿宋_GB2312" w:cs="仿宋_GB2312" w:eastAsia="仿宋_GB2312"/>
                <w:sz w:val="19"/>
                <w:color w:val="000000"/>
              </w:rPr>
              <w:t>2、对机房环境进行严格监控，确保温度，湿度符合安全需求，填写日常检查表格，及时发现设备故障及隐患，确保设备健康运行。</w:t>
            </w:r>
          </w:p>
          <w:p>
            <w:pPr>
              <w:pStyle w:val="null3"/>
              <w:ind w:firstLine="380"/>
              <w:jc w:val="both"/>
            </w:pPr>
            <w:r>
              <w:rPr>
                <w:rFonts w:ascii="仿宋_GB2312" w:hAnsi="仿宋_GB2312" w:cs="仿宋_GB2312" w:eastAsia="仿宋_GB2312"/>
                <w:sz w:val="19"/>
                <w:color w:val="000000"/>
              </w:rPr>
              <w:t>3、每季度对采购人机房硬件设备、曲江视频会议室及局机关视频会议室扩音系统、摄像系统、视频终端系统、显示系统、网络与安全系统进行巡检及数据备份，完成后三个工作日内提交《巡检报告》。</w:t>
            </w:r>
          </w:p>
          <w:p>
            <w:pPr>
              <w:pStyle w:val="null3"/>
              <w:ind w:firstLine="380"/>
              <w:jc w:val="both"/>
            </w:pPr>
            <w:r>
              <w:rPr>
                <w:rFonts w:ascii="仿宋_GB2312" w:hAnsi="仿宋_GB2312" w:cs="仿宋_GB2312" w:eastAsia="仿宋_GB2312"/>
                <w:sz w:val="19"/>
                <w:color w:val="000000"/>
              </w:rPr>
              <w:t>4、定期对会议设备进行清洁整理，确保操控间的环境符合设备运行要求；会前对设备进行联通性测试，确保会议设备运行状态良好；对局系统视频会议分会场提供技术支持。</w:t>
            </w:r>
          </w:p>
          <w:p>
            <w:pPr>
              <w:pStyle w:val="null3"/>
              <w:ind w:firstLine="380"/>
              <w:jc w:val="both"/>
            </w:pPr>
            <w:r>
              <w:rPr>
                <w:rFonts w:ascii="仿宋_GB2312" w:hAnsi="仿宋_GB2312" w:cs="仿宋_GB2312" w:eastAsia="仿宋_GB2312"/>
                <w:sz w:val="19"/>
                <w:color w:val="000000"/>
              </w:rPr>
              <w:t>5、根据响应的前提不同，提供事件驱动响应、服务请求响应和应急响应。支持范围包括产品的功能、配置、安装、调试、客户化以及使用中遇到的各种技术问题的一般性咨询，并随时处理各种突发事件。</w:t>
            </w:r>
          </w:p>
          <w:p>
            <w:pPr>
              <w:pStyle w:val="null3"/>
              <w:ind w:firstLine="380"/>
              <w:jc w:val="both"/>
            </w:pPr>
            <w:r>
              <w:rPr>
                <w:rFonts w:ascii="仿宋_GB2312" w:hAnsi="仿宋_GB2312" w:cs="仿宋_GB2312" w:eastAsia="仿宋_GB2312"/>
                <w:sz w:val="19"/>
                <w:color w:val="000000"/>
              </w:rPr>
              <w:t>6、对重点污染源自动监控系统、西安市环境遥感监测管理系统、机动车检验检测管理系统、西安市环境监测全程信息化系统等及智慧环保平台软件开展专业化信息安全检测工作，每季度检测一次，检测完成后三个工作日内提交《检测报告》。</w:t>
            </w:r>
          </w:p>
          <w:p>
            <w:pPr>
              <w:pStyle w:val="null3"/>
              <w:ind w:firstLine="380"/>
              <w:jc w:val="both"/>
            </w:pPr>
            <w:r>
              <w:rPr>
                <w:rFonts w:ascii="仿宋_GB2312" w:hAnsi="仿宋_GB2312" w:cs="仿宋_GB2312" w:eastAsia="仿宋_GB2312"/>
                <w:sz w:val="19"/>
                <w:color w:val="000000"/>
              </w:rPr>
              <w:t>7、通过安全运维排查的检测方式找到系统和网络中所暴露出的安全漏洞，并且评估目标系统和网络环境是否存在可以被攻击者真实利用的漏洞以及由此引起的风险大小，为制定相应的安全措施与解决方案提供实际的依据。</w:t>
            </w:r>
          </w:p>
          <w:p>
            <w:pPr>
              <w:pStyle w:val="null3"/>
              <w:ind w:firstLine="380"/>
              <w:jc w:val="both"/>
            </w:pPr>
            <w:r>
              <w:rPr>
                <w:rFonts w:ascii="仿宋_GB2312" w:hAnsi="仿宋_GB2312" w:cs="仿宋_GB2312" w:eastAsia="仿宋_GB2312"/>
                <w:sz w:val="19"/>
                <w:color w:val="000000"/>
              </w:rPr>
              <w:t>8、驻场人员及二线技术支持团队制定服务响应级别，对服务期间发生的服务需求、故障需求及应急需求按级别进行电话、远程或现场响应，确保服务范围内各系统的稳定运行。</w:t>
            </w:r>
          </w:p>
          <w:p>
            <w:pPr>
              <w:pStyle w:val="null3"/>
              <w:ind w:firstLine="380"/>
              <w:jc w:val="both"/>
            </w:pPr>
            <w:r>
              <w:rPr>
                <w:rFonts w:ascii="仿宋_GB2312" w:hAnsi="仿宋_GB2312" w:cs="仿宋_GB2312" w:eastAsia="仿宋_GB2312"/>
                <w:sz w:val="19"/>
                <w:color w:val="000000"/>
              </w:rPr>
              <w:t>9、对上级部门关于网络安全要求、网络安全检查结果或相关通报等工作提供技术支持和服务。</w:t>
            </w:r>
          </w:p>
          <w:p>
            <w:pPr>
              <w:pStyle w:val="null3"/>
              <w:jc w:val="both"/>
            </w:pPr>
            <w:r>
              <w:rPr>
                <w:rFonts w:ascii="仿宋_GB2312" w:hAnsi="仿宋_GB2312" w:cs="仿宋_GB2312" w:eastAsia="仿宋_GB2312"/>
                <w:sz w:val="19"/>
                <w:color w:val="000000"/>
              </w:rPr>
              <w:t xml:space="preserve">  10、经专业培训及筛选出2名技术工程师，加入到客户组织中，完成现场重复性较大或应急工作，提供5×8小时的驻场服务,服务期是</w:t>
            </w:r>
            <w:r>
              <w:rPr>
                <w:rFonts w:ascii="仿宋_GB2312" w:hAnsi="仿宋_GB2312" w:cs="仿宋_GB2312" w:eastAsia="仿宋_GB2312"/>
                <w:sz w:val="19"/>
                <w:color w:val="000000"/>
              </w:rPr>
              <w:t>自合同签订起一年。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西安市智慧环保综合指挥中心指定地点。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待项目服务期满且验收通过后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（1）本项目所属行业为：软件和信息技术服务业。 （2）因系统格式设置，合同款项支付以拟签订的合同文本中体现的内容为准。 （3）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提供具有审计资质单位出具的2024年度经审计的财务报告（成立时间至提交响应文件截止时间不足一年的可提供成立后任意时段的资产负债表），或其开标前六个月内基本开户银行出具的资信证明，或信用担保机构出具的投标担保函支机构经审计的财务报告。（以上三种形式的资料提供任何一种即可）（以上内容响应文件中提供复印件或扫描件并进行电子签章）。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tc>
        <w:tc>
          <w:tcPr>
            <w:tcW w:type="dxa" w:w="1661"/>
          </w:tcPr>
          <w:p>
            <w:pPr>
              <w:pStyle w:val="null3"/>
            </w:pPr>
            <w:r>
              <w:rPr>
                <w:rFonts w:ascii="仿宋_GB2312" w:hAnsi="仿宋_GB2312" w:cs="仿宋_GB2312" w:eastAsia="仿宋_GB2312"/>
              </w:rPr>
              <w:t>健全的财务会计制度的证明材料.docx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履行本合同所必需的设备和专业技术能力的书面声明.docx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 为记录名单”。</w:t>
            </w:r>
          </w:p>
        </w:tc>
        <w:tc>
          <w:tcPr>
            <w:tcW w:type="dxa" w:w="1661"/>
          </w:tcPr>
          <w:p>
            <w:pPr>
              <w:pStyle w:val="null3"/>
            </w:pPr>
            <w:r>
              <w:rPr>
                <w:rFonts w:ascii="仿宋_GB2312" w:hAnsi="仿宋_GB2312" w:cs="仿宋_GB2312" w:eastAsia="仿宋_GB2312"/>
              </w:rPr>
              <w:t>信誉书面声明.docx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 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合同条款响应偏离表</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内容至少包括①对本项目工作内容的理解及背景分析；②阐述机房环境、设备检测范围及维护流程；③信息安全检测及数据备份保障措施；④数据管理及定期巡检安排；⑤发生故障的应急预案；⑥维护期内的保密制度等。以上内容专门针对本项目且符合本项目实际需求的得30分，每缺一项内容扣5分 , 若上述内容存在瑕疵，每出现一处瑕疵扣1.5分，扣完为止。“瑕疵”指内容明显错误，或内容不完整或缺少关键点，或不适用本项目特性、套用其他项目内容或内容不能满足本项目实际需求等情形。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项目实施进度计划内容至少包括①项目实施进度目标分析；②进度计划安排；③项目进度保障措施等。以上内容专门针对本项目且符合本项目实际需求的得12分，每缺一项内容扣4分 , 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服务保证措施</w:t>
            </w:r>
          </w:p>
        </w:tc>
        <w:tc>
          <w:tcPr>
            <w:tcW w:type="dxa" w:w="2492"/>
          </w:tcPr>
          <w:p>
            <w:pPr>
              <w:pStyle w:val="null3"/>
            </w:pPr>
            <w:r>
              <w:rPr>
                <w:rFonts w:ascii="仿宋_GB2312" w:hAnsi="仿宋_GB2312" w:cs="仿宋_GB2312" w:eastAsia="仿宋_GB2312"/>
              </w:rPr>
              <w:t>服务保证措施内容至少包括①质量保障方案；②有完善的预警机制及监控手段；③故障响应时间、服务方式；④提供相应的培训方案等。 以上内容专门针对本项目且符合本项目实际需求的得16分，每缺一项内容扣4分 , 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项目团队配置内容至少包括①团队组织人员配置明细（需列明驻场服务人员）；②团队人员管理制度；③各专业岗位配置；④配置人员资格、职称及工作经验等。 以上内容专门针对本项目且符合本项目实际需求的得16分，每缺一项内容扣4分 , 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1、供应商具有ITSS信息技术服务运行维护标准符合性证书叁级及以上证书计2分，不提供不计分； 2、供应商具有ISO20000信息技术服务管理体系认证证书计2分，不提供不计分； 3、供应商具有ISO27001信息安全管理体系认证证书计2分，不提供不计分。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供应商具有2022年01月01日至今（以合同签订时间为准）的类似项目业绩。每提供一项得2分，满分10分。 注：响应文件中提供合同复印件加盖供应商公章。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满足磋商文件内容及技术要求且最终磋商报价最低的投标价为评审基准价，其价格分为满分。 磋商报价得分=（评审基准价／最终磋商报价）×价格权值×100。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详见附件：健全的财务会计制度的证明材料.docx</w:t>
      </w:r>
    </w:p>
    <w:p>
      <w:pPr>
        <w:pStyle w:val="null3"/>
        <w:ind w:firstLine="960"/>
      </w:pPr>
      <w:r>
        <w:rPr>
          <w:rFonts w:ascii="仿宋_GB2312" w:hAnsi="仿宋_GB2312" w:cs="仿宋_GB2312" w:eastAsia="仿宋_GB2312"/>
        </w:rPr>
        <w:t>详见附件：依法缴纳税收和社会保障资金.docx</w:t>
      </w:r>
    </w:p>
    <w:p>
      <w:pPr>
        <w:pStyle w:val="null3"/>
        <w:ind w:firstLine="960"/>
      </w:pPr>
      <w:r>
        <w:rPr>
          <w:rFonts w:ascii="仿宋_GB2312" w:hAnsi="仿宋_GB2312" w:cs="仿宋_GB2312" w:eastAsia="仿宋_GB2312"/>
        </w:rPr>
        <w:t>详见附件：履行本合同所必需的设备和专业技术能力的书面声明.docx</w:t>
      </w:r>
    </w:p>
    <w:p>
      <w:pPr>
        <w:pStyle w:val="null3"/>
        <w:ind w:firstLine="960"/>
      </w:pPr>
      <w:r>
        <w:rPr>
          <w:rFonts w:ascii="仿宋_GB2312" w:hAnsi="仿宋_GB2312" w:cs="仿宋_GB2312" w:eastAsia="仿宋_GB2312"/>
        </w:rPr>
        <w:t>详见附件：无重大违法记录书面声明.docx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详见附件：信誉书面声明.docx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