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322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1"/>
          <w:rFonts w:hAnsi="Times New Roman" w:cs="Times New Roman"/>
          <w:b/>
          <w:bCs/>
          <w:sz w:val="32"/>
          <w:szCs w:val="32"/>
        </w:rPr>
      </w:pPr>
      <w:bookmarkStart w:id="0" w:name="_Toc20990"/>
      <w:r>
        <w:rPr>
          <w:rStyle w:val="11"/>
          <w:rFonts w:hint="eastAsia" w:ascii="仿宋_GB2312" w:hAnsi="仿宋_GB2312" w:eastAsia="仿宋_GB2312" w:cs="仿宋_GB2312"/>
          <w:b/>
          <w:bCs/>
          <w:sz w:val="32"/>
          <w:szCs w:val="32"/>
        </w:rPr>
        <w:t>服务方案响应说明</w:t>
      </w:r>
    </w:p>
    <w:p w14:paraId="655B771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Style w:val="11"/>
          <w:rFonts w:hint="eastAsia" w:ascii="仿宋_GB2312" w:hAnsi="仿宋_GB2312" w:eastAsia="仿宋_GB2312" w:cs="仿宋_GB2312"/>
          <w:b/>
          <w:bCs/>
          <w:szCs w:val="28"/>
        </w:rPr>
        <w:t>一、服务</w:t>
      </w:r>
      <w:r>
        <w:rPr>
          <w:rStyle w:val="11"/>
          <w:rFonts w:hint="eastAsia" w:ascii="仿宋_GB2312" w:hAnsi="仿宋_GB2312" w:eastAsia="仿宋_GB2312" w:cs="仿宋_GB2312"/>
          <w:b/>
          <w:bCs/>
          <w:szCs w:val="28"/>
          <w:lang w:val="zh-CN"/>
        </w:rPr>
        <w:t>条款</w:t>
      </w:r>
      <w:r>
        <w:rPr>
          <w:rStyle w:val="11"/>
          <w:rFonts w:hint="eastAsia" w:ascii="仿宋_GB2312" w:hAnsi="仿宋_GB2312" w:eastAsia="仿宋_GB2312" w:cs="仿宋_GB2312"/>
          <w:b/>
          <w:bCs/>
          <w:szCs w:val="28"/>
        </w:rPr>
        <w:t>响应</w:t>
      </w:r>
      <w:r>
        <w:rPr>
          <w:rStyle w:val="11"/>
          <w:rFonts w:hint="eastAsia" w:ascii="仿宋_GB2312" w:hAnsi="仿宋_GB2312" w:eastAsia="仿宋_GB2312" w:cs="仿宋_GB2312"/>
          <w:b/>
          <w:bCs/>
          <w:szCs w:val="28"/>
          <w:lang w:val="zh-CN"/>
        </w:rPr>
        <w:t>偏离表</w:t>
      </w:r>
      <w:bookmarkEnd w:id="0"/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7F1FD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vAlign w:val="center"/>
          </w:tcPr>
          <w:p w14:paraId="53B78AA9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520" w:type="dxa"/>
            <w:vAlign w:val="center"/>
          </w:tcPr>
          <w:p w14:paraId="60587259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磋商文件</w:t>
            </w:r>
          </w:p>
          <w:p w14:paraId="4BA9F086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服务需求条款</w:t>
            </w:r>
          </w:p>
        </w:tc>
        <w:tc>
          <w:tcPr>
            <w:tcW w:w="2625" w:type="dxa"/>
            <w:vAlign w:val="center"/>
          </w:tcPr>
          <w:p w14:paraId="71257FFE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响应文件</w:t>
            </w:r>
          </w:p>
          <w:p w14:paraId="5B9CD152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服务条款响应</w:t>
            </w:r>
          </w:p>
        </w:tc>
        <w:tc>
          <w:tcPr>
            <w:tcW w:w="2075" w:type="dxa"/>
            <w:vAlign w:val="center"/>
          </w:tcPr>
          <w:p w14:paraId="287CCB9A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偏离</w:t>
            </w:r>
          </w:p>
          <w:p w14:paraId="786CB580">
            <w:pPr>
              <w:adjustRightInd w:val="0"/>
              <w:snapToGrid w:val="0"/>
              <w:ind w:right="23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及其影响</w:t>
            </w:r>
          </w:p>
        </w:tc>
      </w:tr>
      <w:tr w14:paraId="383BF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70E834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63E475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58848A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1580C0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7E95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72E1100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3D676A5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3A2439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117107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50C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4BD4CF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777EE77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16A9C8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2BB73C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3E1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0B648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6C052F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2A066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55BD99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4E22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6CDD88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1B5268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260F4D8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053EB2C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F4A9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</w:tcPr>
          <w:p w14:paraId="345F17D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14:paraId="312D89C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</w:tcPr>
          <w:p w14:paraId="547EF3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</w:tcPr>
          <w:p w14:paraId="0FD599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ECAEE2C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说明：1.本表只填写响应文件中与磋商文件有偏离(包括正偏离和负偏离）的内容，响应文件中服务条款响应与磋商文件第三章3.2.2要求完全一致的。不用在此表中列出，但必须提供空白表。</w:t>
      </w:r>
    </w:p>
    <w:p w14:paraId="75233AD8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2.偏离填写:正偏离、负偏离、相同。</w:t>
      </w:r>
    </w:p>
    <w:p w14:paraId="64A1CCE1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3.供应商必须据实填写，不得虚假响应，否则将取消其评审或成交资格，并按有关规定进处罚。</w:t>
      </w:r>
    </w:p>
    <w:p w14:paraId="368373B4">
      <w:pPr>
        <w:spacing w:line="540" w:lineRule="exact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</w:p>
    <w:p w14:paraId="27606C49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</w:rPr>
      </w:pPr>
    </w:p>
    <w:p w14:paraId="0B44D82D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</w:rPr>
      </w:pPr>
    </w:p>
    <w:p w14:paraId="6399CB4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B767027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9D746C8">
      <w:pPr>
        <w:adjustRightInd w:val="0"/>
        <w:snapToGrid w:val="0"/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6ACCC218">
      <w:r>
        <w:br w:type="page"/>
      </w:r>
    </w:p>
    <w:p w14:paraId="39892B5F">
      <w:pPr>
        <w:adjustRightInd w:val="0"/>
        <w:snapToGrid w:val="0"/>
        <w:spacing w:line="360" w:lineRule="auto"/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二、响应方案</w:t>
      </w:r>
    </w:p>
    <w:p w14:paraId="4FE916A9">
      <w:pPr>
        <w:spacing w:line="540" w:lineRule="exact"/>
        <w:ind w:right="-197" w:rightChars="-94" w:firstLine="560" w:firstLineChars="200"/>
        <w:jc w:val="left"/>
      </w:pPr>
      <w:r>
        <w:rPr>
          <w:rFonts w:hint="eastAsia" w:ascii="仿宋_GB2312" w:eastAsia="仿宋_GB2312"/>
          <w:sz w:val="28"/>
          <w:szCs w:val="28"/>
        </w:rPr>
        <w:t>格式自定，参照磋商文件第六章评审细则及标准中各条款的要求，结合第三章服务要求编制响应方案。</w:t>
      </w:r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D4C2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A0D4C2C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2025-08-21T01:43:00Z</dcterms:created>
  <dc:creator>华采</dc:creator>
  <cp:lastModifiedBy>华采</cp:lastModifiedBy>
  <dcterms:modified xsi:type="dcterms:W3CDTF">2025-08-21T01:43:41Z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CA8D1B5FE3224816AAA44304396D1EEA_11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