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版本号：DX2025-22020250822001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1.5TMRI维保服务项目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DX2025-220</w:t>
      </w:r>
      <w:r>
        <w:br/>
      </w:r>
      <w:r>
        <w:br/>
      </w:r>
      <w:r>
        <w:br/>
      </w:r>
    </w:p>
    <w:p>
      <w:pPr>
        <w:pStyle w:val="null3"/>
        <w:jc w:val="center"/>
        <w:outlineLvl w:val="2"/>
      </w:pPr>
      <w:r>
        <w:rPr>
          <w:rFonts w:ascii="仿宋_GB2312" w:hAnsi="仿宋_GB2312" w:cs="仿宋_GB2312" w:eastAsia="仿宋_GB2312"/>
          <w:sz w:val="28"/>
          <w:b/>
        </w:rPr>
        <w:t>西安市第三医院</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西安市第三医院</w:t>
      </w:r>
      <w:r>
        <w:rPr>
          <w:rFonts w:ascii="仿宋_GB2312" w:hAnsi="仿宋_GB2312" w:cs="仿宋_GB2312" w:eastAsia="仿宋_GB2312"/>
        </w:rPr>
        <w:t>委托，拟对</w:t>
      </w:r>
      <w:r>
        <w:rPr>
          <w:rFonts w:ascii="仿宋_GB2312" w:hAnsi="仿宋_GB2312" w:cs="仿宋_GB2312" w:eastAsia="仿宋_GB2312"/>
        </w:rPr>
        <w:t>1.5TMRI维保服务项目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DX2025-220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1.5TMRI维保服务项目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西安市第三医院1.5T MRI维保服务项目。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 ：提供统一社会信用代码的营业执照或其他组织经营的合法凭证或自然人的提供身份证明文件；</w:t>
      </w:r>
    </w:p>
    <w:p>
      <w:pPr>
        <w:pStyle w:val="null3"/>
      </w:pPr>
      <w:r>
        <w:rPr>
          <w:rFonts w:ascii="仿宋_GB2312" w:hAnsi="仿宋_GB2312" w:cs="仿宋_GB2312" w:eastAsia="仿宋_GB2312"/>
        </w:rPr>
        <w:t>2、法定代表人授权书 ：法定代表人参加磋商的，须提供法定代表人身份证明；法定代表人授权他人参加磋商的，须提供法定代表人授权委托书，被授权代表本单位证明：磋商截止前近三个月任意一个月的社会保险缴纳证明。（法人参加只需提供法定代表人身份证明）；</w:t>
      </w:r>
    </w:p>
    <w:p>
      <w:pPr>
        <w:pStyle w:val="null3"/>
      </w:pPr>
      <w:r>
        <w:rPr>
          <w:rFonts w:ascii="仿宋_GB2312" w:hAnsi="仿宋_GB2312" w:cs="仿宋_GB2312" w:eastAsia="仿宋_GB2312"/>
        </w:rPr>
        <w:t>3、财务状况报告 ：提供2024年度的审计报告（包括四表一注，即资产负债表、利润表、现金流量表、所有者权益变动表及其附注）；事业法人提供部门决算报告；或在开标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p>
    <w:p>
      <w:pPr>
        <w:pStyle w:val="null3"/>
      </w:pPr>
      <w:r>
        <w:rPr>
          <w:rFonts w:ascii="仿宋_GB2312" w:hAnsi="仿宋_GB2312" w:cs="仿宋_GB2312" w:eastAsia="仿宋_GB2312"/>
        </w:rPr>
        <w:t>4、社保保障资金缴纳证明 ：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诚信声明；以上二种形式的资料提供任何一种即可；</w:t>
      </w:r>
    </w:p>
    <w:p>
      <w:pPr>
        <w:pStyle w:val="null3"/>
      </w:pPr>
      <w:r>
        <w:rPr>
          <w:rFonts w:ascii="仿宋_GB2312" w:hAnsi="仿宋_GB2312" w:cs="仿宋_GB2312" w:eastAsia="仿宋_GB2312"/>
        </w:rPr>
        <w:t>5、税收缴纳证明 ：提供缴费所属日期为投标截止时间前12个月内任意一个月（投标截止时间当月不计入）的增值税（或所得税）缴费凭据或税务机关出具的完税证明/在法规范围内不需提供的应出具书面说明和证明文件；或具有依法缴纳税收的诚信声明；以上二种形式的资料提供任何一种即可</w:t>
      </w:r>
    </w:p>
    <w:p>
      <w:pPr>
        <w:pStyle w:val="null3"/>
      </w:pPr>
      <w:r>
        <w:rPr>
          <w:rFonts w:ascii="仿宋_GB2312" w:hAnsi="仿宋_GB2312" w:cs="仿宋_GB2312" w:eastAsia="仿宋_GB2312"/>
        </w:rPr>
        <w:t>6、无重大违法记录声明：参加政府采购活动前3年内，在经营活动中没有重大违法记录的书面声明;</w:t>
      </w:r>
    </w:p>
    <w:p>
      <w:pPr>
        <w:pStyle w:val="null3"/>
      </w:pPr>
      <w:r>
        <w:rPr>
          <w:rFonts w:ascii="仿宋_GB2312" w:hAnsi="仿宋_GB2312" w:cs="仿宋_GB2312" w:eastAsia="仿宋_GB2312"/>
        </w:rPr>
        <w:t>7、信用记录 ：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8、履行合同的书面承诺 ：承诺具备履行合同所必需的设备和专业技术能力;</w:t>
      </w:r>
    </w:p>
    <w:p>
      <w:pPr>
        <w:pStyle w:val="null3"/>
      </w:pPr>
      <w:r>
        <w:rPr>
          <w:rFonts w:ascii="仿宋_GB2312" w:hAnsi="仿宋_GB2312" w:cs="仿宋_GB2312" w:eastAsia="仿宋_GB2312"/>
        </w:rPr>
        <w:t>9、承诺书 ：供应商与交叉控股股东、交叉兼任高管的其他供应商未同时参与该项目投标，在投标前3年内的招投标和政府采购活动中无以行贿手段谋取中标的行为，并在本次政府采购活动中，不以向采购人、代理机构、评审人员提供利益和好处谋取中标；无采购单位和招标代理机构职工在该单位兼职的情况，不向采购单位和代理机构相关人员输送利益等行贿行为，其公司非采购人单位职工和家属投资开办的公司，其法人、股东、高级管理人员也不是采购人单位职工及家属；未被列入市卫健系统或西安市第三医院“黑名单”（提供承诺书）；</w:t>
      </w:r>
    </w:p>
    <w:p>
      <w:pPr>
        <w:pStyle w:val="null3"/>
      </w:pPr>
      <w:r>
        <w:rPr>
          <w:rFonts w:ascii="仿宋_GB2312" w:hAnsi="仿宋_GB2312" w:cs="仿宋_GB2312" w:eastAsia="仿宋_GB2312"/>
        </w:rPr>
        <w:t>10、供应商与采购人关联关系 ：本项目不接受由西安市第三医院职工及其亲属投资开办的企业参加本单位的政府采购活动（提供承诺函）;</w:t>
      </w:r>
    </w:p>
    <w:p>
      <w:pPr>
        <w:pStyle w:val="null3"/>
      </w:pPr>
      <w:r>
        <w:rPr>
          <w:rFonts w:ascii="仿宋_GB2312" w:hAnsi="仿宋_GB2312" w:cs="仿宋_GB2312" w:eastAsia="仿宋_GB2312"/>
        </w:rPr>
        <w:t>11、非联合体声明函 ：本项目不接受联合体投标，提供非联合体声明函。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西安市第三医院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陕西省西安市未央区凤城三路东路十号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029-61816113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聂肖、张亚娜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计价格[2002]1980号）、《国家发展改革委办公厅关于招标代理服务收费有关问题的通知》（发改价格[2003]857号）、《国家发展改革委关于进一步放开建设项目专业服务价格的通知》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西安市第三医院</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西安市第三医院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西安市第三医院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联系人：张亚娜、聂肖</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地址：西安市经济技术开发区凤城十一路与文景路十字文景商务广场B座8层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为确保为医院医学影像中心在用联影1.5T MRI uMR588核磁设备运转正常且满足临床科室使用需求。同时按照 2025年政采项目采购推进计划，医学影像中心联影1.5T MRI uMR588核磁机维保项目进行采购。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1.5T MRI 维保服务项目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标的名称：1.5T MRI 维保服务项目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一、项目概况</w:t>
            </w:r>
          </w:p>
          <w:p>
            <w:pPr>
              <w:pStyle w:val="null3"/>
              <w:ind w:firstLine="560"/>
              <w:jc w:val="both"/>
            </w:pPr>
            <w:r>
              <w:rPr>
                <w:rFonts w:ascii="仿宋_GB2312" w:hAnsi="仿宋_GB2312" w:cs="仿宋_GB2312" w:eastAsia="仿宋_GB2312"/>
                <w:sz w:val="28"/>
              </w:rPr>
              <w:t>为确保为医院医学影像中心在用联影</w:t>
            </w:r>
            <w:r>
              <w:rPr>
                <w:rFonts w:ascii="仿宋_GB2312" w:hAnsi="仿宋_GB2312" w:cs="仿宋_GB2312" w:eastAsia="仿宋_GB2312"/>
                <w:sz w:val="28"/>
              </w:rPr>
              <w:t>1.5T MRI uMR588核磁设备运转正常且满足临床科室使用需求。同时按照 2025年政采项目采购推进计划，医学影像中心联影1.5T MRI uMR588核磁机维保项目进行采购。</w:t>
            </w:r>
          </w:p>
          <w:p>
            <w:pPr>
              <w:pStyle w:val="null3"/>
              <w:ind w:firstLine="560"/>
              <w:jc w:val="both"/>
            </w:pPr>
            <w:r>
              <w:rPr>
                <w:rFonts w:ascii="仿宋_GB2312" w:hAnsi="仿宋_GB2312" w:cs="仿宋_GB2312" w:eastAsia="仿宋_GB2312"/>
                <w:sz w:val="28"/>
              </w:rPr>
              <w:t>二、服务内容</w:t>
            </w:r>
          </w:p>
          <w:p>
            <w:pPr>
              <w:pStyle w:val="null3"/>
              <w:ind w:firstLine="560"/>
              <w:jc w:val="both"/>
            </w:pPr>
            <w:r>
              <w:rPr>
                <w:rFonts w:ascii="仿宋_GB2312" w:hAnsi="仿宋_GB2312" w:cs="仿宋_GB2312" w:eastAsia="仿宋_GB2312"/>
                <w:sz w:val="28"/>
              </w:rPr>
              <w:t>服务内容</w:t>
            </w:r>
            <w:r>
              <w:rPr>
                <w:rFonts w:ascii="仿宋_GB2312" w:hAnsi="仿宋_GB2312" w:cs="仿宋_GB2312" w:eastAsia="仿宋_GB2312"/>
                <w:sz w:val="28"/>
              </w:rPr>
              <w:t>：</w:t>
            </w:r>
            <w:r>
              <w:rPr>
                <w:rFonts w:ascii="仿宋_GB2312" w:hAnsi="仿宋_GB2312" w:cs="仿宋_GB2312" w:eastAsia="仿宋_GB2312"/>
                <w:sz w:val="28"/>
              </w:rPr>
              <w:t>对影像中心联影</w:t>
            </w:r>
            <w:r>
              <w:rPr>
                <w:rFonts w:ascii="仿宋_GB2312" w:hAnsi="仿宋_GB2312" w:cs="仿宋_GB2312" w:eastAsia="仿宋_GB2312"/>
                <w:sz w:val="28"/>
              </w:rPr>
              <w:t>1.5T MRI uMR588维修保养</w:t>
            </w:r>
          </w:p>
          <w:p>
            <w:pPr>
              <w:pStyle w:val="null3"/>
              <w:ind w:firstLine="560"/>
              <w:jc w:val="both"/>
            </w:pPr>
            <w:r>
              <w:rPr>
                <w:rFonts w:ascii="仿宋_GB2312" w:hAnsi="仿宋_GB2312" w:cs="仿宋_GB2312" w:eastAsia="仿宋_GB2312"/>
                <w:sz w:val="28"/>
              </w:rPr>
              <w:t>保修范围：紧急人工</w:t>
            </w:r>
            <w:r>
              <w:rPr>
                <w:rFonts w:ascii="仿宋_GB2312" w:hAnsi="仿宋_GB2312" w:cs="仿宋_GB2312" w:eastAsia="仿宋_GB2312"/>
                <w:sz w:val="28"/>
              </w:rPr>
              <w:t>+全部硬件及软件+液氦补充+工作站+定期保养+开机天数保障+线圈（不包含第三方产品，如水冷、空调等）</w:t>
            </w:r>
          </w:p>
          <w:p>
            <w:pPr>
              <w:pStyle w:val="null3"/>
              <w:ind w:firstLine="560"/>
              <w:jc w:val="both"/>
            </w:pPr>
            <w:r>
              <w:rPr>
                <w:rFonts w:ascii="仿宋_GB2312" w:hAnsi="仿宋_GB2312" w:cs="仿宋_GB2312" w:eastAsia="仿宋_GB2312"/>
                <w:sz w:val="28"/>
              </w:rPr>
              <w:t>三、技术要求</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、配件更换：提供维修设备所需的所有配件。承担相应的人工费、运输费、交通费、安装调试费用等工作站：提供工作站的保修</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定期维护：根据设备的运行状况，提供每年不少于两次的定期预防性维护，提供原厂优质保养耗材，并定期清理设备过滤网。维护范围包括：安全性、图像质量、系统性能方面的检测、调试及校准，电气环境监测、必要的机械检查和设备清洁等，以及非紧急性质的补救性维修，并定期对设备的数据进行备份，确保系统能按照制造商的产品规格运行的标准来维修。</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、合法及时获取并实施原厂系统安全性软硬件改版通知，保修期内免费提供设备（含独立工作站）的系统软件升级补丁和技术支持，保证所有系统软件为最新版本。</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、提供数字化远程诊断与维修服务，对设备运行情况实时监测，并提前预防故障发生</w:t>
            </w:r>
          </w:p>
          <w:p>
            <w:pPr>
              <w:pStyle w:val="null3"/>
              <w:ind w:firstLine="560"/>
              <w:jc w:val="both"/>
            </w:pPr>
            <w:r>
              <w:rPr>
                <w:rFonts w:ascii="仿宋_GB2312" w:hAnsi="仿宋_GB2312" w:cs="仿宋_GB2312" w:eastAsia="仿宋_GB2312"/>
                <w:sz w:val="28"/>
              </w:rPr>
              <w:t>四、服务要求</w:t>
            </w:r>
          </w:p>
          <w:p>
            <w:pPr>
              <w:pStyle w:val="null3"/>
              <w:ind w:firstLine="560"/>
              <w:jc w:val="both"/>
            </w:pPr>
            <w:r>
              <w:rPr>
                <w:rFonts w:ascii="仿宋_GB2312" w:hAnsi="仿宋_GB2312" w:cs="仿宋_GB2312" w:eastAsia="仿宋_GB2312"/>
                <w:sz w:val="28"/>
              </w:rPr>
              <w:t>1.一年内四次常规保养和维护，保养维护的内容：机器清洁、性能测试及校准等。</w:t>
            </w:r>
          </w:p>
          <w:p>
            <w:pPr>
              <w:pStyle w:val="null3"/>
              <w:ind w:firstLine="560"/>
              <w:jc w:val="both"/>
            </w:pPr>
            <w:r>
              <w:rPr>
                <w:rFonts w:ascii="仿宋_GB2312" w:hAnsi="仿宋_GB2312" w:cs="仿宋_GB2312" w:eastAsia="仿宋_GB2312"/>
                <w:sz w:val="28"/>
              </w:rPr>
              <w:t>2.提供365天服务，有维修热线支持，提供专人负责，接到医院报修电话后，2个小时内响应，12小时内到达现场维修。</w:t>
            </w:r>
          </w:p>
          <w:p>
            <w:pPr>
              <w:pStyle w:val="null3"/>
              <w:ind w:firstLine="560"/>
              <w:jc w:val="both"/>
            </w:pPr>
            <w:r>
              <w:rPr>
                <w:rFonts w:ascii="仿宋_GB2312" w:hAnsi="仿宋_GB2312" w:cs="仿宋_GB2312" w:eastAsia="仿宋_GB2312"/>
                <w:sz w:val="28"/>
              </w:rPr>
              <w:t>3.为本项目配备的工程师≥2名，维修工程师必须具有厂家培训或考核的资质服务证书。</w:t>
            </w:r>
          </w:p>
          <w:p>
            <w:pPr>
              <w:pStyle w:val="null3"/>
              <w:ind w:firstLine="560"/>
              <w:jc w:val="both"/>
            </w:pPr>
            <w:r>
              <w:rPr>
                <w:rFonts w:ascii="仿宋_GB2312" w:hAnsi="仿宋_GB2312" w:cs="仿宋_GB2312" w:eastAsia="仿宋_GB2312"/>
                <w:sz w:val="28"/>
              </w:rPr>
              <w:t>4.协助医院完成年度省、市市场质量监督管理局的设备技术性能检测工作。</w:t>
            </w:r>
          </w:p>
          <w:p>
            <w:pPr>
              <w:pStyle w:val="null3"/>
              <w:ind w:firstLine="560"/>
              <w:jc w:val="both"/>
            </w:pPr>
            <w:r>
              <w:rPr>
                <w:rFonts w:ascii="仿宋_GB2312" w:hAnsi="仿宋_GB2312" w:cs="仿宋_GB2312" w:eastAsia="仿宋_GB2312"/>
                <w:sz w:val="28"/>
              </w:rPr>
              <w:t>5.设备开机率≥95%（365天日历日计算）；单次停机时间不超过72小时，停机每超过1天，保修期顺延5天</w:t>
            </w:r>
          </w:p>
          <w:p>
            <w:pPr>
              <w:pStyle w:val="null3"/>
              <w:ind w:firstLine="560"/>
              <w:jc w:val="both"/>
            </w:pPr>
            <w:r>
              <w:rPr>
                <w:rFonts w:ascii="仿宋_GB2312" w:hAnsi="仿宋_GB2312" w:cs="仿宋_GB2312" w:eastAsia="仿宋_GB2312"/>
                <w:sz w:val="28"/>
              </w:rPr>
              <w:t>6.维保完成后提供维保服务报告书，每半年一份，交于院方管理。</w:t>
            </w:r>
          </w:p>
          <w:p>
            <w:pPr>
              <w:pStyle w:val="null3"/>
              <w:ind w:firstLine="560"/>
              <w:jc w:val="both"/>
            </w:pPr>
            <w:r>
              <w:rPr>
                <w:rFonts w:ascii="仿宋_GB2312" w:hAnsi="仿宋_GB2312" w:cs="仿宋_GB2312" w:eastAsia="仿宋_GB2312"/>
                <w:sz w:val="28"/>
              </w:rPr>
              <w:t>五、商务要求</w:t>
            </w:r>
          </w:p>
          <w:p>
            <w:pPr>
              <w:pStyle w:val="null3"/>
              <w:ind w:firstLine="560"/>
              <w:jc w:val="both"/>
            </w:pPr>
            <w:r>
              <w:rPr>
                <w:rFonts w:ascii="仿宋_GB2312" w:hAnsi="仿宋_GB2312" w:cs="仿宋_GB2312" w:eastAsia="仿宋_GB2312"/>
                <w:sz w:val="28"/>
              </w:rPr>
              <w:t>（一）服务期限：</w:t>
            </w:r>
          </w:p>
          <w:p>
            <w:pPr>
              <w:pStyle w:val="null3"/>
              <w:ind w:firstLine="560"/>
              <w:jc w:val="both"/>
            </w:pPr>
            <w:r>
              <w:rPr>
                <w:rFonts w:ascii="仿宋_GB2312" w:hAnsi="仿宋_GB2312" w:cs="仿宋_GB2312" w:eastAsia="仿宋_GB2312"/>
                <w:sz w:val="28"/>
              </w:rPr>
              <w:t>合同签订盖章之日起服务一年。</w:t>
            </w:r>
          </w:p>
          <w:p>
            <w:pPr>
              <w:pStyle w:val="null3"/>
              <w:ind w:firstLine="560"/>
              <w:jc w:val="both"/>
            </w:pPr>
            <w:r>
              <w:rPr>
                <w:rFonts w:ascii="仿宋_GB2312" w:hAnsi="仿宋_GB2312" w:cs="仿宋_GB2312" w:eastAsia="仿宋_GB2312"/>
                <w:sz w:val="28"/>
              </w:rPr>
              <w:t>（二）款项结算</w:t>
            </w:r>
          </w:p>
          <w:p>
            <w:pPr>
              <w:pStyle w:val="null3"/>
              <w:jc w:val="both"/>
            </w:pPr>
            <w:r>
              <w:rPr>
                <w:rFonts w:ascii="仿宋_GB2312" w:hAnsi="仿宋_GB2312" w:cs="仿宋_GB2312" w:eastAsia="仿宋_GB2312"/>
                <w:sz w:val="28"/>
              </w:rPr>
              <w:t xml:space="preserve">    合同生效后，供应商开票</w:t>
            </w:r>
            <w:r>
              <w:rPr>
                <w:rFonts w:ascii="仿宋_GB2312" w:hAnsi="仿宋_GB2312" w:cs="仿宋_GB2312" w:eastAsia="仿宋_GB2312"/>
                <w:sz w:val="28"/>
              </w:rPr>
              <w:t>30日内支付45%，待服务期至6个月提供维保报告后支付45%，服务期满并经甲方验收合格后且提供后期服务报告支付余款10%</w:t>
            </w:r>
            <w:r>
              <w:rPr>
                <w:rFonts w:ascii="仿宋_GB2312" w:hAnsi="仿宋_GB2312" w:cs="仿宋_GB2312" w:eastAsia="仿宋_GB2312"/>
                <w:sz w:val="28"/>
              </w:rPr>
              <w:t>(服务期一年)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为本项目配备原制造商认证的工程师数量≥2名，提供相关资质服务证书。</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根据项目情况配备相关设备。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合同签订盖章之日起服务一年。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设备运行正常状态前提下，合同签订后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服务期满，提供维保报告后（具体支付日期以合同为准）</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服务期满并经甲方验收合格后，且提供服务报告</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2.供应商应自协商文件递交截止时间起至磋商结束，保持在线状态。3.本项目付款方式以合同中结算及付款方式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参加磋商的，须提供法定代表人身份证明；法定代表人授权他人参加磋商的，须提供法定代表人授权委托书，被授权代表本单位证明：磋商截止前近三个月任意一个月的社会保险缴纳证明。（法人参加只需提供法定代表人身份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审计报告（包括四表一注，即资产负债表、利润表、现金流量表、所有者权益变动表及其附注）；事业法人提供部门决算报告；或在开标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社保保障资金缴纳证明</w:t>
            </w:r>
          </w:p>
        </w:tc>
        <w:tc>
          <w:tcPr>
            <w:tcW w:type="dxa" w:w="3322"/>
          </w:tcPr>
          <w:p>
            <w:pPr>
              <w:pStyle w:val="null3"/>
            </w:pPr>
            <w:r>
              <w:rPr>
                <w:rFonts w:ascii="仿宋_GB2312" w:hAnsi="仿宋_GB2312" w:cs="仿宋_GB2312" w:eastAsia="仿宋_GB2312"/>
              </w:rPr>
              <w:t>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诚信声明；以上二种形式的资料提供任何一种即可；</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缴费所属日期为投标截止时间前12个月内任意一个月（投标截止时间当月不计入）的增值税（或所得税）缴费凭据或税务机关出具的完税证明/在法规范围内不需提供的应出具书面说明和证明文件；或具有依法缴纳税收的诚信声明；以上二种形式的资料提供任何一种即可</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履行合同的书面承诺</w:t>
            </w:r>
          </w:p>
        </w:tc>
        <w:tc>
          <w:tcPr>
            <w:tcW w:type="dxa" w:w="3322"/>
          </w:tcPr>
          <w:p>
            <w:pPr>
              <w:pStyle w:val="null3"/>
            </w:pPr>
            <w:r>
              <w:rPr>
                <w:rFonts w:ascii="仿宋_GB2312" w:hAnsi="仿宋_GB2312" w:cs="仿宋_GB2312" w:eastAsia="仿宋_GB2312"/>
              </w:rPr>
              <w:t>承诺具备履行合同所必需的设备和专业技术能力;</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供应商与交叉控股股东、交叉兼任高管的其他供应商未同时参与该项目投标，在投标前3年内的招投标和政府采购活动中无以行贿手段谋取中标的行为，并在本次政府采购活动中，不以向采购人、代理机构、评审人员提供利益和好处谋取中标；无采购单位和招标代理机构职工在该单位兼职的情况，不向采购单位和代理机构相关人员输送利益等行贿行为，其公司非采购人单位职工和家属投资开办的公司，其法人、股东、高级管理人员也不是采购人单位职工及家属；未被列入市卫健系统或西安市第三医院“黑名单”（提供承诺书）；</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供应商与采购人关联关系</w:t>
            </w:r>
          </w:p>
        </w:tc>
        <w:tc>
          <w:tcPr>
            <w:tcW w:type="dxa" w:w="3322"/>
          </w:tcPr>
          <w:p>
            <w:pPr>
              <w:pStyle w:val="null3"/>
            </w:pPr>
            <w:r>
              <w:rPr>
                <w:rFonts w:ascii="仿宋_GB2312" w:hAnsi="仿宋_GB2312" w:cs="仿宋_GB2312" w:eastAsia="仿宋_GB2312"/>
              </w:rPr>
              <w:t>本项目不接受由西安市第三医院职工及其亲属投资开办的企业参加本单位的政府采购活动（提供承诺函）;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非联合体声明函</w:t>
            </w:r>
          </w:p>
        </w:tc>
        <w:tc>
          <w:tcPr>
            <w:tcW w:type="dxa" w:w="3322"/>
          </w:tcPr>
          <w:p>
            <w:pPr>
              <w:pStyle w:val="null3"/>
            </w:pPr>
            <w:r>
              <w:rPr>
                <w:rFonts w:ascii="仿宋_GB2312" w:hAnsi="仿宋_GB2312" w:cs="仿宋_GB2312" w:eastAsia="仿宋_GB2312"/>
              </w:rPr>
              <w:t>本项目不接受联合体投标，提供非联合体声明函。</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费用组成明细表 第一次磋商报价表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费用组成明细表 第一次磋商报价表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 （2）完全理解并接受《供应商企业关系关联承诺书》内容。</w:t>
            </w:r>
          </w:p>
        </w:tc>
        <w:tc>
          <w:tcPr>
            <w:tcW w:type="dxa" w:w="1661"/>
          </w:tcPr>
          <w:p>
            <w:pPr>
              <w:pStyle w:val="null3"/>
            </w:pPr>
            <w:r>
              <w:rPr>
                <w:rFonts w:ascii="仿宋_GB2312" w:hAnsi="仿宋_GB2312" w:cs="仿宋_GB2312" w:eastAsia="仿宋_GB2312"/>
              </w:rPr>
              <w:t>供应商企业关系关联承诺书 供应商廉洁自律承诺书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供应商认为有必要补充说明的事项 （合同）商务主要条款响应偏差表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w:t>
            </w:r>
          </w:p>
        </w:tc>
        <w:tc>
          <w:tcPr>
            <w:tcW w:type="dxa" w:w="2492"/>
          </w:tcPr>
          <w:p>
            <w:pPr>
              <w:pStyle w:val="null3"/>
            </w:pPr>
            <w:r>
              <w:rPr>
                <w:rFonts w:ascii="仿宋_GB2312" w:hAnsi="仿宋_GB2312" w:cs="仿宋_GB2312" w:eastAsia="仿宋_GB2312"/>
              </w:rPr>
              <w:t>响应文件对付款、服务期限、合同条款等商务要求进行响应，根据响应程度计0-4分。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（合同）商务主要条款响应偏差表</w:t>
            </w:r>
          </w:p>
        </w:tc>
      </w:tr>
      <w:tr>
        <w:tc>
          <w:tcPr>
            <w:tcW w:type="dxa" w:w="831"/>
            <w:vMerge/>
          </w:tcPr>
          <w:p/>
        </w:tc>
        <w:tc>
          <w:tcPr>
            <w:tcW w:type="dxa" w:w="1661"/>
          </w:tcPr>
          <w:p>
            <w:pPr>
              <w:pStyle w:val="null3"/>
            </w:pPr>
            <w:r>
              <w:rPr>
                <w:rFonts w:ascii="仿宋_GB2312" w:hAnsi="仿宋_GB2312" w:cs="仿宋_GB2312" w:eastAsia="仿宋_GB2312"/>
              </w:rPr>
              <w:t>维保方案</w:t>
            </w:r>
          </w:p>
        </w:tc>
        <w:tc>
          <w:tcPr>
            <w:tcW w:type="dxa" w:w="2492"/>
          </w:tcPr>
          <w:p>
            <w:pPr>
              <w:pStyle w:val="null3"/>
            </w:pPr>
            <w:r>
              <w:rPr>
                <w:rFonts w:ascii="仿宋_GB2312" w:hAnsi="仿宋_GB2312" w:cs="仿宋_GB2312" w:eastAsia="仿宋_GB2312"/>
              </w:rPr>
              <w:t>一、评审内容 针对本项目提供详细的维保方案，包括但不限于： ①维保方案； ②易损配件定期进行更换方案； ③数字化远程诊断与维修服务方案。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上述3项评审内容全部满足评审标准得18分，每有一个评审内容缺项扣6分，每有一项评审内容存在缺陷，扣（1-6）分，扣完为止。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针对本项目提供详细的维保磋商，包括但不限于： ①维保工作时效保障方案； ②应急响应及保障方案； ③确保系统维修后使用可靠、稳定、性能充分发挥的保证措施及承诺。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上述3项评审内容全部满足评审标准得15分，每有一个评审内容缺项扣5分，每有一项评审内容存在缺陷，扣（1-5）分，扣完为止。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配件清单</w:t>
            </w:r>
          </w:p>
        </w:tc>
        <w:tc>
          <w:tcPr>
            <w:tcW w:type="dxa" w:w="2492"/>
          </w:tcPr>
          <w:p>
            <w:pPr>
              <w:pStyle w:val="null3"/>
            </w:pPr>
            <w:r>
              <w:rPr>
                <w:rFonts w:ascii="仿宋_GB2312" w:hAnsi="仿宋_GB2312" w:cs="仿宋_GB2312" w:eastAsia="仿宋_GB2312"/>
              </w:rPr>
              <w:t>供应商根据本项目提供的配件符合行业标准，供应渠道正常，有保障，具有相关的质量保证，提供合法正规的来源渠道证明文件（例如销售协议、代理协议等证明材料）。 供应商提供的配件种类丰富，数量充足，渠道正规安全可行，与现有设备完全匹配，适配性高，完全满足项目要求得5分； 供应商提供的配件种类及数量稍有欠缺，基本满足项目要求得3分； 供应商提供的配件种类及数量不能完全满足本项目要求的得1分； 未提供配件得0分。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供应商具备完善的专业维修工具（提供相关证明材料，例如购买合同、发票、设备图片等）,能够保证项目顺利实施，完全满足项目实施要求得5分，存在缺陷，扣（1-5）分，扣完为止。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针对本项目提供详细的人员配备，包括但不限于： ①人员组织结构； ②日常管理制度； ③拟投入本项目的维修工程师具有生产厂家培训或考核的资质服务证书。提供社保证明。 ④提供设备生产厂家授权证明资料。 二、评审标准 1、完善性：方案必须全面，对评审内容中的各项要求有详细阐述； 2、可实施性：切合本项目实际情况，提出步骤清晰、合理的方案； 3、针对性：方案能够紧扣项目实际情况，内容科学合理。 上述第①-②项评审内容全部满足评审标准得8分，每有一个评审内容缺项扣4分，每有一项评审内容存在缺陷，扣（1-4）分，扣完为止。 上述第③项评审：每提供一人得3分，满分6分。 上述第④项评审：提供相关证明资料计4分，未提供不得分。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针对本项目提供详细的售后服务，包括但不限于： ①针对本项目的维修服务机构； ②售后服务方案； ③针对本项目的培训方案。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上述3项评审内容全部满足评审标准得15分，每有一个评审内容缺项扣5分，每有一项评审内容存在缺陷，扣（1-5）分，扣完为止。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供应商具有2022年7月1日至今的同类业绩证明文件（以合同签订时间为准），提供完整的合同复印件并加盖公章，每提供一份得2分，满分10分。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 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第一次磋商报价表</w:t>
            </w:r>
          </w:p>
          <w:p>
            <w:pPr>
              <w:pStyle w:val="null3"/>
            </w:pPr>
            <w:r>
              <w:rPr>
                <w:rFonts w:ascii="仿宋_GB2312" w:hAnsi="仿宋_GB2312" w:cs="仿宋_GB2312" w:eastAsia="仿宋_GB2312"/>
              </w:rPr>
              <w:t>费用组成明细表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费用组成明细表 第一次磋商报价表 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详见附件：费用组成明细表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详见附件：（合同）商务主要条款响应偏差表</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