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版本号：SXZCZB2025-ZCCS-074320250821001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西安市中小学教师及校园长新课标背景下业务能力提升培训项目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SXZCZB2025-ZCCS-0743</w:t>
      </w:r>
      <w:r>
        <w:br/>
      </w:r>
      <w:r>
        <w:br/>
      </w:r>
      <w:r>
        <w:br/>
      </w:r>
    </w:p>
    <w:p>
      <w:pPr>
        <w:pStyle w:val="null3"/>
        <w:jc w:val="center"/>
        <w:outlineLvl w:val="2"/>
      </w:pPr>
      <w:r>
        <w:rPr>
          <w:rFonts w:ascii="仿宋_GB2312" w:hAnsi="仿宋_GB2312" w:cs="仿宋_GB2312" w:eastAsia="仿宋_GB2312"/>
          <w:sz w:val="28"/>
          <w:b/>
        </w:rPr>
        <w:t>西安市教育局（本级）</w:t>
      </w:r>
    </w:p>
    <w:p>
      <w:pPr>
        <w:pStyle w:val="null3"/>
        <w:jc w:val="center"/>
        <w:outlineLvl w:val="2"/>
      </w:pPr>
      <w:r>
        <w:rPr>
          <w:rFonts w:ascii="仿宋_GB2312" w:hAnsi="仿宋_GB2312" w:cs="仿宋_GB2312" w:eastAsia="仿宋_GB2312"/>
          <w:sz w:val="28"/>
          <w:b/>
        </w:rPr>
        <w:t>陕西至诚项目管理集团有限公司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陕西至诚项目管理集团有限公司</w:t>
      </w:r>
      <w:r>
        <w:rPr>
          <w:rFonts w:ascii="仿宋_GB2312" w:hAnsi="仿宋_GB2312" w:cs="仿宋_GB2312" w:eastAsia="仿宋_GB2312"/>
        </w:rPr>
        <w:t>（以下简称“代理机构”）受</w:t>
      </w:r>
      <w:r>
        <w:rPr>
          <w:rFonts w:ascii="仿宋_GB2312" w:hAnsi="仿宋_GB2312" w:cs="仿宋_GB2312" w:eastAsia="仿宋_GB2312"/>
        </w:rPr>
        <w:t>西安市教育局（本级）</w:t>
      </w:r>
      <w:r>
        <w:rPr>
          <w:rFonts w:ascii="仿宋_GB2312" w:hAnsi="仿宋_GB2312" w:cs="仿宋_GB2312" w:eastAsia="仿宋_GB2312"/>
        </w:rPr>
        <w:t>委托，拟对</w:t>
      </w:r>
      <w:r>
        <w:rPr>
          <w:rFonts w:ascii="仿宋_GB2312" w:hAnsi="仿宋_GB2312" w:cs="仿宋_GB2312" w:eastAsia="仿宋_GB2312"/>
        </w:rPr>
        <w:t>西安市中小学教师及校园长新课标背景下业务能力提升培训项目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SXZCZB2025-ZCCS-0743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西安市中小学教师及校园长新课标背景下业务能力提升培训项目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西安市中小学教师及校园长新课标背景下业务能力提升培训项目 培训人数：400人，分批执行，培训时长：3天集中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1、营业执照等主体资格证明文件：提供合格有效的法人或者其他组织的营业执照等证明文件，自然人的身份证明；</w:t>
      </w:r>
    </w:p>
    <w:p>
      <w:pPr>
        <w:pStyle w:val="null3"/>
      </w:pPr>
      <w:r>
        <w:rPr>
          <w:rFonts w:ascii="仿宋_GB2312" w:hAnsi="仿宋_GB2312" w:cs="仿宋_GB2312" w:eastAsia="仿宋_GB2312"/>
        </w:rPr>
        <w:t>2、法定代表人委托书：提供法定代表人授权书（附法定代表人、被授权人身份证复印件）（法定代表人直接参加投标，须提供法定代表人身份证明及身份证复印件）；</w:t>
      </w:r>
    </w:p>
    <w:p>
      <w:pPr>
        <w:pStyle w:val="null3"/>
      </w:pPr>
      <w:r>
        <w:rPr>
          <w:rFonts w:ascii="仿宋_GB2312" w:hAnsi="仿宋_GB2312" w:cs="仿宋_GB2312" w:eastAsia="仿宋_GB2312"/>
        </w:rPr>
        <w:t>3、财务状况报告：提供2024年经审计的财务审计报告（成立时间至提交磋商响应文件截止时间不足一年的可提供成立后任意时段的资产负债表）或开标时间前六个月内银行出具的资信证明；</w:t>
      </w:r>
    </w:p>
    <w:p>
      <w:pPr>
        <w:pStyle w:val="null3"/>
      </w:pPr>
      <w:r>
        <w:rPr>
          <w:rFonts w:ascii="仿宋_GB2312" w:hAnsi="仿宋_GB2312" w:cs="仿宋_GB2312" w:eastAsia="仿宋_GB2312"/>
        </w:rPr>
        <w:t>4、税收缴纳证明：提供2024年7月至今已缴纳的任意1个月的纳税证明或完税证明，依法免税的单位应提供相关证明材料；</w:t>
      </w:r>
    </w:p>
    <w:p>
      <w:pPr>
        <w:pStyle w:val="null3"/>
      </w:pPr>
      <w:r>
        <w:rPr>
          <w:rFonts w:ascii="仿宋_GB2312" w:hAnsi="仿宋_GB2312" w:cs="仿宋_GB2312" w:eastAsia="仿宋_GB2312"/>
        </w:rPr>
        <w:t>5、社会保障资金缴纳证明：提供2024年7月至今已缴纳的任意1个月的社会保障资金缴存单据或社保机构开具的社会保险参保缴费情况证明，依法不需要缴纳社会保障资金的单位应提供相关证明材料；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企业信用：供应商不得列入“信用中国”严重失信主体名单、不得列入“中国执行信息公开网”失信被执行人名单（包括投标人及法定代表人），不得为“中国政府采购网”政府采购严重违法失信行为记录名单中被财政部门禁止参加政府采购活动的供应商；</w:t>
      </w:r>
    </w:p>
    <w:p>
      <w:pPr>
        <w:pStyle w:val="null3"/>
      </w:pPr>
      <w:r>
        <w:rPr>
          <w:rFonts w:ascii="仿宋_GB2312" w:hAnsi="仿宋_GB2312" w:cs="仿宋_GB2312" w:eastAsia="仿宋_GB2312"/>
        </w:rPr>
        <w:t>7、无重大违法声明：参加政府采购活动前3年内，在经营活动中没有重大违法记录的书面声明；</w:t>
      </w:r>
    </w:p>
    <w:p>
      <w:pPr>
        <w:pStyle w:val="null3"/>
      </w:pPr>
      <w:r>
        <w:rPr>
          <w:rFonts w:ascii="仿宋_GB2312" w:hAnsi="仿宋_GB2312" w:cs="仿宋_GB2312" w:eastAsia="仿宋_GB2312"/>
        </w:rPr>
        <w:t>8、专业技术能力承诺：提供具有履行合同所必需的设备和专业技术能力的承诺函；</w:t>
      </w:r>
    </w:p>
    <w:p>
      <w:pPr>
        <w:pStyle w:val="null3"/>
      </w:pPr>
      <w:r>
        <w:rPr>
          <w:rFonts w:ascii="仿宋_GB2312" w:hAnsi="仿宋_GB2312" w:cs="仿宋_GB2312" w:eastAsia="仿宋_GB2312"/>
        </w:rPr>
        <w:t>9、非联合体磋商：本项目不接受联合体磋商（需提供承诺书）。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西安市教育局（本级）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凤城八路109号市政府6号楼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029-86786592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陕西至诚项目管理集团有限公司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陕西省西安市经济技术开发区未央路171-1号银池道拉斯财富中心21楼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康乐、孙洋、常瑛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029-88219779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代理服务费收费标准：以中标金额为基数，参照国家计委颁布《招标代理服务收费管理暂行办法》（计价格[2002]1980 号）和国家发展和改革委员会办公厅颁发的《关于招标代理服务收费有关问题的通知》（发改办价格[2003]857 号）文件规定执行。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西安市教育局（本级）</w:t>
      </w:r>
      <w:r>
        <w:rPr>
          <w:rFonts w:ascii="仿宋_GB2312" w:hAnsi="仿宋_GB2312" w:cs="仿宋_GB2312" w:eastAsia="仿宋_GB2312"/>
        </w:rPr>
        <w:t>和</w:t>
      </w:r>
      <w:r>
        <w:rPr>
          <w:rFonts w:ascii="仿宋_GB2312" w:hAnsi="仿宋_GB2312" w:cs="仿宋_GB2312" w:eastAsia="仿宋_GB2312"/>
        </w:rPr>
        <w:t>陕西至诚项目管理集团有限公司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西安市教育局（本级）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陕西至诚项目管理集团有限公司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西安市教育局（本级）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陕西至诚项目管理集团有限公司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1.服务期满后按照成交供应商所提供的资料及数据进行验收； 2.最终验收：自合同签订之日起至完成全部项目内容，需按照采购人确定的时间完成交付并验收合格，验收合格后，填写验收单。 3.验收和评价方式 3.1 乙方提供的服务最终验收达不到磋商文件要求和磋商响应文件承诺及国家或行业标准，或在使用中发现甲方不能容忍的缺陷等，将视为验收不合格，乙方应在甲方要求的时间内无条件完善或赔付采购人损失。 3.2 若发现乙方有弄虚作假的，及在项目实施阶段故意或随意夸大服务，本项目合同解除，乙方赔偿甲方相应的损失。 3.3 验收标准：按磋商文件、磋商响应文件等服务指标进行逐项验收，各项指标均应符合验收标准及要求。 3.4 验收合格后，填写验收单，双方盖章、签字生效。 3.5 验收依据 3.5.1 合同文本 3.5.2 磋商响应文件、磋商文件、澄清函。 3.5.3 国家和行业制定的相应的标准和规范。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联系人：康乐、孙洋、常瑛</w:t>
      </w:r>
    </w:p>
    <w:p>
      <w:pPr>
        <w:pStyle w:val="null3"/>
      </w:pPr>
      <w:r>
        <w:rPr>
          <w:rFonts w:ascii="仿宋_GB2312" w:hAnsi="仿宋_GB2312" w:cs="仿宋_GB2312" w:eastAsia="仿宋_GB2312"/>
        </w:rPr>
        <w:t>联系电话：029-88219779</w:t>
      </w:r>
    </w:p>
    <w:p>
      <w:pPr>
        <w:pStyle w:val="null3"/>
      </w:pPr>
      <w:r>
        <w:rPr>
          <w:rFonts w:ascii="仿宋_GB2312" w:hAnsi="仿宋_GB2312" w:cs="仿宋_GB2312" w:eastAsia="仿宋_GB2312"/>
        </w:rPr>
        <w:t>地址：陕西省西安市经济技术开发区未央路171-1号银池道拉斯财富中心21楼03室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西安市中小学教师及校园长新课标背景下业务能力提升培训项目 培训人数：400人，分批执行，培训时长：3天集中</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560,000.00</w:t>
      </w:r>
    </w:p>
    <w:p>
      <w:pPr>
        <w:pStyle w:val="null3"/>
      </w:pPr>
      <w:r>
        <w:rPr>
          <w:rFonts w:ascii="仿宋_GB2312" w:hAnsi="仿宋_GB2312" w:cs="仿宋_GB2312" w:eastAsia="仿宋_GB2312"/>
        </w:rPr>
        <w:t>采购包最高限价（元）: 560,000.00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西安市中小学教师及校园长新课标背景下业务能力提升培训项目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标的名称：西安市中小学教师及校园长新课标背景下业务能力提升培训项目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一、项目实施背景和依据</w:t>
            </w:r>
          </w:p>
          <w:p>
            <w:pPr>
              <w:pStyle w:val="null3"/>
              <w:ind w:firstLine="560"/>
              <w:jc w:val="both"/>
            </w:pPr>
            <w:r>
              <w:rPr>
                <w:rFonts w:ascii="仿宋_GB2312" w:hAnsi="仿宋_GB2312" w:cs="仿宋_GB2312" w:eastAsia="仿宋_GB2312"/>
                <w:sz w:val="24"/>
              </w:rPr>
              <w:t>在国家大力推动素质教育与体育强国建设的当下，青少年校园足球作为落实立德树人根本任务、提升学生综合素质的基础性工程，正蓬勃发展。当前，全国积极建设青少年校园足球特色学校，但在发展过程中，校园足球专职教师及教练员的业务能力成为制约校园足球高质量发展的关键因素。国内外青少年足球发展态势日新月异，新的理念、方法不断涌现，而国内校园足球发展政策规划需要精准解读落地，教育教学质量标准也有待深入贯彻。为了紧跟时代步伐，提升校园足球教学、训练、科研与管理水平，满足全市青少年校园足球持续健康发展的人才需求，特开展此项目。</w:t>
            </w:r>
          </w:p>
          <w:p>
            <w:pPr>
              <w:pStyle w:val="null3"/>
              <w:ind w:firstLine="560"/>
              <w:jc w:val="both"/>
            </w:pPr>
            <w:r>
              <w:rPr>
                <w:rFonts w:ascii="仿宋_GB2312" w:hAnsi="仿宋_GB2312" w:cs="仿宋_GB2312" w:eastAsia="仿宋_GB2312"/>
                <w:sz w:val="24"/>
              </w:rPr>
              <w:t>培养对象的遴选由西安市级教育部门下发通知，区县和市直属单位负责具体安排和落实。</w:t>
            </w:r>
          </w:p>
          <w:p>
            <w:pPr>
              <w:pStyle w:val="null3"/>
              <w:jc w:val="both"/>
            </w:pPr>
            <w:r>
              <w:rPr>
                <w:rFonts w:ascii="仿宋_GB2312" w:hAnsi="仿宋_GB2312" w:cs="仿宋_GB2312" w:eastAsia="仿宋_GB2312"/>
                <w:sz w:val="24"/>
                <w:b/>
              </w:rPr>
              <w:t>二、</w:t>
            </w:r>
            <w:r>
              <w:rPr>
                <w:rFonts w:ascii="仿宋_GB2312" w:hAnsi="仿宋_GB2312" w:cs="仿宋_GB2312" w:eastAsia="仿宋_GB2312"/>
                <w:sz w:val="24"/>
                <w:b/>
              </w:rPr>
              <w:t>项目需求</w:t>
            </w:r>
          </w:p>
          <w:p>
            <w:pPr>
              <w:pStyle w:val="null3"/>
              <w:ind w:firstLine="560"/>
              <w:jc w:val="both"/>
            </w:pPr>
            <w:r>
              <w:rPr>
                <w:rFonts w:ascii="仿宋_GB2312" w:hAnsi="仿宋_GB2312" w:cs="仿宋_GB2312" w:eastAsia="仿宋_GB2312"/>
                <w:sz w:val="24"/>
              </w:rPr>
              <w:t>1.培训对象：西安市青少年校园足球特色学校专职足球教师或教练员</w:t>
            </w:r>
          </w:p>
          <w:p>
            <w:pPr>
              <w:pStyle w:val="null3"/>
              <w:ind w:firstLine="560"/>
              <w:jc w:val="both"/>
            </w:pPr>
            <w:r>
              <w:rPr>
                <w:rFonts w:ascii="仿宋_GB2312" w:hAnsi="仿宋_GB2312" w:cs="仿宋_GB2312" w:eastAsia="仿宋_GB2312"/>
                <w:sz w:val="24"/>
              </w:rPr>
              <w:t>2.培训人数：400人，分批执行</w:t>
            </w:r>
          </w:p>
          <w:p>
            <w:pPr>
              <w:pStyle w:val="null3"/>
              <w:ind w:firstLine="560"/>
              <w:jc w:val="both"/>
            </w:pPr>
            <w:r>
              <w:rPr>
                <w:rFonts w:ascii="仿宋_GB2312" w:hAnsi="仿宋_GB2312" w:cs="仿宋_GB2312" w:eastAsia="仿宋_GB2312"/>
                <w:sz w:val="24"/>
              </w:rPr>
              <w:t>3.培训周期：3天集中</w:t>
            </w:r>
          </w:p>
          <w:p>
            <w:pPr>
              <w:pStyle w:val="null3"/>
              <w:ind w:firstLine="560"/>
              <w:jc w:val="both"/>
            </w:pPr>
            <w:r>
              <w:rPr>
                <w:rFonts w:ascii="仿宋_GB2312" w:hAnsi="仿宋_GB2312" w:cs="仿宋_GB2312" w:eastAsia="仿宋_GB2312"/>
                <w:sz w:val="24"/>
              </w:rPr>
              <w:t>4.培训内容：聚焦校园足球建设发展全链条，系统开展核心能力提升课程。通过深度剖析国内外青少年足球发展现状与趋势，帮助教师把握前沿动态；结合政策规划解读，明晰校园足球发展方向与目标；详解校园足球教育教学质量标准，规范教学实践；探究科学的教材教法，提升教学研究与实践能力；分享校园足球管理策略优化路径，强化资源整合与组织协调能力；深入学习竞赛规则与裁判法，夯实赛事组织与执裁基础，全方位助力教师成长为校园足球发展的中坚力量。</w:t>
            </w:r>
          </w:p>
          <w:p>
            <w:pPr>
              <w:pStyle w:val="null3"/>
              <w:ind w:firstLine="560"/>
              <w:jc w:val="both"/>
            </w:pPr>
            <w:r>
              <w:rPr>
                <w:rFonts w:ascii="仿宋_GB2312" w:hAnsi="仿宋_GB2312" w:cs="仿宋_GB2312" w:eastAsia="仿宋_GB2312"/>
                <w:sz w:val="24"/>
              </w:rPr>
              <w:t>5.培训方式：采用“理论筑基、实践赋能、互动增效”三位一体的创新模式，全方位提升教师专业素养。课程邀请政策专家、高校学者深度解读校园足球发展政策与国内外前沿趋势，解析教学质量标准与竞赛规则；组织足球特级教师、职业教练开展模拟课堂、实操训练、裁判现场教学等实践活动，强化教材教法应用能力；通过小组工作坊等互动形式，围绕教学难点、管理策略开展研讨交流，助力教师实现持续性、系统化学习，切实提升校园足球教学与管理水平。</w:t>
            </w:r>
          </w:p>
          <w:p>
            <w:pPr>
              <w:pStyle w:val="null3"/>
              <w:jc w:val="both"/>
            </w:pPr>
            <w:r>
              <w:rPr>
                <w:rFonts w:ascii="仿宋_GB2312" w:hAnsi="仿宋_GB2312" w:cs="仿宋_GB2312" w:eastAsia="仿宋_GB2312"/>
                <w:sz w:val="24"/>
              </w:rPr>
              <w:t xml:space="preserve">  6.供应商须提供项目培训方案、专家师资、组织管理保障等信息。</w:t>
            </w:r>
          </w:p>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合同签订后直至项目全部完成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采购合同及附件文本;磋商文件、响应文件;国家相应的标准、规范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合同签订后，收到供应商开具的发票后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合同履行完毕并经验收合格，收到供应商开具的发票后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乙方未按协议要求提供服务或服务质量不能满足协议要求的，甲方应当将供应商违约的情况以及拟采取的措施以书面形式报政府采购监管部门，根据政府采购监管部门的处理意见，甲方有权依据《中华人民共和国民法典》有关条款及合同约定终止合同，并要求乙方承担违约责任。同时，政府采购监管部门有权依据《中华人民共和国政府采购法》及相关法律法规对乙方的违法行为进行相应的处罚。 3.由于不可抗力因素造成无法按照原计划提供服务，双方互不追究违约责任。 4.如有异议另行协商。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详见采购需求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1特定资格证明文件.docx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1特定资格证明文件.docx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法定代表人委托书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1特定资格证明文件.docx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提供2024年经审计的财务审计报告（成立时间至提交磋商响应文件截止时间不足一年的可提供成立后任意时段的资产负债表）或开标时间前六个月内银行出具的资信证明；</w:t>
            </w:r>
          </w:p>
        </w:tc>
        <w:tc>
          <w:tcPr>
            <w:tcW w:type="dxa" w:w="1661"/>
          </w:tcPr>
          <w:p>
            <w:pPr>
              <w:pStyle w:val="null3"/>
            </w:pPr>
            <w:r>
              <w:rPr>
                <w:rFonts w:ascii="仿宋_GB2312" w:hAnsi="仿宋_GB2312" w:cs="仿宋_GB2312" w:eastAsia="仿宋_GB2312"/>
              </w:rPr>
              <w:t>1特定资格证明文件.docx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提供2024年7月至今已缴纳的任意1个月的纳税证明或完税证明，依法免税的单位应提供相关证明材料；</w:t>
            </w:r>
          </w:p>
        </w:tc>
        <w:tc>
          <w:tcPr>
            <w:tcW w:type="dxa" w:w="1661"/>
          </w:tcPr>
          <w:p>
            <w:pPr>
              <w:pStyle w:val="null3"/>
            </w:pPr>
            <w:r>
              <w:rPr>
                <w:rFonts w:ascii="仿宋_GB2312" w:hAnsi="仿宋_GB2312" w:cs="仿宋_GB2312" w:eastAsia="仿宋_GB2312"/>
              </w:rPr>
              <w:t>1特定资格证明文件.docx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提供2024年7月至今已缴纳的任意1个月的社会保障资金缴存单据或社保机构开具的社会保险参保缴费情况证明，依法不需要缴纳社会保障资金的单位应提供相关证明材料；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1特定资格证明文件.docx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企业信用</w:t>
            </w:r>
          </w:p>
        </w:tc>
        <w:tc>
          <w:tcPr>
            <w:tcW w:type="dxa" w:w="3322"/>
          </w:tcPr>
          <w:p>
            <w:pPr>
              <w:pStyle w:val="null3"/>
            </w:pPr>
            <w:r>
              <w:rPr>
                <w:rFonts w:ascii="仿宋_GB2312" w:hAnsi="仿宋_GB2312" w:cs="仿宋_GB2312" w:eastAsia="仿宋_GB2312"/>
              </w:rPr>
              <w:t>供应商不得列入“信用中国”严重失信主体名单、不得列入“中国执行信息公开网”失信被执行人名单（包括投标人及法定代表人），不得为“中国政府采购网”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1特定资格证明文件.docx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1特定资格证明文件.docx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专业技术能力承诺</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1特定资格证明文件.docx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本项目不接受联合体磋商（需提供承诺书）。</w:t>
            </w:r>
          </w:p>
        </w:tc>
        <w:tc>
          <w:tcPr>
            <w:tcW w:type="dxa" w:w="1661"/>
          </w:tcPr>
          <w:p>
            <w:pPr>
              <w:pStyle w:val="null3"/>
            </w:pPr>
            <w:r>
              <w:rPr>
                <w:rFonts w:ascii="仿宋_GB2312" w:hAnsi="仿宋_GB2312" w:cs="仿宋_GB2312" w:eastAsia="仿宋_GB2312"/>
              </w:rPr>
              <w:t>1特定资格证明文件.docx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竞争性磋商响应文件的完整性</w:t>
            </w:r>
          </w:p>
        </w:tc>
        <w:tc>
          <w:tcPr>
            <w:tcW w:type="dxa" w:w="3322"/>
          </w:tcPr>
          <w:p>
            <w:pPr>
              <w:pStyle w:val="null3"/>
            </w:pPr>
            <w:r>
              <w:rPr>
                <w:rFonts w:ascii="仿宋_GB2312" w:hAnsi="仿宋_GB2312" w:cs="仿宋_GB2312" w:eastAsia="仿宋_GB2312"/>
              </w:rPr>
              <w:t>竞争性磋商响应文件构成是否有重大缺项，是否按照竞争性磋商文件要求的格式编写竞争性磋商响应文件</w:t>
            </w:r>
          </w:p>
        </w:tc>
        <w:tc>
          <w:tcPr>
            <w:tcW w:type="dxa" w:w="1661"/>
          </w:tcPr>
          <w:p>
            <w:pPr>
              <w:pStyle w:val="null3"/>
            </w:pPr>
            <w:r>
              <w:rPr>
                <w:rFonts w:ascii="仿宋_GB2312" w:hAnsi="仿宋_GB2312" w:cs="仿宋_GB2312" w:eastAsia="仿宋_GB2312"/>
              </w:rPr>
              <w:t>响应文件封面 中小企业声明函 残疾人福利性单位声明函 2陕西省政府采购供应商拒绝政府采购领域商业贿赂承诺书.docx 4服务要求及商务要求偏离表.docx 标的清单 报价表 5其他.docx 响应函 1特定资格证明文件.docx 监狱企业的证明文件 3磋商服务方案.docx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竞争性磋商响应文件的有效性</w:t>
            </w:r>
          </w:p>
        </w:tc>
        <w:tc>
          <w:tcPr>
            <w:tcW w:type="dxa" w:w="3322"/>
          </w:tcPr>
          <w:p>
            <w:pPr>
              <w:pStyle w:val="null3"/>
            </w:pPr>
            <w:r>
              <w:rPr>
                <w:rFonts w:ascii="仿宋_GB2312" w:hAnsi="仿宋_GB2312" w:cs="仿宋_GB2312" w:eastAsia="仿宋_GB2312"/>
              </w:rPr>
              <w:t>竞争性磋商响应文件的签署、加盖印章是否合格、有效；提供的各种证明文件、数据、资料是否真实、有效</w:t>
            </w:r>
          </w:p>
        </w:tc>
        <w:tc>
          <w:tcPr>
            <w:tcW w:type="dxa" w:w="1661"/>
          </w:tcPr>
          <w:p>
            <w:pPr>
              <w:pStyle w:val="null3"/>
            </w:pPr>
            <w:r>
              <w:rPr>
                <w:rFonts w:ascii="仿宋_GB2312" w:hAnsi="仿宋_GB2312" w:cs="仿宋_GB2312" w:eastAsia="仿宋_GB2312"/>
              </w:rPr>
              <w:t>响应文件封面 中小企业声明函 残疾人福利性单位声明函 2陕西省政府采购供应商拒绝政府采购领域商业贿赂承诺书.docx 4服务要求及商务要求偏离表.docx 标的清单 报价表 5其他.docx 响应函 1特定资格证明文件.docx 监狱企业的证明文件 3磋商服务方案.docx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竞争性磋商响应文件的响应性</w:t>
            </w:r>
          </w:p>
        </w:tc>
        <w:tc>
          <w:tcPr>
            <w:tcW w:type="dxa" w:w="3322"/>
          </w:tcPr>
          <w:p>
            <w:pPr>
              <w:pStyle w:val="null3"/>
            </w:pPr>
            <w:r>
              <w:rPr>
                <w:rFonts w:ascii="仿宋_GB2312" w:hAnsi="仿宋_GB2312" w:cs="仿宋_GB2312" w:eastAsia="仿宋_GB2312"/>
              </w:rPr>
              <w:t>磋商有效期是否符合竞争性磋商文件要求；是否满足本次磋商的特殊要求；磋商方案是否有重大缺漏项；磋商商务响应条款是否有重大偏离。</w:t>
            </w:r>
          </w:p>
        </w:tc>
        <w:tc>
          <w:tcPr>
            <w:tcW w:type="dxa" w:w="1661"/>
          </w:tcPr>
          <w:p>
            <w:pPr>
              <w:pStyle w:val="null3"/>
            </w:pPr>
            <w:r>
              <w:rPr>
                <w:rFonts w:ascii="仿宋_GB2312" w:hAnsi="仿宋_GB2312" w:cs="仿宋_GB2312" w:eastAsia="仿宋_GB2312"/>
              </w:rPr>
              <w:t>响应文件封面 中小企业声明函 残疾人福利性单位声明函 2陕西省政府采购供应商拒绝政府采购领域商业贿赂承诺书.docx 4服务要求及商务要求偏离表.docx 标的清单 报价表 5其他.docx 响应函 1特定资格证明文件.docx 监狱企业的证明文件 3磋商服务方案.docx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一、评审内容：针对本项目提出适用于本项目的服务方案，包括： ①项目理解与分析 ②培训方案 ③理论课程及实操训练 二、评审标准： 1、完整性：方案必须全面，对评审内容中的各项要求有详细描述； 2、可实施性：切合本项目实际情况，提出步骤清晰、合理的方案； 3、针对性：方案能够紧扣项目实际情况，内容科学合理。 三、赋分标准（满分24分） ①项目理解与分析：每完全满足一个评审标准得3分，满分9分； ②培训方案：每完全满足一个评审标准得3分，满分9分； ③理论课程及实操训练：每完全满足一个评审标准得2分，满分6分。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3磋商服务方案.docx</w:t>
            </w:r>
          </w:p>
        </w:tc>
      </w:tr>
      <w:tr>
        <w:tc>
          <w:tcPr>
            <w:tcW w:type="dxa" w:w="831"/>
            <w:vMerge/>
          </w:tcPr>
          <w:p/>
        </w:tc>
        <w:tc>
          <w:tcPr>
            <w:tcW w:type="dxa" w:w="1661"/>
          </w:tcPr>
          <w:p>
            <w:pPr>
              <w:pStyle w:val="null3"/>
            </w:pPr>
            <w:r>
              <w:rPr>
                <w:rFonts w:ascii="仿宋_GB2312" w:hAnsi="仿宋_GB2312" w:cs="仿宋_GB2312" w:eastAsia="仿宋_GB2312"/>
              </w:rPr>
              <w:t>场地及设备配置情况</w:t>
            </w:r>
          </w:p>
        </w:tc>
        <w:tc>
          <w:tcPr>
            <w:tcW w:type="dxa" w:w="2492"/>
          </w:tcPr>
          <w:p>
            <w:pPr>
              <w:pStyle w:val="null3"/>
            </w:pPr>
            <w:r>
              <w:rPr>
                <w:rFonts w:ascii="仿宋_GB2312" w:hAnsi="仿宋_GB2312" w:cs="仿宋_GB2312" w:eastAsia="仿宋_GB2312"/>
              </w:rPr>
              <w:t>一、评审内容：针对本项目提出适用于本项目的场地及设备配置情况，包括： ①培训工作的设备配置 ②培训场地保障方案 二、评审标准： 1、完整性：方案必须全面，对评审内容中的各项要求有详细描述； 2、可实施性：切合本项目实际情况，提出步骤清晰、合理的方案； 3、针对性：方案能够紧扣项目实际情况，内容科学合理。 三、赋分标准（满分15分） ①培训工作的设备配置：每完全满足一个评审标准得2分，满分6分； ②培训场地保障方案：每完全满足一个评审标准得3分，满分9分；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3磋商服务方案.docx</w:t>
            </w:r>
          </w:p>
        </w:tc>
      </w:tr>
      <w:tr>
        <w:tc>
          <w:tcPr>
            <w:tcW w:type="dxa" w:w="831"/>
            <w:vMerge/>
          </w:tcPr>
          <w:p/>
        </w:tc>
        <w:tc>
          <w:tcPr>
            <w:tcW w:type="dxa" w:w="1661"/>
          </w:tcPr>
          <w:p>
            <w:pPr>
              <w:pStyle w:val="null3"/>
            </w:pPr>
            <w:r>
              <w:rPr>
                <w:rFonts w:ascii="仿宋_GB2312" w:hAnsi="仿宋_GB2312" w:cs="仿宋_GB2312" w:eastAsia="仿宋_GB2312"/>
              </w:rPr>
              <w:t>项目管理措施</w:t>
            </w:r>
          </w:p>
        </w:tc>
        <w:tc>
          <w:tcPr>
            <w:tcW w:type="dxa" w:w="2492"/>
          </w:tcPr>
          <w:p>
            <w:pPr>
              <w:pStyle w:val="null3"/>
            </w:pPr>
            <w:r>
              <w:rPr>
                <w:rFonts w:ascii="仿宋_GB2312" w:hAnsi="仿宋_GB2312" w:cs="仿宋_GB2312" w:eastAsia="仿宋_GB2312"/>
              </w:rPr>
              <w:t>一、评审内容：针对采购需求提出适用于本项目的管理措施方案，方案包括： ①质量保证措施 ②进度控制措施 ③项目人员管理措施 二、评审标准： 1、完整性：方案必须全面，对评审内容中的各项要求有详细描述； 2、可实施性：切合本项目实际情况，提出步骤清晰、合理的方案； 3、针对性：方案能够紧扣项目实际情况，内容科学合理。 三、赋分标准（满分18分） ①质量保证措施：每完全满足一个评审标准得2分，满分6分； ②进度控制措施：每完全满足一个评审标准得2分，满分6分； ③项目人员管理措施：每完全满足一个评审标准得2分，满分6分。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3磋商服务方案.docx</w:t>
            </w:r>
          </w:p>
        </w:tc>
      </w:tr>
      <w:tr>
        <w:tc>
          <w:tcPr>
            <w:tcW w:type="dxa" w:w="831"/>
            <w:vMerge/>
          </w:tcPr>
          <w:p/>
        </w:tc>
        <w:tc>
          <w:tcPr>
            <w:tcW w:type="dxa" w:w="1661"/>
          </w:tcPr>
          <w:p>
            <w:pPr>
              <w:pStyle w:val="null3"/>
            </w:pPr>
            <w:r>
              <w:rPr>
                <w:rFonts w:ascii="仿宋_GB2312" w:hAnsi="仿宋_GB2312" w:cs="仿宋_GB2312" w:eastAsia="仿宋_GB2312"/>
              </w:rPr>
              <w:t>应急安全管理</w:t>
            </w:r>
          </w:p>
        </w:tc>
        <w:tc>
          <w:tcPr>
            <w:tcW w:type="dxa" w:w="2492"/>
          </w:tcPr>
          <w:p>
            <w:pPr>
              <w:pStyle w:val="null3"/>
            </w:pPr>
            <w:r>
              <w:rPr>
                <w:rFonts w:ascii="仿宋_GB2312" w:hAnsi="仿宋_GB2312" w:cs="仿宋_GB2312" w:eastAsia="仿宋_GB2312"/>
              </w:rPr>
              <w:t>一、评审内容：针对本项目提出适用于本项目的应急安全管理方案，方案包括： ①突发应急事件预案 ②应急保障措施 二、评审标准： 1、完整性：方案必须全面，对评审内容中的各项要求有详细描述； 2、可实施性：切合本项目实际情况，提出步骤清晰、合理的方案； 3、针对性：方案能够紧扣项目实际情况，内容科学合理。 三、赋分标准（满分12分） ①突发应急事件预案：每完全满足一个评审标准得2分，满分6分； ②应急保障措施：每完全满足一个评审标准得2分，满分6分；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3磋商服务方案.docx</w:t>
            </w:r>
          </w:p>
        </w:tc>
      </w:tr>
      <w:tr>
        <w:tc>
          <w:tcPr>
            <w:tcW w:type="dxa" w:w="831"/>
            <w:vMerge/>
          </w:tcPr>
          <w:p/>
        </w:tc>
        <w:tc>
          <w:tcPr>
            <w:tcW w:type="dxa" w:w="1661"/>
          </w:tcPr>
          <w:p>
            <w:pPr>
              <w:pStyle w:val="null3"/>
            </w:pPr>
            <w:r>
              <w:rPr>
                <w:rFonts w:ascii="仿宋_GB2312" w:hAnsi="仿宋_GB2312" w:cs="仿宋_GB2312" w:eastAsia="仿宋_GB2312"/>
              </w:rPr>
              <w:t>项目组人员</w:t>
            </w:r>
          </w:p>
        </w:tc>
        <w:tc>
          <w:tcPr>
            <w:tcW w:type="dxa" w:w="2492"/>
          </w:tcPr>
          <w:p>
            <w:pPr>
              <w:pStyle w:val="null3"/>
            </w:pPr>
            <w:r>
              <w:rPr>
                <w:rFonts w:ascii="仿宋_GB2312" w:hAnsi="仿宋_GB2312" w:cs="仿宋_GB2312" w:eastAsia="仿宋_GB2312"/>
              </w:rPr>
              <w:t>对本项目拟投入人员配备方案： （1）针对本项目拟配备服务团队人员架构齐全、数量充足、专业经验丰富，配备方案合理高效，逻辑结构清晰且具有针对性的，得6-8分； （2）针对本项目拟配备服务团队人员架构基本齐全、数量基本充足、专业经验丰富，配备方案明确且具有一定合理性，逻辑结构基本清晰且具有一定针对性的，得3-6分； （3）针对本项目拟配备服务团队人员架构明确、数量不足、专业经验不足，配备方案含糊，逻辑结构不清晰且针对性不足的，得1-3分；未提供不得分。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3磋商服务方案.docx</w:t>
            </w:r>
          </w:p>
        </w:tc>
      </w:tr>
      <w:tr>
        <w:tc>
          <w:tcPr>
            <w:tcW w:type="dxa" w:w="831"/>
            <w:vMerge/>
          </w:tcPr>
          <w:p/>
        </w:tc>
        <w:tc>
          <w:tcPr>
            <w:tcW w:type="dxa" w:w="1661"/>
          </w:tcPr>
          <w:p>
            <w:pPr>
              <w:pStyle w:val="null3"/>
            </w:pPr>
            <w:r>
              <w:rPr>
                <w:rFonts w:ascii="仿宋_GB2312" w:hAnsi="仿宋_GB2312" w:cs="仿宋_GB2312" w:eastAsia="仿宋_GB2312"/>
              </w:rPr>
              <w:t>培训考核及评价建设</w:t>
            </w:r>
          </w:p>
        </w:tc>
        <w:tc>
          <w:tcPr>
            <w:tcW w:type="dxa" w:w="2492"/>
          </w:tcPr>
          <w:p>
            <w:pPr>
              <w:pStyle w:val="null3"/>
            </w:pPr>
            <w:r>
              <w:rPr>
                <w:rFonts w:ascii="仿宋_GB2312" w:hAnsi="仿宋_GB2312" w:cs="仿宋_GB2312" w:eastAsia="仿宋_GB2312"/>
              </w:rPr>
              <w:t>一、评审内容：针对本项目提出适用于本项目的培训考核及评价建设方案，方案包括： ①培训考核及评价建设方案 ②学员培训考核办法 二、评审标准： 1、完整性：方案必须全面，对评审内容中的各项要求有详细描述； 2、可实施性：切合本项目实际情况，提出步骤清晰、合理的方案； 3、针对性：方案能够紧扣项目实际情况，内容科学合理。 三、赋分标准（满分9分） ①培训考核及评价建设方案：每完全满足一个评审标准得2分，满分6分； ②学员培训考核办法：每完全满足一个评审标准得1分，满分3分；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3磋商服务方案.docx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7月至今类似项目业绩，以供应商提供的合同或中标（成交）通知书复印件（或扫描件）为准（日期以合同签订时间或中标（成交）通知书时间为准），每提供一份得2分，满分4分；未提供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3磋商服务方案.docx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满足磋商文件要求且最后报价最低的供应商的价格为磋商基准价得10分，其他各供应商的最后磋商报价得分按下列公式计算：（磋商基准价/最后磋商报价）×10%×100。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详见附件：1特定资格证明文件.docx</w:t>
      </w:r>
    </w:p>
    <w:p>
      <w:pPr>
        <w:pStyle w:val="null3"/>
        <w:ind w:firstLine="960"/>
      </w:pPr>
      <w:r>
        <w:rPr>
          <w:rFonts w:ascii="仿宋_GB2312" w:hAnsi="仿宋_GB2312" w:cs="仿宋_GB2312" w:eastAsia="仿宋_GB2312"/>
        </w:rPr>
        <w:t>详见附件：2陕西省政府采购供应商拒绝政府采购领域商业贿赂承诺书.docx</w:t>
      </w:r>
    </w:p>
    <w:p>
      <w:pPr>
        <w:pStyle w:val="null3"/>
        <w:ind w:firstLine="960"/>
      </w:pPr>
      <w:r>
        <w:rPr>
          <w:rFonts w:ascii="仿宋_GB2312" w:hAnsi="仿宋_GB2312" w:cs="仿宋_GB2312" w:eastAsia="仿宋_GB2312"/>
        </w:rPr>
        <w:t>详见附件：3磋商服务方案.docx</w:t>
      </w:r>
    </w:p>
    <w:p>
      <w:pPr>
        <w:pStyle w:val="null3"/>
        <w:ind w:firstLine="960"/>
      </w:pPr>
      <w:r>
        <w:rPr>
          <w:rFonts w:ascii="仿宋_GB2312" w:hAnsi="仿宋_GB2312" w:cs="仿宋_GB2312" w:eastAsia="仿宋_GB2312"/>
        </w:rPr>
        <w:t>详见附件：4服务要求及商务要求偏离表.docx</w:t>
      </w:r>
    </w:p>
    <w:p>
      <w:pPr>
        <w:pStyle w:val="null3"/>
        <w:ind w:firstLine="960"/>
      </w:pPr>
      <w:r>
        <w:rPr>
          <w:rFonts w:ascii="仿宋_GB2312" w:hAnsi="仿宋_GB2312" w:cs="仿宋_GB2312" w:eastAsia="仿宋_GB2312"/>
        </w:rPr>
        <w:t>详见附件：5其他.docx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