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版本号：ZHPM-ZC-2513920250822001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西安市职业教育教师、校长能力提升培训项目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ZHPM-ZC-25139</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西安市职业教育教师、校长能力提升培训项目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西安市职业教育教师、校长能力提升培训项目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职业教育法》和中省市关于职业教育改革发展实施意见有关要求，西安市职业教育教师、校长能力提升培训项目，通过系统课程与实操演练，增强教师的专业技能与教学方法。涵盖教学理论、实践操作、信息化教学手段等内容，助力教师提升教学质量，适应职业教育发展，培养更多高素质技能型人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雷琪、刘书铭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029-86788945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郭兢冉、赵敏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代理服务费收费标准：以政府采购项目中标（成交）金额作为代理服务费计费基数，参照“发改办价格[2003]857号”及“计价格[2002]1980号”文件规定的计费标准收取代理服务费。 银行户名：中昊项目管理有限公司 开户银行：中国民生银行股份有限公司西安枫林绿洲支行账号：160927203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联系人：郭兢冉、赵敏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职业教育法》和中省市关于职业教育改革发展实施意见有关要求，西安市职业教育教师、校长能力提升培训项目，通过系统课程与实操演练，增强教师的专业技能与教学方法。涵盖教学理论、实践操作、信息化教学手段等内容，助力教师提升教学质量，适应职业教育发展，培养更多高素质技能型人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西安市职业教育教师、校长能力提升培训项目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标的名称：西安市职业教育教师、校长能力提升培训项目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rPr>
              <w:t>根据《职业教育法》和中省市关于职业教育改革发展实施意见有关要求，西安市职业教育教师、校长能力提升培训项目，通过系统课程与实操演练，增强教师的专业技能与教学方法。涵盖教学理论、实践操作、信息化教学手段等内容，助力教师提升教学质量，适应职业教育发展，培养更多高素质技能型人才。</w:t>
            </w:r>
          </w:p>
          <w:p>
            <w:pPr>
              <w:pStyle w:val="null3"/>
              <w:ind w:firstLine="420"/>
            </w:pPr>
            <w:r>
              <w:rPr>
                <w:rFonts w:ascii="仿宋_GB2312" w:hAnsi="仿宋_GB2312" w:cs="仿宋_GB2312" w:eastAsia="仿宋_GB2312"/>
                <w:sz w:val="21"/>
              </w:rPr>
              <w:t>一、全市中等职业学校校长管理能力提升培训班</w:t>
            </w:r>
          </w:p>
          <w:p>
            <w:pPr>
              <w:pStyle w:val="null3"/>
              <w:ind w:firstLine="420"/>
            </w:pPr>
            <w:r>
              <w:rPr>
                <w:rFonts w:ascii="仿宋_GB2312" w:hAnsi="仿宋_GB2312" w:cs="仿宋_GB2312" w:eastAsia="仿宋_GB2312"/>
                <w:sz w:val="21"/>
              </w:rPr>
              <w:t>（一）项目概况</w:t>
            </w:r>
          </w:p>
          <w:p>
            <w:pPr>
              <w:pStyle w:val="null3"/>
              <w:ind w:firstLine="420"/>
            </w:pPr>
            <w:r>
              <w:rPr>
                <w:rFonts w:ascii="仿宋_GB2312" w:hAnsi="仿宋_GB2312" w:cs="仿宋_GB2312" w:eastAsia="仿宋_GB2312"/>
                <w:sz w:val="21"/>
              </w:rPr>
              <w:t>随着教育改革和发展的不断推进，校长作为学校的核心领导者，面临着日益复杂和多样化的管理挑战。校长的能力提升至关重要，既能够更好地推动学校发展，也能够带领教师团队实现教育教学优质提升。</w:t>
            </w:r>
          </w:p>
          <w:p>
            <w:pPr>
              <w:pStyle w:val="null3"/>
              <w:ind w:firstLine="420"/>
            </w:pPr>
            <w:r>
              <w:rPr>
                <w:rFonts w:ascii="仿宋_GB2312" w:hAnsi="仿宋_GB2312" w:cs="仿宋_GB2312" w:eastAsia="仿宋_GB2312"/>
                <w:sz w:val="21"/>
              </w:rPr>
              <w:t>（二）项目内容</w:t>
            </w:r>
          </w:p>
          <w:p>
            <w:pPr>
              <w:pStyle w:val="null3"/>
              <w:ind w:firstLine="420"/>
            </w:pPr>
            <w:r>
              <w:rPr>
                <w:rFonts w:ascii="仿宋_GB2312" w:hAnsi="仿宋_GB2312" w:cs="仿宋_GB2312" w:eastAsia="仿宋_GB2312"/>
                <w:sz w:val="21"/>
              </w:rPr>
              <w:t>通过专家讲座、考察优质职校等方式，助力校长引领学校创新发展。理论授课内容主要包括《职业教育形势与任务》、《职业学校教师的成长与职业发展》、《做、学、教一体化教学模式的改革与创新》等。</w:t>
            </w:r>
          </w:p>
          <w:p>
            <w:pPr>
              <w:pStyle w:val="null3"/>
              <w:ind w:firstLine="420"/>
            </w:pPr>
            <w:r>
              <w:rPr>
                <w:rFonts w:ascii="仿宋_GB2312" w:hAnsi="仿宋_GB2312" w:cs="仿宋_GB2312" w:eastAsia="仿宋_GB2312"/>
                <w:sz w:val="21"/>
              </w:rPr>
              <w:t>二、职业学校教师专业发展与科研能力提高培训班</w:t>
            </w:r>
          </w:p>
          <w:p>
            <w:pPr>
              <w:pStyle w:val="null3"/>
              <w:ind w:firstLine="420"/>
            </w:pPr>
            <w:r>
              <w:rPr>
                <w:rFonts w:ascii="仿宋_GB2312" w:hAnsi="仿宋_GB2312" w:cs="仿宋_GB2312" w:eastAsia="仿宋_GB2312"/>
                <w:sz w:val="21"/>
              </w:rPr>
              <w:t>（一）项目概况</w:t>
            </w:r>
          </w:p>
          <w:p>
            <w:pPr>
              <w:pStyle w:val="null3"/>
              <w:ind w:firstLine="420"/>
            </w:pPr>
            <w:r>
              <w:rPr>
                <w:rFonts w:ascii="仿宋_GB2312" w:hAnsi="仿宋_GB2312" w:cs="仿宋_GB2312" w:eastAsia="仿宋_GB2312"/>
                <w:sz w:val="21"/>
              </w:rPr>
              <w:t>中等职业学校教师是加快建设现代职业教育体系、培养高素质技术技能人才、提高职业教育质量的重要力量。新时期中职学校教师要坚持师德为先和能力为重相统一，提高师德修养和教书育人水平，为加快发展现代职业教育提供制度保障和人才支撑。</w:t>
            </w:r>
          </w:p>
          <w:p>
            <w:pPr>
              <w:pStyle w:val="null3"/>
              <w:ind w:firstLine="420"/>
            </w:pPr>
            <w:r>
              <w:rPr>
                <w:rFonts w:ascii="仿宋_GB2312" w:hAnsi="仿宋_GB2312" w:cs="仿宋_GB2312" w:eastAsia="仿宋_GB2312"/>
                <w:sz w:val="21"/>
              </w:rPr>
              <w:t>（二）项目内容</w:t>
            </w:r>
          </w:p>
          <w:p>
            <w:pPr>
              <w:pStyle w:val="null3"/>
              <w:ind w:firstLine="420"/>
            </w:pPr>
            <w:r>
              <w:rPr>
                <w:rFonts w:ascii="仿宋_GB2312" w:hAnsi="仿宋_GB2312" w:cs="仿宋_GB2312" w:eastAsia="仿宋_GB2312"/>
                <w:sz w:val="21"/>
              </w:rPr>
              <w:t>通过专家讲座、研讨交流等方式，助力校长引领学校创新发展。理论授课内容主要包括《文化视野下中职学校德育新视角》、《职业学校教师专业发展与科研能力提高》、《以需求为导向的职业教育课程框架与人才培养方案的设计》等。</w:t>
            </w:r>
          </w:p>
          <w:p>
            <w:pPr>
              <w:pStyle w:val="null3"/>
              <w:ind w:firstLine="420"/>
            </w:pPr>
            <w:r>
              <w:rPr>
                <w:rFonts w:ascii="仿宋_GB2312" w:hAnsi="仿宋_GB2312" w:cs="仿宋_GB2312" w:eastAsia="仿宋_GB2312"/>
                <w:sz w:val="21"/>
              </w:rPr>
              <w:t>三、优秀中等职业学校班主任能力提升培训班</w:t>
            </w:r>
          </w:p>
          <w:p>
            <w:pPr>
              <w:pStyle w:val="null3"/>
              <w:ind w:firstLine="420"/>
            </w:pPr>
            <w:r>
              <w:rPr>
                <w:rFonts w:ascii="仿宋_GB2312" w:hAnsi="仿宋_GB2312" w:cs="仿宋_GB2312" w:eastAsia="仿宋_GB2312"/>
                <w:sz w:val="21"/>
              </w:rPr>
              <w:t>（一）项目概况</w:t>
            </w:r>
          </w:p>
          <w:p>
            <w:pPr>
              <w:pStyle w:val="null3"/>
              <w:ind w:firstLine="420"/>
            </w:pPr>
            <w:r>
              <w:rPr>
                <w:rFonts w:ascii="仿宋_GB2312" w:hAnsi="仿宋_GB2312" w:cs="仿宋_GB2312" w:eastAsia="仿宋_GB2312"/>
                <w:sz w:val="21"/>
              </w:rPr>
              <w:t>中等职业学校班主任岗位是重要的专业性岗位，是教师队伍的重要组成部分，是学生管理工作的组织者、管理者、指导者，是实施素质教育的重要力量。组织培训的目的是着力解决班主任在带班中面临的实际问题，促进中职学生健康成长，提升班主任岗位胜任能力。</w:t>
            </w:r>
          </w:p>
          <w:p>
            <w:pPr>
              <w:pStyle w:val="null3"/>
              <w:ind w:firstLine="420"/>
            </w:pPr>
            <w:r>
              <w:rPr>
                <w:rFonts w:ascii="仿宋_GB2312" w:hAnsi="仿宋_GB2312" w:cs="仿宋_GB2312" w:eastAsia="仿宋_GB2312"/>
                <w:sz w:val="21"/>
              </w:rPr>
              <w:t>（二）项目内容</w:t>
            </w:r>
          </w:p>
          <w:p>
            <w:pPr>
              <w:pStyle w:val="null3"/>
              <w:ind w:firstLine="420"/>
            </w:pPr>
            <w:r>
              <w:rPr>
                <w:rFonts w:ascii="仿宋_GB2312" w:hAnsi="仿宋_GB2312" w:cs="仿宋_GB2312" w:eastAsia="仿宋_GB2312"/>
                <w:sz w:val="21"/>
              </w:rPr>
              <w:t>通过理论学习、案例分享与实操演练，加强班主任专业素养。理论授课内容主要包括《教师职业道德的继承与创新》、《中职学生心理特点分析及疏导》、《班主任专业能力提升的有效途径》等。</w:t>
            </w:r>
          </w:p>
          <w:p>
            <w:pPr>
              <w:pStyle w:val="null3"/>
              <w:ind w:firstLine="420"/>
            </w:pPr>
            <w:r>
              <w:rPr>
                <w:rFonts w:ascii="仿宋_GB2312" w:hAnsi="仿宋_GB2312" w:cs="仿宋_GB2312" w:eastAsia="仿宋_GB2312"/>
                <w:sz w:val="21"/>
              </w:rPr>
              <w:t>三、培训标准</w:t>
            </w:r>
          </w:p>
          <w:p>
            <w:pPr>
              <w:pStyle w:val="null3"/>
              <w:ind w:firstLine="420"/>
            </w:pPr>
            <w:r>
              <w:rPr>
                <w:rFonts w:ascii="仿宋_GB2312" w:hAnsi="仿宋_GB2312" w:cs="仿宋_GB2312" w:eastAsia="仿宋_GB2312"/>
                <w:sz w:val="21"/>
              </w:rPr>
              <w:t>培训费用不得超过每人每天300元标准，总价不得超过35万进行实施。全市中等职业学校校长管理能力提升培训班100人，职业学校教师专业发展与科研能力提高培训班145人，优秀中等职业学校班主任能力提升培训班145人。三期培训班每期为3天。</w:t>
            </w:r>
          </w:p>
          <w:p>
            <w:pPr>
              <w:pStyle w:val="null3"/>
              <w:ind w:firstLine="420"/>
            </w:pPr>
            <w:r>
              <w:rPr>
                <w:rFonts w:ascii="仿宋_GB2312" w:hAnsi="仿宋_GB2312" w:cs="仿宋_GB2312" w:eastAsia="仿宋_GB2312"/>
                <w:sz w:val="21"/>
              </w:rPr>
              <w:t>师资标准：授课人员由高校教授、教育行政部门学者、资深教研员及一线名师组成，他们长期从事中等职业教育的相关工作，兼具理论与实践经验，均为高级职称，能够根据学员的实际情况和需求灵活调整教学内容和方法。</w:t>
            </w:r>
          </w:p>
          <w:p>
            <w:pPr>
              <w:pStyle w:val="null3"/>
              <w:ind w:firstLine="420"/>
            </w:pPr>
            <w:r>
              <w:rPr>
                <w:rFonts w:ascii="仿宋_GB2312" w:hAnsi="仿宋_GB2312" w:cs="仿宋_GB2312" w:eastAsia="仿宋_GB2312"/>
                <w:sz w:val="21"/>
              </w:rPr>
              <w:t>住宿标准：提供标准间，配备有舒适的床铺、Wi-Fi、独立卫生间等设施。</w:t>
            </w:r>
          </w:p>
          <w:p>
            <w:pPr>
              <w:pStyle w:val="null3"/>
              <w:ind w:firstLine="420"/>
            </w:pPr>
            <w:r>
              <w:rPr>
                <w:rFonts w:ascii="仿宋_GB2312" w:hAnsi="仿宋_GB2312" w:cs="仿宋_GB2312" w:eastAsia="仿宋_GB2312"/>
                <w:sz w:val="21"/>
              </w:rPr>
              <w:t>餐食标准：包含培训期间的一日三餐。其中，早餐包括：2种主食及不少于6种的各类菜品；午餐包括：2种主食、水果及荤素搭配6种的各类菜品；晚餐包括：2种主食、荤素搭配6种的各类菜品。</w:t>
            </w:r>
          </w:p>
          <w:p>
            <w:pPr>
              <w:pStyle w:val="null3"/>
              <w:ind w:firstLine="420"/>
            </w:pPr>
            <w:r>
              <w:rPr>
                <w:rFonts w:ascii="仿宋_GB2312" w:hAnsi="仿宋_GB2312" w:cs="仿宋_GB2312" w:eastAsia="仿宋_GB2312"/>
                <w:sz w:val="21"/>
              </w:rPr>
              <w:t>提供培训相关资料手册。</w:t>
            </w:r>
          </w:p>
          <w:p>
            <w:pPr>
              <w:pStyle w:val="null3"/>
              <w:ind w:firstLine="420"/>
            </w:pPr>
            <w:r>
              <w:rPr>
                <w:rFonts w:ascii="仿宋_GB2312" w:hAnsi="仿宋_GB2312" w:cs="仿宋_GB2312" w:eastAsia="仿宋_GB2312"/>
                <w:sz w:val="21"/>
              </w:rPr>
              <w:t>四、商务要求</w:t>
            </w:r>
          </w:p>
          <w:p>
            <w:pPr>
              <w:pStyle w:val="null3"/>
              <w:ind w:firstLine="420"/>
            </w:pPr>
            <w:r>
              <w:rPr>
                <w:rFonts w:ascii="仿宋_GB2312" w:hAnsi="仿宋_GB2312" w:cs="仿宋_GB2312" w:eastAsia="仿宋_GB2312"/>
                <w:sz w:val="21"/>
              </w:rPr>
              <w:t>（一）服务期限</w:t>
            </w:r>
          </w:p>
          <w:p>
            <w:pPr>
              <w:pStyle w:val="null3"/>
              <w:ind w:firstLine="420"/>
            </w:pPr>
            <w:r>
              <w:rPr>
                <w:rFonts w:ascii="仿宋_GB2312" w:hAnsi="仿宋_GB2312" w:cs="仿宋_GB2312" w:eastAsia="仿宋_GB2312"/>
                <w:sz w:val="21"/>
              </w:rPr>
              <w:t>自合同签订之日起至2025年11月30日止。</w:t>
            </w:r>
          </w:p>
          <w:p>
            <w:pPr>
              <w:pStyle w:val="null3"/>
              <w:ind w:firstLine="420"/>
            </w:pPr>
            <w:r>
              <w:rPr>
                <w:rFonts w:ascii="仿宋_GB2312" w:hAnsi="仿宋_GB2312" w:cs="仿宋_GB2312" w:eastAsia="仿宋_GB2312"/>
                <w:sz w:val="21"/>
              </w:rPr>
              <w:t>（二）款项结算</w:t>
            </w:r>
          </w:p>
          <w:p>
            <w:pPr>
              <w:pStyle w:val="null3"/>
              <w:ind w:firstLine="420"/>
            </w:pPr>
            <w:r>
              <w:rPr>
                <w:rFonts w:ascii="仿宋_GB2312" w:hAnsi="仿宋_GB2312" w:cs="仿宋_GB2312" w:eastAsia="仿宋_GB2312"/>
                <w:sz w:val="21"/>
              </w:rPr>
              <w:t>合同签订后，培训实施完成后一次性付清。</w:t>
            </w:r>
          </w:p>
          <w:p>
            <w:pPr>
              <w:pStyle w:val="null3"/>
              <w:ind w:firstLine="420"/>
            </w:pPr>
            <w:r>
              <w:rPr>
                <w:rFonts w:ascii="仿宋_GB2312" w:hAnsi="仿宋_GB2312" w:cs="仿宋_GB2312" w:eastAsia="仿宋_GB2312"/>
                <w:sz w:val="21"/>
              </w:rPr>
              <w:t>（三）质量验收标准或规范</w:t>
            </w:r>
          </w:p>
          <w:p>
            <w:pPr>
              <w:pStyle w:val="null3"/>
            </w:pPr>
            <w:r>
              <w:rPr>
                <w:rFonts w:ascii="仿宋_GB2312" w:hAnsi="仿宋_GB2312" w:cs="仿宋_GB2312" w:eastAsia="仿宋_GB2312"/>
                <w:sz w:val="21"/>
              </w:rPr>
              <w:t>按照采购方要求和相应技术参数，圆满完成项目并提交相应成果。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合同签订后，培训实施完成后，收到供应商开具的发票后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1.能清晰、准确把握培训目标、对象特点、核心需求及政策导向，并深度融入政策要求，分层分类精准分析对象需求；计15分。 2.能清晰、准确把握培训目标、对象特点、核心需求及政策导向，基本融入政策要求，分层分类分析对象需求；计12分。 3.基本能够把握培训目标、对象特点、核心需求及政策导向，部分提及政策要求，培训对象需求分析基本覆盖；计9分。 4.基本理解培训目标、对象特点、核心需求及政策导向，未体现政策要求，培训对象需求分析覆盖不全；计6分。 5.培训目标、对象特点、核心需求及政策导向理解不清晰，未体现政策要求，未针对各类培训对象需求进行分析；计3分。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1.方案完整科学；内容紧扣核心需求；集中培训形式多样、安排高效；培训师资力量强大，授课内容安排合理；突出实践性、操作性，具有创新性；计20分。 2.方案较为完整科学；内容符合核心需求；集中培训形式多样、安排较合理；组织培训师资力量较强大，授课内容安排较合理；突出实践性、操作性；计16分。 3.方案基本完整；内容基本满足核心需求；集中培训形式重复、安排基本合理；组织培训师资力量一般，授课内容安排基本合理；基本体现实践性、操作性；计12分。 4.方案基本可行；内容基本满足需求；集中培训形式重复、安排不够合理；组织培训师资力量较弱，授课内容安排不够合理；基本体现实践性、操作性；计8分。 5.方案内容模糊，缺乏针对性；集中培训形式单一、安排存在漏洞；组织培训师资力量弱，授课内容安排不合理；缺乏实践性、操作性；计4分。 6.本项不提供的，不得分。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1.拟投入本项目的项目团队说明清晰、全面；组织结构合理性强，小组分工明确，能切实保障各培训项目的有效开展；人员专业配备全面、合理，项目团队能够充分保证项目实施进度与质量；计15分。 2.拟投入本项目的项目团队说明较为清晰、全面；组织结构合理，小组分工明确，能保障各培训项目按要求开展；人员专业配备全面，项目团队能够保证项目实施进度与质量；计12分。 3.拟投入本项目的项目团队说明基本清晰；组织结构基本合理，小组分工基本明确，基本能保障各培训项目按要求开展；人员专业配备基本满足，项目团队基本能够保证项目实施进度与质量；计9分。 4.拟投入本项目的项目团队说明不够清晰；组织结构合理性较弱，小组分工未做说明，不太能保障培训项目开展；人员专业配备不足，项目团队不太能够保证项目实施进度与质量；计6分。 5.拟投入本项目的项目团队说明不清晰；组织结构及小组分工未做说明，不能切实保障各培训项目的有效开展；人员专业配备未做特别说明，项目团队较难保证项目实施进度与质量；计3分。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食宿安排</w:t>
            </w:r>
          </w:p>
        </w:tc>
        <w:tc>
          <w:tcPr>
            <w:tcW w:type="dxa" w:w="2492"/>
          </w:tcPr>
          <w:p>
            <w:pPr>
              <w:pStyle w:val="null3"/>
            </w:pPr>
            <w:r>
              <w:rPr>
                <w:rFonts w:ascii="仿宋_GB2312" w:hAnsi="仿宋_GB2312" w:cs="仿宋_GB2312" w:eastAsia="仿宋_GB2312"/>
              </w:rPr>
              <w:t>1.拟提供住宿场地安排合理，环境舒适，卫生干净，设施配备齐全；三餐干净卫生，营养均衡，搭配合理；计10分。 2.拟提供住宿场地安排较合理，环境较舒适，卫生较干净，设施配备较齐全；三餐较干净卫生，营养较均衡，搭配较合理；计8分。 3.拟提供住宿场地安排基本合理，环境基本舒适，卫生基本干净，设施配备基本齐全；三餐基本干净卫生，营养基本均衡，搭配基本合理；计6分。 4.拟提供住宿场地安排不太合理，环境卫生较差，设施配备不太齐全；三餐较简单，搭配不太合理；计4分。 5.拟提供住宿场地安排不合理，环境卫生差，设施配备不齐全；三餐简单，没有营养，搭配不合理；计2分。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1.提供内容完整、详实可行的项目实施进度计划；方案内容完备，合理性、可行性强，阶段清晰分明；能确保留有因不可抗力而无法举行培训的富余时间；完全满足项目要求；计10分。 2.提供内容较完整、可行的项目实施进度计划；方案内容完备，具备合理性、可行性，阶段较为清晰；能够满足项目要求；计8分。 3.提供内容基本完整的项目实施进度计划；方案内容基本完善，基本合理，阶段划分基本清晰；基本满足项目要求；计6分。 4.提供内容不够完整的项目实施进度计划；方案内容片面，合理性较弱，阶段划分模糊；不够满足项目要求；计4分。 5.提供内容不够完整、可行的项目实施进度计划；方案内容不完备，不太合理、可行，阶段不清晰；不太能满足项目要求；计2分。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1.具有健全的质量保障方案，方案科学合理，可行性强，针对性强；有科学合理的质量保障监督方案、效果评估方案；有应急预案和相应处理措施；计10分。 2.具有质量保障方案，方案较科学合理，可行性较强，针对性较强；有质量保障监督方案、效果评估方案；应急预案和相应处理措施不健全；计8分。 3.具有质量保障方案，方案可行性、针对性一般；有质量保障监督方案，但效果评估方案较为片面、不合理；应急预案和相应处理措施不健全；计6分。 4.质量保障方案模糊，可行性、针对性较弱；质量保障监督方案、评估方案均较为片面、不合理；未提供应急预案和相应处理措施；计4分。 5.质量保障方案模糊，可行性、针对性弱；未提供质量保障监督方案或效果评估方案；未提供应急预案和相应处理措施；计2分。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一、评审内容：供应商提供2022年1月1日至今类似项目业绩，每一份计2分，最多计10分。 二、评审标准：业绩证明材料（以磋商响应文件中提供的合同复印件为准，合同关键页内容须包含签订双方名称、签订时间、主要服务内容、双方盖章页等）。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