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版本号：ZY2025-08-0220250826001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西安老博会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ZY2025-08-02</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陕西正亚项目管理有限公司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西安老博会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ZY2025-08-02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西安老博会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我市银发经济发展，增进老年人福祉，优化和扩大养老服务供给，释放养老消费潜力，推动养老事业和养老产业高质量发展，第三届西安老博会上搭建西安养老展区及西安市星级养老机构展区，重点展示“十四五”我市养老发展成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采购包1（西安老博会）：属于专门面向中小企业采购。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 求填写《响应函》完成承诺并进行电子签章。提供直接控股和直接管理关系清单。若与其他投标人存在单位负责人为 同一人或者存在直接控股、管理关系的，则投标无效。</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2、法定代表人授权委托书：法定代表人参加投标的，须出示身份证；法定代表人授权他人参加投标的，须提供法定代表人授权委托书、被授权人身份证。</w:t>
      </w:r>
    </w:p>
    <w:p>
      <w:pPr>
        <w:pStyle w:val="null3"/>
      </w:pPr>
      <w:r>
        <w:rPr>
          <w:rFonts w:ascii="仿宋_GB2312" w:hAnsi="仿宋_GB2312" w:cs="仿宋_GB2312" w:eastAsia="仿宋_GB2312"/>
        </w:rPr>
        <w:t>3、本项目专门面向中小微企业采购： 本项目专门面向中小微企业采购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910000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郭护刚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13572002952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陕西省西安市未央区陕西省西安市经济技术开发区明光路凤城六路旭弘西北广场第15层1501室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谢璐瑶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17791522074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2、支付方式：中标人应在领取通知书的同时，向陕西正亚项目管理有限公司交纳本项目招标代理服务费。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陕西正亚项目管理有限公司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联系人：谢璐瑶</w:t>
      </w:r>
    </w:p>
    <w:p>
      <w:pPr>
        <w:pStyle w:val="null3"/>
      </w:pPr>
      <w:r>
        <w:rPr>
          <w:rFonts w:ascii="仿宋_GB2312" w:hAnsi="仿宋_GB2312" w:cs="仿宋_GB2312" w:eastAsia="仿宋_GB2312"/>
        </w:rPr>
        <w:t>联系电话：17791522074</w:t>
      </w:r>
    </w:p>
    <w:p>
      <w:pPr>
        <w:pStyle w:val="null3"/>
      </w:pPr>
      <w:r>
        <w:rPr>
          <w:rFonts w:ascii="仿宋_GB2312" w:hAnsi="仿宋_GB2312" w:cs="仿宋_GB2312" w:eastAsia="仿宋_GB2312"/>
        </w:rPr>
        <w:t>地址：陕西省西安市未央区陕西省西安市经济技术开发区明光路凤城六路旭弘西北广场第15层1501室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我市银发经济发展，增进老年人福祉，优化和扩大养老服务供给，释放养老消费潜力，推动养老事业和养老产业高质量发展，第三届西安老博会上搭建西安养老展区及西安市星级养老机构展区，重点展示“十四五”我市养老发展成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西安老博会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标的名称：西安老博会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为加快推进我市银发经济发展，增进老年人福祉，优化和扩大养老服务供给，释放养老消费潜力，推动养老事业和养老产业高质量发展</w:t>
            </w:r>
            <w:r>
              <w:rPr>
                <w:rFonts w:ascii="仿宋_GB2312" w:hAnsi="仿宋_GB2312" w:cs="仿宋_GB2312" w:eastAsia="仿宋_GB2312"/>
                <w:sz w:val="28"/>
              </w:rPr>
              <w:t>，第三</w:t>
            </w:r>
            <w:r>
              <w:rPr>
                <w:rFonts w:ascii="仿宋_GB2312" w:hAnsi="仿宋_GB2312" w:cs="仿宋_GB2312" w:eastAsia="仿宋_GB2312"/>
                <w:sz w:val="28"/>
              </w:rPr>
              <w:t>届西安老博会</w:t>
            </w:r>
            <w:r>
              <w:rPr>
                <w:rFonts w:ascii="仿宋_GB2312" w:hAnsi="仿宋_GB2312" w:cs="仿宋_GB2312" w:eastAsia="仿宋_GB2312"/>
                <w:sz w:val="28"/>
              </w:rPr>
              <w:t>上搭建</w:t>
            </w:r>
            <w:r>
              <w:rPr>
                <w:rFonts w:ascii="仿宋_GB2312" w:hAnsi="仿宋_GB2312" w:cs="仿宋_GB2312" w:eastAsia="仿宋_GB2312"/>
                <w:sz w:val="28"/>
              </w:rPr>
              <w:t>西安养老展区及西安市星级养老机构展区，重点展示</w:t>
            </w:r>
            <w:r>
              <w:rPr>
                <w:rFonts w:ascii="仿宋_GB2312" w:hAnsi="仿宋_GB2312" w:cs="仿宋_GB2312" w:eastAsia="仿宋_GB2312"/>
                <w:sz w:val="28"/>
              </w:rPr>
              <w:t>“十四五”</w:t>
            </w:r>
            <w:r>
              <w:rPr>
                <w:rFonts w:ascii="仿宋_GB2312" w:hAnsi="仿宋_GB2312" w:cs="仿宋_GB2312" w:eastAsia="仿宋_GB2312"/>
                <w:sz w:val="28"/>
              </w:rPr>
              <w:t>我市养老</w:t>
            </w:r>
            <w:r>
              <w:rPr>
                <w:rFonts w:ascii="仿宋_GB2312" w:hAnsi="仿宋_GB2312" w:cs="仿宋_GB2312" w:eastAsia="仿宋_GB2312"/>
                <w:sz w:val="28"/>
              </w:rPr>
              <w:t>发展</w:t>
            </w:r>
            <w:r>
              <w:rPr>
                <w:rFonts w:ascii="仿宋_GB2312" w:hAnsi="仿宋_GB2312" w:cs="仿宋_GB2312" w:eastAsia="仿宋_GB2312"/>
                <w:sz w:val="28"/>
              </w:rPr>
              <w:t>成果</w:t>
            </w:r>
            <w:r>
              <w:rPr>
                <w:rFonts w:ascii="仿宋_GB2312" w:hAnsi="仿宋_GB2312" w:cs="仿宋_GB2312" w:eastAsia="仿宋_GB2312"/>
                <w:sz w:val="28"/>
              </w:rPr>
              <w:t>。</w:t>
            </w:r>
          </w:p>
          <w:p>
            <w:pPr>
              <w:pStyle w:val="null3"/>
              <w:ind w:left="420"/>
              <w:jc w:val="both"/>
            </w:pPr>
            <w:r>
              <w:rPr>
                <w:rFonts w:ascii="仿宋_GB2312" w:hAnsi="仿宋_GB2312" w:cs="仿宋_GB2312" w:eastAsia="仿宋_GB2312"/>
                <w:sz w:val="28"/>
                <w:b/>
              </w:rPr>
              <w:t>二、服务内容（包括工作区域、工作内容等）</w:t>
            </w:r>
          </w:p>
          <w:p>
            <w:pPr>
              <w:pStyle w:val="null3"/>
              <w:ind w:left="420"/>
              <w:jc w:val="both"/>
            </w:pPr>
            <w:r>
              <w:rPr>
                <w:rFonts w:ascii="仿宋_GB2312" w:hAnsi="仿宋_GB2312" w:cs="仿宋_GB2312" w:eastAsia="仿宋_GB2312"/>
                <w:sz w:val="28"/>
              </w:rPr>
              <w:t>在第三届西安老博会上搭建</w:t>
            </w:r>
            <w:r>
              <w:rPr>
                <w:rFonts w:ascii="仿宋_GB2312" w:hAnsi="仿宋_GB2312" w:cs="仿宋_GB2312" w:eastAsia="仿宋_GB2312"/>
                <w:sz w:val="28"/>
              </w:rPr>
              <w:t>西安养老展区及西安市星级养老机构展区。</w:t>
            </w:r>
          </w:p>
          <w:p>
            <w:pPr>
              <w:pStyle w:val="null3"/>
              <w:ind w:left="420"/>
              <w:jc w:val="both"/>
            </w:pPr>
            <w:r>
              <w:rPr>
                <w:rFonts w:ascii="仿宋_GB2312" w:hAnsi="仿宋_GB2312" w:cs="仿宋_GB2312" w:eastAsia="仿宋_GB2312"/>
                <w:sz w:val="28"/>
                <w:b/>
              </w:rPr>
              <w:t>三、</w:t>
            </w:r>
            <w:r>
              <w:rPr>
                <w:rFonts w:ascii="仿宋_GB2312" w:hAnsi="仿宋_GB2312" w:cs="仿宋_GB2312" w:eastAsia="仿宋_GB2312"/>
                <w:sz w:val="28"/>
                <w:b/>
              </w:rPr>
              <w:t>技术要求（如有，一般适合于技术服务项目）</w:t>
            </w:r>
          </w:p>
          <w:p>
            <w:pPr>
              <w:pStyle w:val="null3"/>
              <w:ind w:left="420"/>
              <w:jc w:val="both"/>
            </w:pPr>
            <w:r>
              <w:rPr>
                <w:rFonts w:ascii="仿宋_GB2312" w:hAnsi="仿宋_GB2312" w:cs="仿宋_GB2312" w:eastAsia="仿宋_GB2312"/>
                <w:sz w:val="28"/>
              </w:rPr>
              <w:t>无</w:t>
            </w:r>
          </w:p>
          <w:p>
            <w:pPr>
              <w:pStyle w:val="null3"/>
              <w:ind w:left="420"/>
              <w:jc w:val="both"/>
            </w:pPr>
            <w:r>
              <w:rPr>
                <w:rFonts w:ascii="仿宋_GB2312" w:hAnsi="仿宋_GB2312" w:cs="仿宋_GB2312" w:eastAsia="仿宋_GB2312"/>
                <w:sz w:val="28"/>
                <w:b/>
              </w:rPr>
              <w:t>四、服务要求（如对人员配置、专业设备、服务标准等）</w:t>
            </w:r>
          </w:p>
          <w:p>
            <w:pPr>
              <w:pStyle w:val="null3"/>
              <w:ind w:left="420"/>
              <w:jc w:val="both"/>
            </w:pPr>
            <w:r>
              <w:rPr>
                <w:rFonts w:ascii="仿宋_GB2312" w:hAnsi="仿宋_GB2312" w:cs="仿宋_GB2312" w:eastAsia="仿宋_GB2312"/>
                <w:sz w:val="28"/>
              </w:rPr>
              <w:t>有</w:t>
            </w:r>
            <w:r>
              <w:rPr>
                <w:rFonts w:ascii="仿宋_GB2312" w:hAnsi="仿宋_GB2312" w:cs="仿宋_GB2312" w:eastAsia="仿宋_GB2312"/>
                <w:sz w:val="28"/>
              </w:rPr>
              <w:t>搭建</w:t>
            </w:r>
            <w:r>
              <w:rPr>
                <w:rFonts w:ascii="仿宋_GB2312" w:hAnsi="仿宋_GB2312" w:cs="仿宋_GB2312" w:eastAsia="仿宋_GB2312"/>
                <w:sz w:val="28"/>
              </w:rPr>
              <w:t>西安养老展区及西安市星级养老机构展区</w:t>
            </w:r>
            <w:r>
              <w:rPr>
                <w:rFonts w:ascii="仿宋_GB2312" w:hAnsi="仿宋_GB2312" w:cs="仿宋_GB2312" w:eastAsia="仿宋_GB2312"/>
                <w:sz w:val="28"/>
              </w:rPr>
              <w:t>工作经验。</w:t>
            </w:r>
          </w:p>
          <w:p>
            <w:pPr>
              <w:pStyle w:val="null3"/>
              <w:ind w:left="420"/>
              <w:jc w:val="both"/>
            </w:pPr>
            <w:r>
              <w:rPr>
                <w:rFonts w:ascii="仿宋_GB2312" w:hAnsi="仿宋_GB2312" w:cs="仿宋_GB2312" w:eastAsia="仿宋_GB2312"/>
                <w:sz w:val="28"/>
                <w:b/>
              </w:rPr>
              <w:t>五、商务要求（如服务期限、款项结算等）</w:t>
            </w:r>
          </w:p>
          <w:p>
            <w:pPr>
              <w:pStyle w:val="null3"/>
              <w:ind w:left="420"/>
              <w:jc w:val="both"/>
            </w:pPr>
            <w:r>
              <w:rPr>
                <w:rFonts w:ascii="仿宋_GB2312" w:hAnsi="仿宋_GB2312" w:cs="仿宋_GB2312" w:eastAsia="仿宋_GB2312"/>
                <w:sz w:val="28"/>
              </w:rPr>
              <w:t>（一）服务期限</w:t>
            </w:r>
          </w:p>
          <w:p>
            <w:pPr>
              <w:pStyle w:val="null3"/>
              <w:ind w:left="420"/>
              <w:jc w:val="both"/>
            </w:pPr>
            <w:r>
              <w:rPr>
                <w:rFonts w:ascii="仿宋_GB2312" w:hAnsi="仿宋_GB2312" w:cs="仿宋_GB2312" w:eastAsia="仿宋_GB2312"/>
                <w:sz w:val="28"/>
              </w:rPr>
              <w:t xml:space="preserve">  自合同签订之日起至</w:t>
            </w:r>
            <w:r>
              <w:rPr>
                <w:rFonts w:ascii="仿宋_GB2312" w:hAnsi="仿宋_GB2312" w:cs="仿宋_GB2312" w:eastAsia="仿宋_GB2312"/>
                <w:sz w:val="28"/>
              </w:rPr>
              <w:t>2025年</w:t>
            </w:r>
            <w:r>
              <w:rPr>
                <w:rFonts w:ascii="仿宋_GB2312" w:hAnsi="仿宋_GB2312" w:cs="仿宋_GB2312" w:eastAsia="仿宋_GB2312"/>
                <w:sz w:val="28"/>
              </w:rPr>
              <w:t>9月20日</w:t>
            </w:r>
            <w:r>
              <w:rPr>
                <w:rFonts w:ascii="仿宋_GB2312" w:hAnsi="仿宋_GB2312" w:cs="仿宋_GB2312" w:eastAsia="仿宋_GB2312"/>
                <w:sz w:val="28"/>
              </w:rPr>
              <w:t>。</w:t>
            </w:r>
          </w:p>
          <w:p>
            <w:pPr>
              <w:pStyle w:val="null3"/>
              <w:ind w:left="42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其中自合同签订之日起</w:t>
            </w:r>
            <w:r>
              <w:rPr>
                <w:rFonts w:ascii="仿宋_GB2312" w:hAnsi="仿宋_GB2312" w:cs="仿宋_GB2312" w:eastAsia="仿宋_GB2312"/>
                <w:sz w:val="28"/>
              </w:rPr>
              <w:t>30日内，市民政局向服务供应商支付活动全部价款</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六、其他（如有要求，请写明）</w:t>
            </w:r>
          </w:p>
          <w:p>
            <w:pPr>
              <w:pStyle w:val="null3"/>
              <w:jc w:val="both"/>
            </w:pPr>
            <w:r>
              <w:rPr>
                <w:rFonts w:ascii="仿宋_GB2312" w:hAnsi="仿宋_GB2312" w:cs="仿宋_GB2312" w:eastAsia="仿宋_GB2312"/>
                <w:sz w:val="28"/>
              </w:rPr>
              <w:t>（一）对服务商的业绩要求</w:t>
            </w:r>
          </w:p>
          <w:p>
            <w:pPr>
              <w:pStyle w:val="null3"/>
              <w:jc w:val="both"/>
            </w:pPr>
            <w:r>
              <w:rPr>
                <w:rFonts w:ascii="仿宋_GB2312" w:hAnsi="仿宋_GB2312" w:cs="仿宋_GB2312" w:eastAsia="仿宋_GB2312"/>
                <w:sz w:val="28"/>
              </w:rPr>
              <w:t xml:space="preserve">  提供</w:t>
            </w:r>
            <w:r>
              <w:rPr>
                <w:rFonts w:ascii="仿宋_GB2312" w:hAnsi="仿宋_GB2312" w:cs="仿宋_GB2312" w:eastAsia="仿宋_GB2312"/>
                <w:sz w:val="28"/>
              </w:rPr>
              <w:t>202</w:t>
            </w:r>
            <w:r>
              <w:rPr>
                <w:rFonts w:ascii="仿宋_GB2312" w:hAnsi="仿宋_GB2312" w:cs="仿宋_GB2312" w:eastAsia="仿宋_GB2312"/>
                <w:sz w:val="28"/>
              </w:rPr>
              <w:t>3</w:t>
            </w:r>
            <w:r>
              <w:rPr>
                <w:rFonts w:ascii="仿宋_GB2312" w:hAnsi="仿宋_GB2312" w:cs="仿宋_GB2312" w:eastAsia="仿宋_GB2312"/>
                <w:sz w:val="28"/>
              </w:rPr>
              <w:t>年以来同类型项目业绩合同一份。</w:t>
            </w:r>
          </w:p>
          <w:p>
            <w:pPr>
              <w:pStyle w:val="null3"/>
              <w:jc w:val="both"/>
            </w:pPr>
            <w:r>
              <w:rPr>
                <w:rFonts w:ascii="仿宋_GB2312" w:hAnsi="仿宋_GB2312" w:cs="仿宋_GB2312" w:eastAsia="仿宋_GB2312"/>
                <w:sz w:val="28"/>
              </w:rPr>
              <w:t>（二）进度要求</w:t>
            </w:r>
          </w:p>
          <w:p>
            <w:pPr>
              <w:pStyle w:val="null3"/>
              <w:jc w:val="both"/>
            </w:pPr>
            <w:r>
              <w:rPr>
                <w:rFonts w:ascii="仿宋_GB2312" w:hAnsi="仿宋_GB2312" w:cs="仿宋_GB2312" w:eastAsia="仿宋_GB2312"/>
                <w:sz w:val="28"/>
              </w:rPr>
              <w:t xml:space="preserve">  应在</w:t>
            </w:r>
            <w:r>
              <w:rPr>
                <w:rFonts w:ascii="仿宋_GB2312" w:hAnsi="仿宋_GB2312" w:cs="仿宋_GB2312" w:eastAsia="仿宋_GB2312"/>
                <w:sz w:val="28"/>
              </w:rPr>
              <w:t>2025年9月18日完成</w:t>
            </w:r>
            <w:r>
              <w:rPr>
                <w:rFonts w:ascii="仿宋_GB2312" w:hAnsi="仿宋_GB2312" w:cs="仿宋_GB2312" w:eastAsia="仿宋_GB2312"/>
                <w:sz w:val="28"/>
              </w:rPr>
              <w:t>西安养老展区及西安市星级养老机构展区</w:t>
            </w:r>
            <w:r>
              <w:rPr>
                <w:rFonts w:ascii="仿宋_GB2312" w:hAnsi="仿宋_GB2312" w:cs="仿宋_GB2312" w:eastAsia="仿宋_GB2312"/>
                <w:sz w:val="28"/>
              </w:rPr>
              <w:t>搭建全部工作</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（三）成果交付要求</w:t>
            </w:r>
          </w:p>
          <w:p>
            <w:pPr>
              <w:pStyle w:val="null3"/>
              <w:ind w:firstLine="560"/>
              <w:jc w:val="both"/>
            </w:pPr>
            <w:r>
              <w:rPr>
                <w:rFonts w:ascii="仿宋_GB2312" w:hAnsi="仿宋_GB2312" w:cs="仿宋_GB2312" w:eastAsia="仿宋_GB2312"/>
                <w:sz w:val="28"/>
              </w:rPr>
              <w:t>活动结束后服务供应商向市民政局出具专业的总结报告，</w:t>
            </w:r>
            <w:r>
              <w:rPr>
                <w:rFonts w:ascii="仿宋_GB2312" w:hAnsi="仿宋_GB2312" w:cs="仿宋_GB2312" w:eastAsia="仿宋_GB2312"/>
                <w:sz w:val="28"/>
              </w:rPr>
              <w:t>市民政局按照计划要求，逐一对照检查，做到不漏项目、不降低标准，确保项目执行的真实性、准确性</w:t>
            </w:r>
          </w:p>
          <w:p>
            <w:pPr>
              <w:pStyle w:val="null3"/>
              <w:ind w:firstLine="560"/>
              <w:jc w:val="both"/>
            </w:pPr>
            <w:r>
              <w:rPr>
                <w:rFonts w:ascii="仿宋_GB2312" w:hAnsi="仿宋_GB2312" w:cs="仿宋_GB2312" w:eastAsia="仿宋_GB2312"/>
                <w:sz w:val="28"/>
              </w:rPr>
              <w:t>（四）质量验收标准或规范</w:t>
            </w:r>
          </w:p>
          <w:p>
            <w:pPr>
              <w:pStyle w:val="null3"/>
              <w:ind w:firstLine="560"/>
              <w:jc w:val="both"/>
            </w:pPr>
            <w:r>
              <w:rPr>
                <w:rFonts w:ascii="仿宋_GB2312" w:hAnsi="仿宋_GB2312" w:cs="仿宋_GB2312" w:eastAsia="仿宋_GB2312"/>
                <w:sz w:val="28"/>
              </w:rPr>
              <w:t>按照合同要求，</w:t>
            </w:r>
            <w:r>
              <w:rPr>
                <w:rFonts w:ascii="仿宋_GB2312" w:hAnsi="仿宋_GB2312" w:cs="仿宋_GB2312" w:eastAsia="仿宋_GB2312"/>
                <w:sz w:val="28"/>
              </w:rPr>
              <w:t>在第三届西安老博会开幕前搭建完成</w:t>
            </w:r>
            <w:r>
              <w:rPr>
                <w:rFonts w:ascii="仿宋_GB2312" w:hAnsi="仿宋_GB2312" w:cs="仿宋_GB2312" w:eastAsia="仿宋_GB2312"/>
                <w:sz w:val="28"/>
              </w:rPr>
              <w:t>西安养老展区及西安市星级养老机构展区</w:t>
            </w:r>
            <w:r>
              <w:rPr>
                <w:rFonts w:ascii="仿宋_GB2312" w:hAnsi="仿宋_GB2312" w:cs="仿宋_GB2312" w:eastAsia="仿宋_GB2312"/>
                <w:sz w:val="28"/>
              </w:rPr>
              <w:t>搭建全部工作</w:t>
            </w:r>
            <w:r>
              <w:rPr>
                <w:rFonts w:ascii="仿宋_GB2312" w:hAnsi="仿宋_GB2312" w:cs="仿宋_GB2312" w:eastAsia="仿宋_GB2312"/>
                <w:sz w:val="28"/>
              </w:rPr>
              <w:t>。</w:t>
            </w:r>
          </w:p>
          <w:p>
            <w:pPr>
              <w:pStyle w:val="null3"/>
            </w:pPr>
            <w:r>
              <w:rPr>
                <w:rFonts w:ascii="仿宋_GB2312" w:hAnsi="仿宋_GB2312" w:cs="仿宋_GB2312" w:eastAsia="仿宋_GB2312"/>
                <w:sz w:val="28"/>
              </w:rPr>
              <w:t>（五）违约责任</w:t>
            </w:r>
          </w:p>
          <w:p>
            <w:pPr>
              <w:pStyle w:val="null3"/>
              <w:ind w:firstLine="560"/>
              <w:jc w:val="both"/>
            </w:pPr>
            <w:r>
              <w:rPr>
                <w:rFonts w:ascii="仿宋_GB2312" w:hAnsi="仿宋_GB2312" w:cs="仿宋_GB2312" w:eastAsia="仿宋_GB2312"/>
                <w:sz w:val="28"/>
              </w:rPr>
              <w:t>服务供应商未按协议要求提供服务，且经市民政局书面要求整改仍无法满足服务需求，或给市民政局造成损失的，市民政局有权直接解除合同并追究服务供应商的违约责任，并且服务供应商承担由此造成的一切损失，包括直接损失和间接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可邮寄），正本壹份、副本贰份、电子版壹份（U盘一份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线下递交文件时间：详见本项目招标公告提交投标文件截止时间；线下递交文件地点：陕西省西安市经济技术开发区明光路凤城六路旭弘西北广场第15层1501室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1、具有独立承担民事责任能力的法人、其他组织或自然人，提供合法有效的统一社会信用代码营业执照（事业单位提供事业单位法人证书，自然人应提供身份证）； 2、税收缴纳证明：法人提供响应文件截止时间前一年内至少一个月已缴纳的税收凭据；其他组织和自然人提供响应文件截止时间前一年内至少一个月缴纳税收的凭据；依法免税的供应商应提供相关文件证明； 3、社会保障资金缴纳证明：提供响应文件截止时间前一年内至少一个月已缴纳的社会保障资金的凭据；依法不需要缴纳社会保障资金的供应商应提供相关文件证明； 4、提供具有履行本合同所必需的专业技术能力的声明； 5、参加本次政府采购活动前3年内在经营活动中没有重大违纪，以及未被列入失信被执行人、重大税收违法案件当事人名单、政府采购严重违法失信行为记录名单的书面声明；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经审计的2023或2024年度的财务报告或提交响应文件截止时间前六个月内其基本账户开户银行出具的资信证明（附开户许可证或开户备案证明或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(3）《财政部司法部关于政府采购支持监狱企业发展有关问题的通知》（财库〔2014〕68号）； (4）《关于调整优化节能产品、环境标志产品政府采购执行机制的通知》（财库〔2019〕9号）、《国务院办公厅关于建立政府强制采购节能产品制度的通知》（国办发〔2007〕51号）； (5）《节能产品政府采购实施意见》（财库[2004]185号）； (6）《环境标志产品政府采购实施的意见》（财库[2006]90号）； (7）《关于促进残疾人就业政府采购政策的通知》（财库〔2017〕141号）； (8）《陕西省中小企业政府采购信用融资办法》（陕财办采〔2018〕23号）；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求填写《响应函》完成承诺并进行电子签章。提供直接控股和直接管理关系清单。若与其他投标人存在单位负责人为 同一人或者存在直接控股、管理关系的，则投标无效。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本项目专门面向中小微企业采购</w:t>
            </w:r>
          </w:p>
        </w:tc>
        <w:tc>
          <w:tcPr>
            <w:tcW w:type="dxa" w:w="3322"/>
          </w:tcPr>
          <w:p>
            <w:pPr>
              <w:pStyle w:val="null3"/>
            </w:pPr>
            <w:r>
              <w:rPr>
                <w:rFonts w:ascii="仿宋_GB2312" w:hAnsi="仿宋_GB2312" w:cs="仿宋_GB2312" w:eastAsia="仿宋_GB2312"/>
              </w:rPr>
              <w:t xml:space="preserve"> 本项目专门面向中小微企业采购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实质性响应的供应商报价，有可能影响产品质量或者不能诚信履约的，磋商小组应当要求其在评审现场合理的时间内提供成本构成书面说明，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有下列情形之一的，应在符合性审查时按照无效投标处理： (1)响应文件未按照采购文件规定要求签署、盖章的； (2)不满足本磋商文件中“服务期限、服务地点、支付方式及支付约定”的实质性条款要求的； (3)响应有效期不足的或无有效期的；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响应文件封面 服务方案 标的清单 承诺书.docx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磋商小组根据供应商针对本项目的整体实施方案（包括但不限于①展会现场搭建方案;②展会现场服务及管理方案;③重难点工作安排部署方案等）进行打分 展会现场搭建方案内容丰富、科学合理，展会现场服务及管理方案科学、合理，重难点工作安排部署方案有充分的认识，措施具体，针对性强，相关建议可行性高的根据响应情况计12.1-20分； 展会现场搭建方案内容较丰富、科学较合理，展会现场服务及管理方案较科学、合理，重难点工作安排部署方案有基本充分的认识，针对性较强，相关建议可行性较高根据响应情况计6.1-12分； 展会现场搭建方案内容比较单一，展会现场服务及管理方案有基本的大纲，重难点工作安排部署方案认识不够充分，针对性不够强，相关建议可行性不高根据响应情况计0.1-6分；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展台设计方案</w:t>
            </w:r>
          </w:p>
        </w:tc>
        <w:tc>
          <w:tcPr>
            <w:tcW w:type="dxa" w:w="2492"/>
          </w:tcPr>
          <w:p>
            <w:pPr>
              <w:pStyle w:val="null3"/>
            </w:pPr>
            <w:r>
              <w:rPr>
                <w:rFonts w:ascii="仿宋_GB2312" w:hAnsi="仿宋_GB2312" w:cs="仿宋_GB2312" w:eastAsia="仿宋_GB2312"/>
              </w:rPr>
              <w:t>磋商小组根据供应商针对本项目提供展台设计方案（包括但不限于设计制作方案、设计图纸等） 展台设计与制作方案想法多、造型有花样、可行性强，设计图纸清晰、明确、可实施性强完全满足采购人需求的根据响应情况计7.1-14分； 展台设计与制作方案想法较多、造型有一定花样、可行性较强，设计图纸比较清晰、明确、可实施性较强基本满足采购人需求的根据响应情况3.1-7分； 展台设计与制作方案想法单一、造型简单、可行性不高，设计图纸有大概框架、可实施性不高不能满足采购人需求的根据响应情况计0.1-3分； 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磋商小组根据供应商提供的针对本项目的进度安排（包括但不限于工作进度、各环节的工作程序和步骤等）进行打分 工作进度安排合理、明确，各环节工作衔接有序、步骤清晰，合理符合本项目日程要求的计7.1-10分； 工作进度安排基本合理、明确，各环节工作衔接时间节点把握较合理，较明确完整、步骤较清晰的基本符合本项目日程要求的计3.1-7分； 工作进度安排内容有所欠缺，各环节时间节点把握不够合理，针对性不强，步骤模糊的计0.1-3分；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成果交付方案</w:t>
            </w:r>
          </w:p>
        </w:tc>
        <w:tc>
          <w:tcPr>
            <w:tcW w:type="dxa" w:w="2492"/>
          </w:tcPr>
          <w:p>
            <w:pPr>
              <w:pStyle w:val="null3"/>
            </w:pPr>
            <w:r>
              <w:rPr>
                <w:rFonts w:ascii="仿宋_GB2312" w:hAnsi="仿宋_GB2312" w:cs="仿宋_GB2312" w:eastAsia="仿宋_GB2312"/>
              </w:rPr>
              <w:t>磋商小组根据供应商提供的针对本项目的成果交付方案（包括但不限于交付报告以及技术规范和标准等） 方案内容描述详细，针对项目情况有具体的分析阐述，工作程序明确、实施方案、技术要求完全满足上述要求且可行性强完全满足采购人要求的计7.1-10分； 方案内容虽阐述但未贴合项目实际情况进行论述，实施方案、技术要求基本满足上述要求，未包括具体实施细节及措施，基本能满足采购人需求的计3.1-7分； 方案内容不完整，存在部分不足，未提供具体的实施措施，根据响应情况计0.1-3分；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根据供应商提供的服务团队其他成员配置内容（包括但不限于团队人员配置、团队专业能力及工作经验、团队管理方案）进行综合评分。 团队人员配置完整合理、分工明确、岗位职责明确、工作经验丰富、专业能力强、有制定完整合理可行的管理方案的计7.1-10分； 团队人员配置单一、分工基本合理、岗位职责较明确、有相应的工作经验、有相应管理方案基本可行的计3.1-7分； 团队人员配置不合理、岗位职责模糊、没有相应的工作经验、管理方案不可行根据响应情况计0.1-3分。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业绩：提供2023年以来至今同类项目合同（以合同签订日期为准），每提供1个得2分，最高得6分。 备注：响应文件中提供合同复印件加盖公章，原件现场备查，未提供原件的以复印件为准。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磋商小组根据供应商针对本项目实施过程中出现的应急事件（包括但不限于设施设备故障、材料出现质量问题等）以及其他突发事件的处理措施进行打分。 措施内容全面、完善具体，突发事件的处理措施流程完整，处理思路清晰，可操作性高，计7.1-10分； 措施内容较全面具体，突发事件的处理措施流程较完整，处理思路较清晰，可操作性较高，计3.1-7分； 措施内容基本全面具体，有基本的突发事件的处理措施的计0.1-3分。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磋商小组根据供应商针对本项目提供的质量保障措施进行打分（包括但不限于搭建工程质量保障方案、搭建工程质量控制体系、以及材料配件的质量控制等） 内容完整具体、科学合理、保障方案得力、针对项目需求且可行性强的计7.1-10分； 内容较完整具体、科学合理性较好、保障方案可行、针对项目需求且可行性较好的计3.1-7分； 内容基本合理可行略有欠缺、部分需进一步修改完善方可满足项目要求的计0.1-3分；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 价格分=(评标基准价／磋商报价)×报价分值 注：1、计算分数时四舍五入取小数点后两位； 2、落实政府采购政策：参见供应商须知前附表。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详见附件：服务响应与偏离表.docx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