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61B09">
      <w:pPr>
        <w:pStyle w:val="2"/>
        <w:keepNext w:val="0"/>
        <w:keepLines w:val="0"/>
        <w:pageBreakBefore w:val="0"/>
        <w:widowControl w:val="0"/>
        <w:numPr>
          <w:ilvl w:val="0"/>
          <w:numId w:val="0"/>
        </w:numPr>
        <w:kinsoku/>
        <w:wordWrap/>
        <w:overflowPunct w:val="0"/>
        <w:topLinePunct/>
        <w:autoSpaceDE/>
        <w:autoSpaceDN/>
        <w:bidi w:val="0"/>
        <w:spacing w:line="276" w:lineRule="auto"/>
        <w:jc w:val="center"/>
        <w:textAlignment w:val="auto"/>
        <w:rPr>
          <w:rFonts w:hint="eastAsia" w:ascii="宋体" w:hAnsi="宋体" w:cs="宋体"/>
          <w:b/>
          <w:bCs/>
          <w:color w:val="000000" w:themeColor="text1"/>
          <w:kern w:val="2"/>
          <w:sz w:val="32"/>
          <w:szCs w:val="32"/>
          <w14:textFill>
            <w14:solidFill>
              <w14:schemeClr w14:val="tx1"/>
            </w14:solidFill>
          </w14:textFill>
        </w:rPr>
      </w:pPr>
      <w:r>
        <w:rPr>
          <w:rFonts w:hint="eastAsia" w:ascii="宋体" w:hAnsi="宋体" w:cs="宋体"/>
          <w:b/>
          <w:bCs/>
          <w:color w:val="000000" w:themeColor="text1"/>
          <w:kern w:val="2"/>
          <w:sz w:val="32"/>
          <w:szCs w:val="32"/>
          <w14:textFill>
            <w14:solidFill>
              <w14:schemeClr w14:val="tx1"/>
            </w14:solidFill>
          </w14:textFill>
        </w:rPr>
        <w:t>采购合同</w:t>
      </w:r>
    </w:p>
    <w:p w14:paraId="07DA9803">
      <w:pPr>
        <w:overflowPunct w:val="0"/>
        <w:adjustRightInd w:val="0"/>
        <w:snapToGrid w:val="0"/>
        <w:spacing w:before="156" w:beforeLines="50" w:line="460" w:lineRule="exact"/>
        <w:jc w:val="center"/>
        <w:rPr>
          <w:rFonts w:hint="eastAsia" w:ascii="宋体" w:hAnsi="宋体" w:eastAsia="宋体" w:cs="宋体"/>
          <w:b/>
          <w:bCs/>
          <w:color w:val="000000" w:themeColor="text1"/>
          <w:kern w:val="2"/>
          <w:sz w:val="32"/>
          <w:szCs w:val="32"/>
          <w:lang w:eastAsia="zh-CN"/>
          <w14:textFill>
            <w14:solidFill>
              <w14:schemeClr w14:val="tx1"/>
            </w14:solidFill>
          </w14:textFill>
        </w:rPr>
      </w:pPr>
      <w:r>
        <w:rPr>
          <w:rFonts w:hint="eastAsia" w:ascii="宋体" w:hAnsi="宋体" w:cs="宋体"/>
          <w:b/>
          <w:bCs/>
          <w:color w:val="000000" w:themeColor="text1"/>
          <w:kern w:val="2"/>
          <w:sz w:val="32"/>
          <w:szCs w:val="32"/>
          <w:lang w:eastAsia="zh-CN"/>
          <w14:textFill>
            <w14:solidFill>
              <w14:schemeClr w14:val="tx1"/>
            </w14:solidFill>
          </w14:textFill>
        </w:rPr>
        <w:t>（</w:t>
      </w:r>
      <w:r>
        <w:rPr>
          <w:rFonts w:hint="eastAsia" w:ascii="宋体" w:hAnsi="宋体" w:cs="宋体"/>
          <w:b/>
          <w:bCs/>
          <w:color w:val="000000" w:themeColor="text1"/>
          <w:kern w:val="2"/>
          <w:sz w:val="24"/>
          <w:szCs w:val="24"/>
          <w14:textFill>
            <w14:solidFill>
              <w14:schemeClr w14:val="tx1"/>
            </w14:solidFill>
          </w14:textFill>
        </w:rPr>
        <w:t>合同参考样式</w:t>
      </w:r>
      <w:r>
        <w:rPr>
          <w:rFonts w:hint="eastAsia" w:ascii="宋体" w:hAnsi="宋体" w:cs="宋体"/>
          <w:b/>
          <w:bCs/>
          <w:color w:val="000000" w:themeColor="text1"/>
          <w:kern w:val="2"/>
          <w:sz w:val="32"/>
          <w:szCs w:val="32"/>
          <w:lang w:eastAsia="zh-CN"/>
          <w14:textFill>
            <w14:solidFill>
              <w14:schemeClr w14:val="tx1"/>
            </w14:solidFill>
          </w14:textFill>
        </w:rPr>
        <w:t>）</w:t>
      </w:r>
    </w:p>
    <w:p w14:paraId="4038A18D">
      <w:pPr>
        <w:overflowPunct w:val="0"/>
        <w:adjustRightInd w:val="0"/>
        <w:snapToGrid w:val="0"/>
        <w:spacing w:line="460" w:lineRule="exact"/>
        <w:rPr>
          <w:rFonts w:ascii="宋体" w:hAnsi="宋体" w:cs="宋体"/>
          <w:color w:val="000000" w:themeColor="text1"/>
          <w:sz w:val="24"/>
          <w:szCs w:val="24"/>
          <w14:textFill>
            <w14:solidFill>
              <w14:schemeClr w14:val="tx1"/>
            </w14:solidFill>
          </w14:textFill>
        </w:rPr>
      </w:pPr>
    </w:p>
    <w:p w14:paraId="1076AB8A">
      <w:pPr>
        <w:overflowPunct w:val="0"/>
        <w:adjustRightInd w:val="0"/>
        <w:snapToGrid w:val="0"/>
        <w:spacing w:line="460" w:lineRule="exac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甲方：</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（采购人）</w:t>
      </w:r>
    </w:p>
    <w:p w14:paraId="0AE2445E">
      <w:pPr>
        <w:overflowPunct w:val="0"/>
        <w:adjustRightInd w:val="0"/>
        <w:snapToGrid w:val="0"/>
        <w:spacing w:line="460" w:lineRule="exac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（中标人）</w:t>
      </w:r>
    </w:p>
    <w:p w14:paraId="5D450BF1">
      <w:pPr>
        <w:overflowPunct w:val="0"/>
        <w:adjustRightInd w:val="0"/>
        <w:snapToGrid w:val="0"/>
        <w:spacing w:line="460" w:lineRule="exact"/>
        <w:rPr>
          <w:rFonts w:ascii="宋体" w:hAnsi="宋体" w:cs="宋体"/>
          <w:color w:val="000000" w:themeColor="text1"/>
          <w:sz w:val="24"/>
          <w:szCs w:val="24"/>
          <w:shd w:val="clear" w:color="auto" w:fill="FFFFFF"/>
          <w14:textFill>
            <w14:solidFill>
              <w14:schemeClr w14:val="tx1"/>
            </w14:solidFill>
          </w14:textFill>
        </w:rPr>
      </w:pPr>
    </w:p>
    <w:p w14:paraId="077BA5CF">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 xml:space="preserve"> </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（项目名称）    </w:t>
      </w:r>
      <w:r>
        <w:rPr>
          <w:rFonts w:hint="eastAsia" w:ascii="宋体" w:hAnsi="宋体" w:cs="宋体"/>
          <w:color w:val="000000" w:themeColor="text1"/>
          <w:sz w:val="24"/>
          <w:szCs w:val="24"/>
          <w14:textFill>
            <w14:solidFill>
              <w14:schemeClr w14:val="tx1"/>
            </w14:solidFill>
          </w14:textFill>
        </w:rPr>
        <w:t>由</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（以下简称甲方）委托陕西瑞通工程造价咨询有限公司组织公开招标，经招标确定</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公司（以下简称乙方）为该项目</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none"/>
          <w:lang w:val="en-US" w:eastAsia="zh-CN"/>
          <w14:textFill>
            <w14:solidFill>
              <w14:schemeClr w14:val="tx1"/>
            </w14:solidFill>
          </w14:textFill>
        </w:rPr>
        <w:t>包</w:t>
      </w:r>
      <w:r>
        <w:rPr>
          <w:rFonts w:hint="eastAsia" w:ascii="宋体" w:hAnsi="宋体" w:cs="宋体"/>
          <w:color w:val="000000" w:themeColor="text1"/>
          <w:sz w:val="24"/>
          <w:szCs w:val="24"/>
          <w14:textFill>
            <w14:solidFill>
              <w14:schemeClr w14:val="tx1"/>
            </w14:solidFill>
          </w14:textFill>
        </w:rPr>
        <w:t>中标人。依据《中华人民共和国民法典》经甲、乙双方共同协商，按下述条款和条件签署本合同。</w:t>
      </w:r>
    </w:p>
    <w:p w14:paraId="63BD1B45">
      <w:pPr>
        <w:pStyle w:val="3"/>
        <w:keepNext w:val="0"/>
        <w:keepLines w:val="0"/>
        <w:numPr>
          <w:ilvl w:val="2"/>
          <w:numId w:val="0"/>
        </w:numPr>
        <w:overflowPunct w:val="0"/>
        <w:adjustRightInd w:val="0"/>
        <w:snapToGrid w:val="0"/>
        <w:spacing w:before="0" w:after="156" w:afterLines="50" w:line="460" w:lineRule="exact"/>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0" w:name="_Toc29437"/>
      <w:bookmarkStart w:id="1" w:name="_Toc11641"/>
      <w:r>
        <w:rPr>
          <w:rFonts w:hint="eastAsia" w:ascii="宋体" w:hAnsi="宋体" w:eastAsia="宋体" w:cs="宋体"/>
          <w:color w:val="000000" w:themeColor="text1"/>
          <w:kern w:val="2"/>
          <w:sz w:val="24"/>
          <w:szCs w:val="24"/>
          <w:lang w:val="en-US" w:eastAsia="zh-CN" w:bidi="ar-SA"/>
          <w14:textFill>
            <w14:solidFill>
              <w14:schemeClr w14:val="tx1"/>
            </w14:solidFill>
          </w14:textFill>
        </w:rPr>
        <w:t>1.合同标的及数量</w:t>
      </w:r>
      <w:bookmarkEnd w:id="0"/>
      <w:bookmarkEnd w:id="1"/>
    </w:p>
    <w:tbl>
      <w:tblPr>
        <w:tblStyle w:val="6"/>
        <w:tblW w:w="501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16"/>
        <w:gridCol w:w="1108"/>
        <w:gridCol w:w="564"/>
        <w:gridCol w:w="521"/>
        <w:gridCol w:w="803"/>
        <w:gridCol w:w="1003"/>
        <w:gridCol w:w="999"/>
        <w:gridCol w:w="1002"/>
        <w:gridCol w:w="986"/>
        <w:gridCol w:w="937"/>
      </w:tblGrid>
      <w:tr w14:paraId="7C1CF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7" w:hRule="atLeast"/>
        </w:trPr>
        <w:tc>
          <w:tcPr>
            <w:tcW w:w="365" w:type="pct"/>
            <w:shd w:val="clear" w:color="auto" w:fill="auto"/>
            <w:vAlign w:val="center"/>
          </w:tcPr>
          <w:p w14:paraId="778BA674">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序号</w:t>
            </w:r>
          </w:p>
        </w:tc>
        <w:tc>
          <w:tcPr>
            <w:tcW w:w="652" w:type="pct"/>
            <w:shd w:val="clear" w:color="auto" w:fill="auto"/>
            <w:vAlign w:val="center"/>
          </w:tcPr>
          <w:p w14:paraId="6CD0ADB8">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品目</w:t>
            </w:r>
          </w:p>
        </w:tc>
        <w:tc>
          <w:tcPr>
            <w:tcW w:w="334" w:type="pct"/>
            <w:shd w:val="clear" w:color="auto" w:fill="auto"/>
            <w:vAlign w:val="center"/>
          </w:tcPr>
          <w:p w14:paraId="47D4674F">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数量</w:t>
            </w:r>
          </w:p>
        </w:tc>
        <w:tc>
          <w:tcPr>
            <w:tcW w:w="309" w:type="pct"/>
            <w:shd w:val="clear" w:color="auto" w:fill="auto"/>
            <w:vAlign w:val="center"/>
          </w:tcPr>
          <w:p w14:paraId="6C0A24AA">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单位</w:t>
            </w:r>
          </w:p>
        </w:tc>
        <w:tc>
          <w:tcPr>
            <w:tcW w:w="474" w:type="pct"/>
            <w:shd w:val="clear" w:color="auto" w:fill="auto"/>
            <w:vAlign w:val="center"/>
          </w:tcPr>
          <w:p w14:paraId="51EB070F">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品牌</w:t>
            </w:r>
          </w:p>
        </w:tc>
        <w:tc>
          <w:tcPr>
            <w:tcW w:w="589" w:type="pct"/>
            <w:shd w:val="clear" w:color="auto" w:fill="auto"/>
            <w:vAlign w:val="center"/>
          </w:tcPr>
          <w:p w14:paraId="6330CF0B">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规格</w:t>
            </w:r>
          </w:p>
          <w:p w14:paraId="167D7A80">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型号</w:t>
            </w:r>
          </w:p>
        </w:tc>
        <w:tc>
          <w:tcPr>
            <w:tcW w:w="589" w:type="pct"/>
            <w:shd w:val="clear" w:color="auto" w:fill="auto"/>
            <w:vAlign w:val="center"/>
          </w:tcPr>
          <w:p w14:paraId="60F46DCD">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制造商</w:t>
            </w:r>
          </w:p>
        </w:tc>
        <w:tc>
          <w:tcPr>
            <w:tcW w:w="589" w:type="pct"/>
            <w:shd w:val="clear" w:color="auto" w:fill="auto"/>
            <w:vAlign w:val="center"/>
          </w:tcPr>
          <w:p w14:paraId="6BDB13F3">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原产地</w:t>
            </w:r>
          </w:p>
        </w:tc>
        <w:tc>
          <w:tcPr>
            <w:tcW w:w="581" w:type="pct"/>
            <w:shd w:val="clear" w:color="auto" w:fill="auto"/>
            <w:vAlign w:val="center"/>
          </w:tcPr>
          <w:p w14:paraId="1E672C58">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单价（元）</w:t>
            </w:r>
          </w:p>
        </w:tc>
        <w:tc>
          <w:tcPr>
            <w:tcW w:w="512" w:type="pct"/>
            <w:shd w:val="clear" w:color="auto" w:fill="auto"/>
            <w:vAlign w:val="center"/>
          </w:tcPr>
          <w:p w14:paraId="04F51D3C">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小计（元）</w:t>
            </w:r>
          </w:p>
        </w:tc>
      </w:tr>
      <w:tr w14:paraId="7D4AB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shd w:val="clear" w:color="auto" w:fill="auto"/>
            <w:vAlign w:val="center"/>
          </w:tcPr>
          <w:p w14:paraId="4CA54EF6">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652" w:type="pct"/>
            <w:shd w:val="clear" w:color="auto" w:fill="auto"/>
            <w:vAlign w:val="center"/>
          </w:tcPr>
          <w:p w14:paraId="0321203B">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34" w:type="pct"/>
            <w:shd w:val="clear" w:color="auto" w:fill="auto"/>
            <w:vAlign w:val="center"/>
          </w:tcPr>
          <w:p w14:paraId="3F85E5D5">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09" w:type="pct"/>
            <w:shd w:val="clear" w:color="auto" w:fill="auto"/>
            <w:vAlign w:val="center"/>
          </w:tcPr>
          <w:p w14:paraId="67718AE6">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474" w:type="pct"/>
            <w:shd w:val="clear" w:color="auto" w:fill="auto"/>
            <w:vAlign w:val="center"/>
          </w:tcPr>
          <w:p w14:paraId="485E8BD8">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57038F6B">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6CFC21B2">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233816A3">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1" w:type="pct"/>
            <w:shd w:val="clear" w:color="auto" w:fill="auto"/>
            <w:vAlign w:val="center"/>
          </w:tcPr>
          <w:p w14:paraId="4B52A8E0">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12" w:type="pct"/>
            <w:shd w:val="clear" w:color="auto" w:fill="auto"/>
            <w:vAlign w:val="center"/>
          </w:tcPr>
          <w:p w14:paraId="1D9C0E16">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r>
      <w:tr w14:paraId="6264E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shd w:val="clear" w:color="auto" w:fill="auto"/>
            <w:vAlign w:val="center"/>
          </w:tcPr>
          <w:p w14:paraId="111DFFFA">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652" w:type="pct"/>
            <w:shd w:val="clear" w:color="auto" w:fill="auto"/>
            <w:vAlign w:val="center"/>
          </w:tcPr>
          <w:p w14:paraId="3C272173">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34" w:type="pct"/>
            <w:shd w:val="clear" w:color="auto" w:fill="auto"/>
            <w:vAlign w:val="center"/>
          </w:tcPr>
          <w:p w14:paraId="79DA5097">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09" w:type="pct"/>
            <w:shd w:val="clear" w:color="auto" w:fill="auto"/>
            <w:vAlign w:val="center"/>
          </w:tcPr>
          <w:p w14:paraId="0B722A05">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474" w:type="pct"/>
            <w:shd w:val="clear" w:color="auto" w:fill="auto"/>
            <w:vAlign w:val="center"/>
          </w:tcPr>
          <w:p w14:paraId="0F588698">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3F28E0EA">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58A75F56">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4FD13804">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1" w:type="pct"/>
            <w:shd w:val="clear" w:color="auto" w:fill="auto"/>
            <w:vAlign w:val="center"/>
          </w:tcPr>
          <w:p w14:paraId="41E1DB96">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12" w:type="pct"/>
            <w:shd w:val="clear" w:color="auto" w:fill="auto"/>
            <w:vAlign w:val="center"/>
          </w:tcPr>
          <w:p w14:paraId="17737A03">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r>
      <w:tr w14:paraId="4B7E7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shd w:val="clear" w:color="auto" w:fill="auto"/>
            <w:vAlign w:val="center"/>
          </w:tcPr>
          <w:p w14:paraId="61B11964">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652" w:type="pct"/>
            <w:shd w:val="clear" w:color="auto" w:fill="auto"/>
            <w:vAlign w:val="center"/>
          </w:tcPr>
          <w:p w14:paraId="47FA800C">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34" w:type="pct"/>
            <w:shd w:val="clear" w:color="auto" w:fill="auto"/>
            <w:vAlign w:val="center"/>
          </w:tcPr>
          <w:p w14:paraId="0C147CC5">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09" w:type="pct"/>
            <w:shd w:val="clear" w:color="auto" w:fill="auto"/>
            <w:vAlign w:val="center"/>
          </w:tcPr>
          <w:p w14:paraId="2969F622">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474" w:type="pct"/>
            <w:shd w:val="clear" w:color="auto" w:fill="auto"/>
            <w:vAlign w:val="center"/>
          </w:tcPr>
          <w:p w14:paraId="67141D3D">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39FEC964">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09A8F8B3">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1EC043E5">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1" w:type="pct"/>
            <w:shd w:val="clear" w:color="auto" w:fill="auto"/>
            <w:vAlign w:val="center"/>
          </w:tcPr>
          <w:p w14:paraId="6F9ED0BD">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12" w:type="pct"/>
            <w:shd w:val="clear" w:color="auto" w:fill="auto"/>
            <w:vAlign w:val="center"/>
          </w:tcPr>
          <w:p w14:paraId="55469D23">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r>
      <w:tr w14:paraId="6DE4C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shd w:val="clear" w:color="auto" w:fill="auto"/>
            <w:vAlign w:val="center"/>
          </w:tcPr>
          <w:p w14:paraId="17E4EEB3">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652" w:type="pct"/>
            <w:shd w:val="clear" w:color="auto" w:fill="auto"/>
            <w:vAlign w:val="center"/>
          </w:tcPr>
          <w:p w14:paraId="0BC2F830">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34" w:type="pct"/>
            <w:shd w:val="clear" w:color="auto" w:fill="auto"/>
            <w:vAlign w:val="center"/>
          </w:tcPr>
          <w:p w14:paraId="71074074">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309" w:type="pct"/>
            <w:shd w:val="clear" w:color="auto" w:fill="auto"/>
            <w:vAlign w:val="center"/>
          </w:tcPr>
          <w:p w14:paraId="6C05B195">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474" w:type="pct"/>
            <w:shd w:val="clear" w:color="auto" w:fill="auto"/>
            <w:vAlign w:val="center"/>
          </w:tcPr>
          <w:p w14:paraId="52F188C2">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705A9334">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604AE48C">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9" w:type="pct"/>
            <w:shd w:val="clear" w:color="auto" w:fill="auto"/>
            <w:vAlign w:val="center"/>
          </w:tcPr>
          <w:p w14:paraId="7F706169">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81" w:type="pct"/>
            <w:shd w:val="clear" w:color="auto" w:fill="auto"/>
            <w:vAlign w:val="center"/>
          </w:tcPr>
          <w:p w14:paraId="787D1C44">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512" w:type="pct"/>
            <w:shd w:val="clear" w:color="auto" w:fill="auto"/>
            <w:vAlign w:val="center"/>
          </w:tcPr>
          <w:p w14:paraId="0FDC1210">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r>
      <w:tr w14:paraId="3D4F5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2" w:hRule="atLeast"/>
        </w:trPr>
        <w:tc>
          <w:tcPr>
            <w:tcW w:w="1018" w:type="pct"/>
            <w:gridSpan w:val="2"/>
            <w:shd w:val="clear" w:color="auto" w:fill="auto"/>
            <w:vAlign w:val="center"/>
          </w:tcPr>
          <w:p w14:paraId="68B1E1C5">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总价大写</w:t>
            </w:r>
          </w:p>
          <w:p w14:paraId="1CAD04D8">
            <w:pPr>
              <w:pStyle w:val="5"/>
              <w:overflowPunct w:val="0"/>
              <w:adjustRightInd w:val="0"/>
              <w:snapToGrid w:val="0"/>
              <w:spacing w:after="0"/>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（元）</w:t>
            </w:r>
          </w:p>
        </w:tc>
        <w:tc>
          <w:tcPr>
            <w:tcW w:w="1708" w:type="pct"/>
            <w:gridSpan w:val="4"/>
            <w:shd w:val="clear" w:color="auto" w:fill="auto"/>
            <w:vAlign w:val="center"/>
          </w:tcPr>
          <w:p w14:paraId="1C77EAD9">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c>
          <w:tcPr>
            <w:tcW w:w="1179" w:type="pct"/>
            <w:gridSpan w:val="2"/>
            <w:shd w:val="clear" w:color="auto" w:fill="auto"/>
            <w:vAlign w:val="center"/>
          </w:tcPr>
          <w:p w14:paraId="2287CC12">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r>
              <w:rPr>
                <w:rFonts w:hint="eastAsia" w:ascii="宋体" w:hAnsi="宋体" w:cs="宋体"/>
                <w:snapToGrid w:val="0"/>
                <w:color w:val="000000" w:themeColor="text1"/>
                <w:kern w:val="2"/>
                <w:sz w:val="24"/>
                <w:szCs w:val="24"/>
                <w14:textFill>
                  <w14:solidFill>
                    <w14:schemeClr w14:val="tx1"/>
                  </w14:solidFill>
                </w14:textFill>
              </w:rPr>
              <w:t>总价小写（元）</w:t>
            </w:r>
          </w:p>
        </w:tc>
        <w:tc>
          <w:tcPr>
            <w:tcW w:w="1094" w:type="pct"/>
            <w:gridSpan w:val="2"/>
            <w:shd w:val="clear" w:color="auto" w:fill="auto"/>
            <w:vAlign w:val="center"/>
          </w:tcPr>
          <w:p w14:paraId="018E3387">
            <w:pPr>
              <w:pStyle w:val="5"/>
              <w:overflowPunct w:val="0"/>
              <w:adjustRightInd w:val="0"/>
              <w:snapToGrid w:val="0"/>
              <w:spacing w:line="440" w:lineRule="exact"/>
              <w:jc w:val="center"/>
              <w:rPr>
                <w:rFonts w:ascii="宋体" w:hAnsi="宋体" w:cs="宋体"/>
                <w:snapToGrid w:val="0"/>
                <w:color w:val="000000" w:themeColor="text1"/>
                <w:kern w:val="2"/>
                <w:sz w:val="24"/>
                <w:szCs w:val="24"/>
                <w14:textFill>
                  <w14:solidFill>
                    <w14:schemeClr w14:val="tx1"/>
                  </w14:solidFill>
                </w14:textFill>
              </w:rPr>
            </w:pPr>
          </w:p>
        </w:tc>
      </w:tr>
    </w:tbl>
    <w:p w14:paraId="42B7DDD0">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2" w:name="_Toc11652"/>
      <w:bookmarkStart w:id="3" w:name="_Toc31275"/>
      <w:r>
        <w:rPr>
          <w:rFonts w:hint="eastAsia" w:ascii="宋体" w:hAnsi="宋体" w:eastAsia="宋体" w:cs="宋体"/>
          <w:color w:val="000000" w:themeColor="text1"/>
          <w:kern w:val="2"/>
          <w:sz w:val="24"/>
          <w:szCs w:val="24"/>
          <w:lang w:val="en-US" w:eastAsia="zh-CN" w:bidi="ar-SA"/>
          <w14:textFill>
            <w14:solidFill>
              <w14:schemeClr w14:val="tx1"/>
            </w14:solidFill>
          </w14:textFill>
        </w:rPr>
        <w:t>2.合同价格</w:t>
      </w:r>
      <w:bookmarkEnd w:id="2"/>
      <w:bookmarkEnd w:id="3"/>
    </w:p>
    <w:p w14:paraId="4291231E">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合同总价：人民币（大写）</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元（¥</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元）。</w:t>
      </w:r>
    </w:p>
    <w:p w14:paraId="793AED16">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2.1合同总价为甲方指定地点的交货价，包含但不限于设备、包装、运输、安装、调试、培训、质保、税金、关税（进口产品）等费用。</w:t>
      </w:r>
      <w:bookmarkStart w:id="42" w:name="_GoBack"/>
      <w:bookmarkEnd w:id="42"/>
    </w:p>
    <w:p w14:paraId="7890A810">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2.2合同为总价合同，不受市场价格变化的影响。</w:t>
      </w:r>
    </w:p>
    <w:p w14:paraId="356CD9CA">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4" w:name="_Toc6028"/>
      <w:bookmarkStart w:id="5" w:name="_Toc20723"/>
      <w:r>
        <w:rPr>
          <w:rFonts w:hint="eastAsia" w:ascii="宋体" w:hAnsi="宋体" w:eastAsia="宋体" w:cs="宋体"/>
          <w:color w:val="000000" w:themeColor="text1"/>
          <w:kern w:val="2"/>
          <w:sz w:val="24"/>
          <w:szCs w:val="24"/>
          <w:lang w:val="en-US" w:eastAsia="zh-CN" w:bidi="ar-SA"/>
          <w14:textFill>
            <w14:solidFill>
              <w14:schemeClr w14:val="tx1"/>
            </w14:solidFill>
          </w14:textFill>
        </w:rPr>
        <w:t>3.货款支付</w:t>
      </w:r>
      <w:bookmarkEnd w:id="4"/>
      <w:bookmarkEnd w:id="5"/>
    </w:p>
    <w:p w14:paraId="55D1F6BD">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3.1 合同价款支付</w:t>
      </w:r>
    </w:p>
    <w:p w14:paraId="45B306B3">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3.1.1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05E43EA8">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3.1.2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635698CF">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 甲方支付前由乙方提出支付申请，经甲方审核付款内容达到合同约定且无质量和服务问题后予以支付。支付前，乙方按照合同的要求开具相应金额的</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发票。</w:t>
      </w:r>
    </w:p>
    <w:p w14:paraId="38614190">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 支付方式：银行转账。</w:t>
      </w:r>
    </w:p>
    <w:p w14:paraId="560B1F7B">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6" w:name="_Toc19087"/>
      <w:bookmarkStart w:id="7" w:name="_Toc31149"/>
      <w:r>
        <w:rPr>
          <w:rFonts w:hint="eastAsia" w:ascii="宋体" w:hAnsi="宋体" w:eastAsia="宋体" w:cs="宋体"/>
          <w:color w:val="000000" w:themeColor="text1"/>
          <w:kern w:val="2"/>
          <w:sz w:val="24"/>
          <w:szCs w:val="24"/>
          <w:lang w:val="en-US" w:eastAsia="zh-CN" w:bidi="ar-SA"/>
          <w14:textFill>
            <w14:solidFill>
              <w14:schemeClr w14:val="tx1"/>
            </w14:solidFill>
          </w14:textFill>
        </w:rPr>
        <w:t>4.甲乙双方的权利和义务</w:t>
      </w:r>
      <w:bookmarkEnd w:id="6"/>
      <w:bookmarkEnd w:id="7"/>
    </w:p>
    <w:p w14:paraId="5B2C6653">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4.1甲方的权利和义务</w:t>
      </w:r>
    </w:p>
    <w:p w14:paraId="1B7938C0">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4.1.1负责合同签订后项目实施的工作（包括与乙方的具体联系和衔接，现场安装调试时配备人员进行监管控制等）；</w:t>
      </w:r>
    </w:p>
    <w:p w14:paraId="3051AAD9">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4.1.2负责提供设备和项目安装调试所必须的场地和环境；</w:t>
      </w:r>
    </w:p>
    <w:p w14:paraId="5F73DB1F">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4.1.3负责组织成立验收小组对设备和项目进行验收并签署验收报告；</w:t>
      </w:r>
    </w:p>
    <w:p w14:paraId="7C760238">
      <w:pPr>
        <w:pStyle w:val="5"/>
        <w:overflowPunct w:val="0"/>
        <w:adjustRightInd w:val="0"/>
        <w:snapToGrid w:val="0"/>
        <w:spacing w:after="0"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4.1.4 按合同规定享有乙方提供的设备服务。</w:t>
      </w:r>
    </w:p>
    <w:p w14:paraId="5674CB75">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4.2乙方的权利和义务</w:t>
      </w:r>
    </w:p>
    <w:p w14:paraId="598C7C56">
      <w:pPr>
        <w:pStyle w:val="5"/>
        <w:overflowPunct w:val="0"/>
        <w:adjustRightInd w:val="0"/>
        <w:snapToGrid w:val="0"/>
        <w:spacing w:after="0"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4.2.1乙方保证按本合同约定负责完成甲方项目，并保证提供的设备是全新（包括零部件），符合招投标文件规定，具有国家有关部门注册证明并符合国家质量检测标准（进口产品具有国家有关部门完整手续）和产品出厂标准的设备，并保证设备在甲方报废前正常运行。</w:t>
      </w:r>
    </w:p>
    <w:p w14:paraId="379E3966">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4.2.2乙方保证对其出售的货物享有合法的权利，保证对其出售的货物上不存在任何未曾向甲方透露的担保物权，如抵押权、质押权、留置权。</w:t>
      </w:r>
    </w:p>
    <w:p w14:paraId="440892E0">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4.2.3乙方保证甲方在合同设备（有配套软件的还包括软件产品）使用期间不受第三方提出侵犯其专利权、版权、商标权、工业设计权等的起诉。</w:t>
      </w:r>
    </w:p>
    <w:p w14:paraId="6440F901">
      <w:pPr>
        <w:pStyle w:val="5"/>
        <w:overflowPunct w:val="0"/>
        <w:adjustRightInd w:val="0"/>
        <w:snapToGrid w:val="0"/>
        <w:spacing w:after="0"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4.2.4 严格遵守商务谈判中所承诺的一切规定和条款。</w:t>
      </w:r>
    </w:p>
    <w:p w14:paraId="20549A25">
      <w:pPr>
        <w:pStyle w:val="5"/>
        <w:overflowPunct w:val="0"/>
        <w:adjustRightInd w:val="0"/>
        <w:snapToGrid w:val="0"/>
        <w:spacing w:after="0"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4.2.5 参与设备和项目的验收。</w:t>
      </w:r>
    </w:p>
    <w:p w14:paraId="0E3BE7B5">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8" w:name="_Toc23311"/>
      <w:bookmarkStart w:id="9" w:name="_Toc5778"/>
      <w:r>
        <w:rPr>
          <w:rFonts w:hint="eastAsia" w:ascii="宋体" w:hAnsi="宋体" w:eastAsia="宋体" w:cs="宋体"/>
          <w:color w:val="000000" w:themeColor="text1"/>
          <w:kern w:val="2"/>
          <w:sz w:val="24"/>
          <w:szCs w:val="24"/>
          <w:lang w:val="en-US" w:eastAsia="zh-CN" w:bidi="ar-SA"/>
          <w14:textFill>
            <w14:solidFill>
              <w14:schemeClr w14:val="tx1"/>
            </w14:solidFill>
          </w14:textFill>
        </w:rPr>
        <w:t>5.产品功能要求</w:t>
      </w:r>
      <w:bookmarkEnd w:id="8"/>
      <w:bookmarkEnd w:id="9"/>
    </w:p>
    <w:p w14:paraId="5D1C8BF5">
      <w:pPr>
        <w:tabs>
          <w:tab w:val="left" w:pos="1701"/>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产品功能符合国家质量检测标准，并满足甲方技术要求。</w:t>
      </w:r>
    </w:p>
    <w:p w14:paraId="369BC25C">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10" w:name="_Toc19004"/>
      <w:bookmarkStart w:id="11" w:name="_Toc3077"/>
      <w:r>
        <w:rPr>
          <w:rFonts w:hint="eastAsia" w:ascii="宋体" w:hAnsi="宋体" w:eastAsia="宋体" w:cs="宋体"/>
          <w:color w:val="000000" w:themeColor="text1"/>
          <w:kern w:val="2"/>
          <w:sz w:val="24"/>
          <w:szCs w:val="24"/>
          <w:lang w:val="en-US" w:eastAsia="zh-CN" w:bidi="ar-SA"/>
          <w14:textFill>
            <w14:solidFill>
              <w14:schemeClr w14:val="tx1"/>
            </w14:solidFill>
          </w14:textFill>
        </w:rPr>
        <w:t>6.配套设备要求及长期供应优惠条件</w:t>
      </w:r>
      <w:bookmarkEnd w:id="10"/>
      <w:bookmarkEnd w:id="11"/>
    </w:p>
    <w:p w14:paraId="72CBC97D">
      <w:pPr>
        <w:overflowPunct w:val="0"/>
        <w:adjustRightInd w:val="0"/>
        <w:snapToGrid w:val="0"/>
        <w:spacing w:line="460" w:lineRule="exact"/>
        <w:rPr>
          <w:rFonts w:ascii="宋体" w:hAnsi="宋体" w:cs="宋体"/>
          <w:color w:val="000000" w:themeColor="text1"/>
          <w:sz w:val="24"/>
          <w:szCs w:val="24"/>
          <w:highlight w:val="yellow"/>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在保修期外，对于系统内</w:t>
      </w:r>
      <w:r>
        <w:rPr>
          <w:rFonts w:hint="eastAsia" w:ascii="宋体" w:hAnsi="宋体" w:cs="宋体"/>
          <w:color w:val="000000" w:themeColor="text1"/>
          <w:sz w:val="24"/>
          <w:szCs w:val="24"/>
          <w:lang w:val="en-US" w:eastAsia="zh-CN"/>
          <w14:textFill>
            <w14:solidFill>
              <w14:schemeClr w14:val="tx1"/>
            </w14:solidFill>
          </w14:textFill>
        </w:rPr>
        <w:t>产品</w:t>
      </w:r>
      <w:r>
        <w:rPr>
          <w:rFonts w:hint="eastAsia" w:ascii="宋体" w:hAnsi="宋体" w:cs="宋体"/>
          <w:color w:val="000000" w:themeColor="text1"/>
          <w:sz w:val="24"/>
          <w:szCs w:val="24"/>
          <w14:textFill>
            <w14:solidFill>
              <w14:schemeClr w14:val="tx1"/>
            </w14:solidFill>
          </w14:textFill>
        </w:rPr>
        <w:t>出现故障</w:t>
      </w:r>
      <w:r>
        <w:rPr>
          <w:rFonts w:hint="eastAsia" w:ascii="宋体" w:hAnsi="宋体" w:cs="宋体"/>
          <w:color w:val="000000" w:themeColor="text1"/>
          <w:sz w:val="24"/>
          <w:szCs w:val="24"/>
          <w:lang w:val="en-US" w:eastAsia="zh-CN"/>
          <w14:textFill>
            <w14:solidFill>
              <w14:schemeClr w14:val="tx1"/>
            </w14:solidFill>
          </w14:textFill>
        </w:rPr>
        <w:t>或损坏</w:t>
      </w:r>
      <w:r>
        <w:rPr>
          <w:rFonts w:hint="eastAsia" w:ascii="宋体" w:hAnsi="宋体" w:cs="宋体"/>
          <w:color w:val="000000" w:themeColor="text1"/>
          <w:sz w:val="24"/>
          <w:szCs w:val="24"/>
          <w14:textFill>
            <w14:solidFill>
              <w14:schemeClr w14:val="tx1"/>
            </w14:solidFill>
          </w14:textFill>
        </w:rPr>
        <w:t>，乙方承诺及时修复或更换且只收取工作的成本费。</w:t>
      </w:r>
    </w:p>
    <w:p w14:paraId="264A355B">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12" w:name="_Toc21406"/>
      <w:bookmarkStart w:id="13" w:name="_Toc629"/>
      <w:r>
        <w:rPr>
          <w:rFonts w:hint="eastAsia" w:ascii="宋体" w:hAnsi="宋体" w:eastAsia="宋体" w:cs="宋体"/>
          <w:color w:val="000000" w:themeColor="text1"/>
          <w:kern w:val="2"/>
          <w:sz w:val="24"/>
          <w:szCs w:val="24"/>
          <w:lang w:val="en-US" w:eastAsia="zh-CN" w:bidi="ar-SA"/>
          <w14:textFill>
            <w14:solidFill>
              <w14:schemeClr w14:val="tx1"/>
            </w14:solidFill>
          </w14:textFill>
        </w:rPr>
        <w:t>7.备品备件（含易损件）要求及长期供应优惠条件</w:t>
      </w:r>
      <w:bookmarkEnd w:id="12"/>
      <w:bookmarkEnd w:id="13"/>
    </w:p>
    <w:p w14:paraId="49DF4763">
      <w:pPr>
        <w:overflowPunct w:val="0"/>
        <w:adjustRightInd w:val="0"/>
        <w:snapToGrid w:val="0"/>
        <w:spacing w:line="460" w:lineRule="exac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乙方严格按照招投标文件执行并确保满足甲方需要，具体要求详见招投标文件和本合同附件：供货清单。乙方同时承诺：乙方向甲方提供的备品备件（含易损件）不高于市场同类产品的价格。</w:t>
      </w:r>
    </w:p>
    <w:p w14:paraId="002C46D0">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14" w:name="_Toc12574"/>
      <w:bookmarkStart w:id="15" w:name="_Toc16387"/>
      <w:r>
        <w:rPr>
          <w:rFonts w:hint="eastAsia" w:ascii="宋体" w:hAnsi="宋体" w:eastAsia="宋体" w:cs="宋体"/>
          <w:color w:val="000000" w:themeColor="text1"/>
          <w:kern w:val="2"/>
          <w:sz w:val="24"/>
          <w:szCs w:val="24"/>
          <w:lang w:val="en-US" w:eastAsia="zh-CN" w:bidi="ar-SA"/>
          <w14:textFill>
            <w14:solidFill>
              <w14:schemeClr w14:val="tx1"/>
            </w14:solidFill>
          </w14:textFill>
        </w:rPr>
        <w:t>8.包装、标记和运输</w:t>
      </w:r>
      <w:bookmarkEnd w:id="14"/>
      <w:bookmarkEnd w:id="15"/>
    </w:p>
    <w:p w14:paraId="01C19AA6">
      <w:pPr>
        <w:pStyle w:val="5"/>
        <w:overflowPunct w:val="0"/>
        <w:adjustRightInd w:val="0"/>
        <w:snapToGrid w:val="0"/>
        <w:spacing w:after="0" w:line="460" w:lineRule="exact"/>
        <w:ind w:firstLine="480" w:firstLineChars="200"/>
        <w:rPr>
          <w:rFonts w:ascii="宋体" w:hAnsi="宋体" w:cs="宋体"/>
          <w:color w:val="000000" w:themeColor="text1"/>
          <w:kern w:val="2"/>
          <w:sz w:val="24"/>
          <w:szCs w:val="24"/>
          <w14:textFill>
            <w14:solidFill>
              <w14:schemeClr w14:val="tx1"/>
            </w14:solidFill>
          </w14:textFill>
        </w:rPr>
      </w:pPr>
      <w:r>
        <w:rPr>
          <w:rFonts w:hint="eastAsia" w:ascii="宋体" w:hAnsi="宋体" w:cs="宋体"/>
          <w:color w:val="000000" w:themeColor="text1"/>
          <w:kern w:val="2"/>
          <w:sz w:val="24"/>
          <w:szCs w:val="24"/>
          <w14:textFill>
            <w14:solidFill>
              <w14:schemeClr w14:val="tx1"/>
            </w14:solidFill>
          </w14:textFill>
        </w:rPr>
        <w:t>8.1 乙方交付的所有合同货物应具有适于长途运输多次搬运和装卸的坚固包装，并且乙方应根据合同货物的不同特性和要求采取防潮、防雨、防锈、防震、防腐等保护措施，以确保合同货物安全无损地送达交货地点。</w:t>
      </w:r>
    </w:p>
    <w:p w14:paraId="3B42138C">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8.2 下列资料包装在合同货物的包装箱中：</w:t>
      </w:r>
    </w:p>
    <w:p w14:paraId="2FBBECA3">
      <w:pPr>
        <w:pStyle w:val="5"/>
        <w:overflowPunct w:val="0"/>
        <w:adjustRightInd w:val="0"/>
        <w:snapToGrid w:val="0"/>
        <w:spacing w:after="0" w:line="460" w:lineRule="exact"/>
        <w:ind w:firstLine="480" w:firstLineChars="200"/>
        <w:rPr>
          <w:rFonts w:ascii="宋体" w:hAnsi="宋体" w:cs="宋体"/>
          <w:color w:val="000000" w:themeColor="text1"/>
          <w:kern w:val="2"/>
          <w:sz w:val="24"/>
          <w:szCs w:val="24"/>
          <w14:textFill>
            <w14:solidFill>
              <w14:schemeClr w14:val="tx1"/>
            </w14:solidFill>
          </w14:textFill>
        </w:rPr>
      </w:pPr>
      <w:r>
        <w:rPr>
          <w:rFonts w:hint="eastAsia" w:ascii="宋体" w:hAnsi="宋体" w:cs="宋体"/>
          <w:color w:val="000000" w:themeColor="text1"/>
          <w:kern w:val="2"/>
          <w:sz w:val="24"/>
          <w:szCs w:val="24"/>
          <w14:textFill>
            <w14:solidFill>
              <w14:schemeClr w14:val="tx1"/>
            </w14:solidFill>
          </w14:textFill>
        </w:rPr>
        <w:t>8.2.1 装箱单。</w:t>
      </w:r>
    </w:p>
    <w:p w14:paraId="265B3BEC">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8.2.2 合同货物数量和货物制造商出具的质量合格证书、保修证书。</w:t>
      </w:r>
    </w:p>
    <w:p w14:paraId="7B6347E8">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8.2.3 随机备品备件、配件、工具、图纸、使用说明书及其它必要的技术资料（中文）。</w:t>
      </w:r>
    </w:p>
    <w:p w14:paraId="5C1CE3BE">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8.3 乙方对合同货物包装不善、标记不明、防护措施不当或在合同货物装箱前保管不良，致使合同货物遭到损坏或丢失，乙方应负责免费修理或更换，并承担由此给甲方造成的一切损失。</w:t>
      </w:r>
    </w:p>
    <w:p w14:paraId="51FEBB13">
      <w:pPr>
        <w:pStyle w:val="5"/>
        <w:overflowPunct w:val="0"/>
        <w:adjustRightInd w:val="0"/>
        <w:snapToGrid w:val="0"/>
        <w:spacing w:after="0"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8.4 货物（产品）运输方式：</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6176D059">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8.5 乙方负责货物（产品）运输，货物运输的合理损耗及计算方法</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18BC88DE">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16" w:name="_Toc16421"/>
      <w:bookmarkStart w:id="17" w:name="_Toc9580"/>
      <w:r>
        <w:rPr>
          <w:rFonts w:hint="eastAsia" w:ascii="宋体" w:hAnsi="宋体" w:eastAsia="宋体" w:cs="宋体"/>
          <w:color w:val="000000" w:themeColor="text1"/>
          <w:kern w:val="2"/>
          <w:sz w:val="24"/>
          <w:szCs w:val="24"/>
          <w:lang w:val="en-US" w:eastAsia="zh-CN" w:bidi="ar-SA"/>
          <w14:textFill>
            <w14:solidFill>
              <w14:schemeClr w14:val="tx1"/>
            </w14:solidFill>
          </w14:textFill>
        </w:rPr>
        <w:t>9.交货</w:t>
      </w:r>
      <w:bookmarkEnd w:id="16"/>
      <w:bookmarkEnd w:id="17"/>
    </w:p>
    <w:p w14:paraId="181A4DE0">
      <w:pPr>
        <w:pStyle w:val="5"/>
        <w:overflowPunct w:val="0"/>
        <w:adjustRightInd w:val="0"/>
        <w:snapToGrid w:val="0"/>
        <w:spacing w:after="0" w:line="460" w:lineRule="exact"/>
        <w:ind w:firstLine="480" w:firstLineChars="200"/>
        <w:rPr>
          <w:rFonts w:ascii="宋体" w:hAnsi="宋体" w:cs="宋体"/>
          <w:color w:val="000000" w:themeColor="text1"/>
          <w:kern w:val="2"/>
          <w:sz w:val="24"/>
          <w:szCs w:val="24"/>
          <w14:textFill>
            <w14:solidFill>
              <w14:schemeClr w14:val="tx1"/>
            </w14:solidFill>
          </w14:textFill>
        </w:rPr>
      </w:pPr>
      <w:r>
        <w:rPr>
          <w:rFonts w:hint="eastAsia" w:ascii="宋体" w:hAnsi="宋体" w:cs="宋体"/>
          <w:color w:val="000000" w:themeColor="text1"/>
          <w:kern w:val="2"/>
          <w:sz w:val="24"/>
          <w:szCs w:val="24"/>
          <w14:textFill>
            <w14:solidFill>
              <w14:schemeClr w14:val="tx1"/>
            </w14:solidFill>
          </w14:textFill>
        </w:rPr>
        <w:t>9.1 交货地点：甲方指定地点。</w:t>
      </w:r>
    </w:p>
    <w:p w14:paraId="0CE8E4A6">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9.2 交货日期：</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p>
    <w:p w14:paraId="1FD714D0">
      <w:pPr>
        <w:tabs>
          <w:tab w:val="left" w:pos="567"/>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9.3</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乙方负责将完整配套的原封设备（含开机必要消耗品）送到交货地点，由甲乙双方共同开箱初验，并由乙方按合同规范要求完成安装测试。交货时，乙方随货向甲方交付设备必需的合格证、保修卡、相关资料（如操作手册、使用指南、维修手册、系统使用说明书、服务手册等）及配备的附件、工具等。进口产品还需交付中国商检证明及合法进货渠道全套单证。</w:t>
      </w:r>
    </w:p>
    <w:p w14:paraId="7EB251ED">
      <w:pPr>
        <w:pStyle w:val="5"/>
        <w:tabs>
          <w:tab w:val="left" w:pos="709"/>
        </w:tabs>
        <w:overflowPunct w:val="0"/>
        <w:adjustRightInd w:val="0"/>
        <w:snapToGrid w:val="0"/>
        <w:spacing w:after="0"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9.4 交货时甲方对乙方承诺的产品包装的环保材料进行验收，必要时乙方需提供检测报告，甲方发现虚假承诺时，将扣除总货款的5%作为处罚。</w:t>
      </w:r>
    </w:p>
    <w:p w14:paraId="2E07BEDB">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18" w:name="_Toc25880"/>
      <w:bookmarkStart w:id="19" w:name="_Toc4864"/>
      <w:r>
        <w:rPr>
          <w:rFonts w:hint="eastAsia" w:ascii="宋体" w:hAnsi="宋体" w:eastAsia="宋体" w:cs="宋体"/>
          <w:color w:val="000000" w:themeColor="text1"/>
          <w:kern w:val="2"/>
          <w:sz w:val="24"/>
          <w:szCs w:val="24"/>
          <w:lang w:val="en-US" w:eastAsia="zh-CN" w:bidi="ar-SA"/>
          <w14:textFill>
            <w14:solidFill>
              <w14:schemeClr w14:val="tx1"/>
            </w14:solidFill>
          </w14:textFill>
        </w:rPr>
        <w:t>10.质量保证</w:t>
      </w:r>
      <w:bookmarkEnd w:id="18"/>
      <w:bookmarkEnd w:id="19"/>
    </w:p>
    <w:p w14:paraId="45882C39">
      <w:pPr>
        <w:tabs>
          <w:tab w:val="left" w:pos="810"/>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10.1自设备验收合格后，货物（产品）的原厂质保期为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年；投标人的售后服务期为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年(含质保期)，质保期内乙方提供免费维修。</w:t>
      </w:r>
    </w:p>
    <w:p w14:paraId="07D0A6F7">
      <w:pPr>
        <w:tabs>
          <w:tab w:val="left" w:pos="810"/>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10.2货物必须是原厂生产的未曾使用过的全新的合格产品，所用材料必须保证质量可靠、原材料进货渠道正规，符合国家质量性能检测标准及该产品的出厂标准。</w:t>
      </w:r>
    </w:p>
    <w:p w14:paraId="4CB00176">
      <w:pPr>
        <w:tabs>
          <w:tab w:val="left" w:pos="810"/>
          <w:tab w:val="left" w:pos="993"/>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10.3</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质量标准按照最新颁布的国家标准、行业标准或制造商企业标准确定，上述标准不一致的，以严格标准为准。</w:t>
      </w:r>
    </w:p>
    <w:p w14:paraId="78089921">
      <w:pPr>
        <w:tabs>
          <w:tab w:val="left" w:pos="810"/>
        </w:tabs>
        <w:overflowPunct w:val="0"/>
        <w:adjustRightInd w:val="0"/>
        <w:snapToGrid w:val="0"/>
        <w:spacing w:line="460" w:lineRule="exact"/>
        <w:ind w:firstLine="120" w:firstLineChar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10.4</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货物参数指标必须与其标示的技术指标项符合，甲方有权在货物的有效质保期内依据技术指标对该货物进行技术校验，其主要的技术参数达不到标准时，甲方将按本合同第13条相关条款执行。</w:t>
      </w:r>
    </w:p>
    <w:p w14:paraId="20320F93">
      <w:pPr>
        <w:tabs>
          <w:tab w:val="left" w:pos="810"/>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10.5 乙方所提供货物还应符合国家和陕西省有关安全、环保、节能之规定，“3C”认证的货物（产品）应加贴“3C”认证标志。</w:t>
      </w:r>
    </w:p>
    <w:p w14:paraId="2F1A31CD">
      <w:pPr>
        <w:tabs>
          <w:tab w:val="left" w:pos="810"/>
        </w:tabs>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10.6 货物制造质量出现问题，乙方应负责三包（包修、包换、包退），费用由乙方负担。</w:t>
      </w:r>
    </w:p>
    <w:p w14:paraId="2FBCBF22">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20" w:name="_Toc30488"/>
      <w:bookmarkStart w:id="21" w:name="_Toc14336"/>
      <w:r>
        <w:rPr>
          <w:rFonts w:hint="eastAsia" w:ascii="宋体" w:hAnsi="宋体" w:eastAsia="宋体" w:cs="宋体"/>
          <w:color w:val="000000" w:themeColor="text1"/>
          <w:kern w:val="2"/>
          <w:sz w:val="24"/>
          <w:szCs w:val="24"/>
          <w:lang w:val="en-US" w:eastAsia="zh-CN" w:bidi="ar-SA"/>
          <w14:textFill>
            <w14:solidFill>
              <w14:schemeClr w14:val="tx1"/>
            </w14:solidFill>
          </w14:textFill>
        </w:rPr>
        <w:t>11.验收及验收标准</w:t>
      </w:r>
      <w:bookmarkEnd w:id="20"/>
      <w:bookmarkEnd w:id="21"/>
    </w:p>
    <w:p w14:paraId="0FF08535">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11.1货物验收由甲方组织，乙方配合，并按下列程序进行：</w:t>
      </w:r>
    </w:p>
    <w:p w14:paraId="35698942">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11.1.1货物初验：乙方应在货物到货之日起</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日内全部完成安装调试完毕；乙方安装调试完毕后</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日内完成初步验收；初步验收合格后，进入</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日试用期；试用期间发生重大质量问题，修复后试用期相应顺延。</w:t>
      </w:r>
    </w:p>
    <w:p w14:paraId="695840E5">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11.1.2 货物终验：试用期结束后</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日内完成最终验收。</w:t>
      </w:r>
    </w:p>
    <w:p w14:paraId="2EB01F51">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11.1.3 质量验收合格，双方签署质量验收报告。</w:t>
      </w:r>
    </w:p>
    <w:p w14:paraId="458FD077">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11.2 货物验收依据：</w:t>
      </w:r>
    </w:p>
    <w:p w14:paraId="28E24C85">
      <w:pPr>
        <w:pStyle w:val="4"/>
        <w:overflowPunct w:val="0"/>
        <w:adjustRightInd w:val="0"/>
        <w:snapToGrid w:val="0"/>
        <w:spacing w:line="460" w:lineRule="exact"/>
        <w:ind w:firstLine="4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11.2.1 采购合同及补充协议；</w:t>
      </w:r>
    </w:p>
    <w:p w14:paraId="26D2BC27">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11.2.2 质检部门抽样检查货物（产品）合格的检测报告（按甲方要求）。</w:t>
      </w:r>
    </w:p>
    <w:p w14:paraId="1F879E1C">
      <w:pPr>
        <w:pStyle w:val="4"/>
        <w:overflowPunct w:val="0"/>
        <w:adjustRightInd w:val="0"/>
        <w:snapToGrid w:val="0"/>
        <w:spacing w:line="460" w:lineRule="exact"/>
        <w:ind w:firstLine="4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11.2.3 招标文件；</w:t>
      </w:r>
    </w:p>
    <w:p w14:paraId="65DBCE77">
      <w:pPr>
        <w:pStyle w:val="4"/>
        <w:overflowPunct w:val="0"/>
        <w:adjustRightInd w:val="0"/>
        <w:snapToGrid w:val="0"/>
        <w:spacing w:line="460" w:lineRule="exact"/>
        <w:ind w:firstLine="449"/>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11.2.4 投标文件。</w:t>
      </w:r>
    </w:p>
    <w:p w14:paraId="5608E34F">
      <w:pPr>
        <w:pStyle w:val="4"/>
        <w:overflowPunct w:val="0"/>
        <w:adjustRightInd w:val="0"/>
        <w:snapToGrid w:val="0"/>
        <w:spacing w:line="460" w:lineRule="exact"/>
        <w:ind w:firstLine="449"/>
        <w:rPr>
          <w:rFonts w:hint="eastAsia" w:ascii="宋体" w:hAnsi="宋体" w:cs="宋体"/>
          <w:color w:val="000000" w:themeColor="text1"/>
          <w:sz w:val="24"/>
          <w:u w:val="none"/>
          <w:lang w:val="en-US" w:eastAsia="zh-CN"/>
          <w14:textFill>
            <w14:solidFill>
              <w14:schemeClr w14:val="tx1"/>
            </w14:solidFill>
          </w14:textFill>
        </w:rPr>
      </w:pPr>
      <w:r>
        <w:rPr>
          <w:rFonts w:hint="eastAsia" w:ascii="宋体" w:hAnsi="宋体" w:cs="宋体"/>
          <w:color w:val="000000" w:themeColor="text1"/>
          <w:sz w:val="24"/>
          <w:u w:val="none"/>
          <w:lang w:val="en-US" w:eastAsia="zh-CN"/>
          <w14:textFill>
            <w14:solidFill>
              <w14:schemeClr w14:val="tx1"/>
            </w14:solidFill>
          </w14:textFill>
        </w:rPr>
        <w:t>11.2.5 国家及行业相关标准；</w:t>
      </w:r>
    </w:p>
    <w:p w14:paraId="546B71D9">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11.3 货物验收时发现问题的处理办法：</w:t>
      </w:r>
    </w:p>
    <w:p w14:paraId="7E18B41E">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11.3.1 乙方提供不符合招标文件和本合同规定的货物（产品），甲方有权拒绝接受；</w:t>
      </w:r>
    </w:p>
    <w:p w14:paraId="5A0B2C87">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11.3.2 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3051D71">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11.3.4 如货物经乙方</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50929352">
      <w:pPr>
        <w:pStyle w:val="8"/>
        <w:widowControl w:val="0"/>
        <w:tabs>
          <w:tab w:val="left" w:pos="426"/>
        </w:tabs>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11.3.5</w:t>
      </w:r>
      <w:r>
        <w:rPr>
          <w:rFonts w:hint="eastAsia" w:hAnsi="宋体"/>
          <w:color w:val="000000" w:themeColor="text1"/>
          <w:szCs w:val="24"/>
          <w14:textFill>
            <w14:solidFill>
              <w14:schemeClr w14:val="tx1"/>
            </w14:solidFill>
          </w14:textFill>
        </w:rPr>
        <w:tab/>
      </w:r>
      <w:r>
        <w:rPr>
          <w:rFonts w:hint="eastAsia" w:hAnsi="宋体"/>
          <w:color w:val="000000" w:themeColor="text1"/>
          <w:szCs w:val="24"/>
          <w14:textFill>
            <w14:solidFill>
              <w14:schemeClr w14:val="tx1"/>
            </w14:solidFill>
          </w14:textFill>
        </w:rPr>
        <w:t>货物安装完成后</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日内，甲方无故不进行验收工作并已使用货物的，视同已安装调试完成并验收合格；</w:t>
      </w:r>
    </w:p>
    <w:p w14:paraId="76238F0D">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11.3.6 乙方不能完整交付货物及本条第一款规定的单证和工具的，必须负责补齐，否则视为未按合同约定交货；</w:t>
      </w:r>
    </w:p>
    <w:p w14:paraId="7823B01D">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 xml:space="preserve">11.3.7  </w:t>
      </w:r>
      <w:r>
        <w:rPr>
          <w:rFonts w:hint="eastAsia" w:hAnsi="宋体"/>
          <w:color w:val="000000" w:themeColor="text1"/>
          <w:szCs w:val="24"/>
          <w:u w:val="single"/>
          <w14:textFill>
            <w14:solidFill>
              <w14:schemeClr w14:val="tx1"/>
            </w14:solidFill>
          </w14:textFill>
        </w:rPr>
        <w:t xml:space="preserve">                                    </w:t>
      </w:r>
      <w:r>
        <w:rPr>
          <w:rFonts w:hint="eastAsia" w:hAnsi="宋体"/>
          <w:color w:val="000000" w:themeColor="text1"/>
          <w:szCs w:val="24"/>
          <w14:textFill>
            <w14:solidFill>
              <w14:schemeClr w14:val="tx1"/>
            </w14:solidFill>
          </w14:textFill>
        </w:rPr>
        <w:t>。</w:t>
      </w:r>
    </w:p>
    <w:p w14:paraId="76EF0FED">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22" w:name="_Toc4718"/>
      <w:bookmarkStart w:id="23" w:name="_Toc29064"/>
      <w:r>
        <w:rPr>
          <w:rFonts w:hint="eastAsia" w:ascii="宋体" w:hAnsi="宋体" w:eastAsia="宋体" w:cs="宋体"/>
          <w:color w:val="000000" w:themeColor="text1"/>
          <w:kern w:val="2"/>
          <w:sz w:val="24"/>
          <w:szCs w:val="24"/>
          <w:lang w:val="en-US" w:eastAsia="zh-CN" w:bidi="ar-SA"/>
          <w14:textFill>
            <w14:solidFill>
              <w14:schemeClr w14:val="tx1"/>
            </w14:solidFill>
          </w14:textFill>
        </w:rPr>
        <w:t>12.技术培训</w:t>
      </w:r>
      <w:bookmarkEnd w:id="22"/>
      <w:bookmarkEnd w:id="23"/>
    </w:p>
    <w:p w14:paraId="21A901F4">
      <w:pPr>
        <w:pStyle w:val="5"/>
        <w:overflowPunct w:val="0"/>
        <w:adjustRightInd w:val="0"/>
        <w:snapToGrid w:val="0"/>
        <w:spacing w:after="0"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乙方向甲方提供</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天的设备使用人员现场例行免费培训，培训内容包括设备的使用、一般的维修、维护及保养等；食宿自理（各自负责）；其他由甲乙双方协定。</w:t>
      </w:r>
    </w:p>
    <w:p w14:paraId="0E9313C1">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24" w:name="_Toc11999"/>
      <w:bookmarkStart w:id="25" w:name="_Toc6139"/>
      <w:r>
        <w:rPr>
          <w:rFonts w:hint="eastAsia" w:ascii="宋体" w:hAnsi="宋体" w:eastAsia="宋体" w:cs="宋体"/>
          <w:color w:val="000000" w:themeColor="text1"/>
          <w:kern w:val="2"/>
          <w:sz w:val="24"/>
          <w:szCs w:val="24"/>
          <w:lang w:val="en-US" w:eastAsia="zh-CN" w:bidi="ar-SA"/>
          <w14:textFill>
            <w14:solidFill>
              <w14:schemeClr w14:val="tx1"/>
            </w14:solidFill>
          </w14:textFill>
        </w:rPr>
        <w:t>13.技术支持</w:t>
      </w:r>
      <w:bookmarkEnd w:id="24"/>
      <w:bookmarkEnd w:id="25"/>
    </w:p>
    <w:p w14:paraId="4FCEE430">
      <w:pPr>
        <w:pStyle w:val="5"/>
        <w:overflowPunct w:val="0"/>
        <w:adjustRightInd w:val="0"/>
        <w:snapToGrid w:val="0"/>
        <w:spacing w:after="0" w:line="460" w:lineRule="exact"/>
        <w:rPr>
          <w:rFonts w:ascii="宋体" w:hAnsi="宋体" w:cs="宋体"/>
          <w:b/>
          <w:bCs/>
          <w:color w:val="000000" w:themeColor="text1"/>
          <w:sz w:val="24"/>
          <w:szCs w:val="24"/>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 xml:space="preserve">    甲方在设备使用过程中发生技术质量问题，乙方应提供及时有效的技术支持。乙方技术支持联系人：</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 xml:space="preserve"> 联系电话：</w:t>
      </w:r>
      <w:r>
        <w:rPr>
          <w:rFonts w:hint="eastAsia" w:ascii="宋体" w:hAnsi="宋体" w:cs="宋体"/>
          <w:b/>
          <w:bCs/>
          <w:color w:val="000000" w:themeColor="text1"/>
          <w:sz w:val="24"/>
          <w:szCs w:val="24"/>
          <w:u w:val="single"/>
          <w14:textFill>
            <w14:solidFill>
              <w14:schemeClr w14:val="tx1"/>
            </w14:solidFill>
          </w14:textFill>
        </w:rPr>
        <w:t xml:space="preserve">          </w:t>
      </w:r>
    </w:p>
    <w:p w14:paraId="4D10875A">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26" w:name="_Toc1419"/>
      <w:bookmarkStart w:id="27" w:name="_Toc9936"/>
      <w:r>
        <w:rPr>
          <w:rFonts w:hint="eastAsia" w:ascii="宋体" w:hAnsi="宋体" w:eastAsia="宋体" w:cs="宋体"/>
          <w:color w:val="000000" w:themeColor="text1"/>
          <w:kern w:val="2"/>
          <w:sz w:val="24"/>
          <w:szCs w:val="24"/>
          <w:lang w:val="en-US" w:eastAsia="zh-CN" w:bidi="ar-SA"/>
          <w14:textFill>
            <w14:solidFill>
              <w14:schemeClr w14:val="tx1"/>
            </w14:solidFill>
          </w14:textFill>
        </w:rPr>
        <w:t>14.售后服务要求</w:t>
      </w:r>
      <w:bookmarkEnd w:id="26"/>
      <w:bookmarkEnd w:id="27"/>
    </w:p>
    <w:p w14:paraId="31EFFDD4">
      <w:pPr>
        <w:pStyle w:val="4"/>
        <w:overflowPunct w:val="0"/>
        <w:adjustRightInd w:val="0"/>
        <w:snapToGrid w:val="0"/>
        <w:spacing w:line="460" w:lineRule="exact"/>
        <w:ind w:firstLine="449"/>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14.1 凡正常使用中出现的故障，均由乙方负责提供免费检测维修、更换不合格的零部件直至整机（更换的零部件或整机应保证自更换之日起提供相同的质量保证期）正常使用。若需返厂处理，乙方应承担相关费用。同时记录检修情况，并向甲方提供检修报告。</w:t>
      </w:r>
    </w:p>
    <w:p w14:paraId="17E83123">
      <w:pPr>
        <w:pStyle w:val="4"/>
        <w:overflowPunct w:val="0"/>
        <w:adjustRightInd w:val="0"/>
        <w:snapToGrid w:val="0"/>
        <w:spacing w:line="460" w:lineRule="exact"/>
        <w:ind w:firstLine="449"/>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14.2 凡设备发生质量问题或出现其他故障，接到甲方通知后，乙方的服务响应时间不超过</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小时，并且在</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小时内派专业维修人员到达现场，排除故障的期限最长不得超过</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个工作日，否则甲方有权指定第三方维修，维修费用由乙方承担。</w:t>
      </w:r>
    </w:p>
    <w:p w14:paraId="26C049BA">
      <w:pPr>
        <w:pStyle w:val="4"/>
        <w:overflowPunct w:val="0"/>
        <w:adjustRightInd w:val="0"/>
        <w:snapToGrid w:val="0"/>
        <w:spacing w:line="460" w:lineRule="exact"/>
        <w:ind w:firstLine="449"/>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14.3 免费提供每周7×24小时不间断的电话支持服务，解答用户在使用过程中遇到的问题，及时提出解决问题的建议和对策。</w:t>
      </w:r>
    </w:p>
    <w:p w14:paraId="097E5D45">
      <w:pPr>
        <w:pStyle w:val="4"/>
        <w:overflowPunct w:val="0"/>
        <w:adjustRightInd w:val="0"/>
        <w:snapToGrid w:val="0"/>
        <w:spacing w:line="460" w:lineRule="exact"/>
        <w:ind w:firstLine="449"/>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14.4 定期派专业维修人员到现场走访，给予检查维护。并向甲方提供巡检单（一式两份，由双方签字确认），内容包含但不限于巡检时间、巡检内容、巡检结果。</w:t>
      </w:r>
    </w:p>
    <w:p w14:paraId="1BB53906">
      <w:pPr>
        <w:pStyle w:val="4"/>
        <w:overflowPunct w:val="0"/>
        <w:adjustRightInd w:val="0"/>
        <w:snapToGrid w:val="0"/>
        <w:spacing w:line="460" w:lineRule="exact"/>
        <w:ind w:firstLine="449"/>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14.5  款项结清前，对所供产品进行一次全面检测、保养和维护。</w:t>
      </w:r>
    </w:p>
    <w:p w14:paraId="23863D7C">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28" w:name="_Toc9696"/>
      <w:bookmarkStart w:id="29" w:name="_Toc29588"/>
      <w:r>
        <w:rPr>
          <w:rFonts w:hint="eastAsia" w:ascii="宋体" w:hAnsi="宋体" w:eastAsia="宋体" w:cs="宋体"/>
          <w:color w:val="000000" w:themeColor="text1"/>
          <w:kern w:val="2"/>
          <w:sz w:val="24"/>
          <w:szCs w:val="24"/>
          <w:lang w:val="en-US" w:eastAsia="zh-CN" w:bidi="ar-SA"/>
          <w14:textFill>
            <w14:solidFill>
              <w14:schemeClr w14:val="tx1"/>
            </w14:solidFill>
          </w14:textFill>
        </w:rPr>
        <w:t>15.违约责任</w:t>
      </w:r>
      <w:bookmarkEnd w:id="28"/>
      <w:bookmarkEnd w:id="29"/>
    </w:p>
    <w:p w14:paraId="47C8DC93">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15.1 本合同若与甲方的上级管理机关的政策性行为或其他规定发生冲突，甲方有权与乙方协商调整合同内容或终止合同执行。</w:t>
      </w:r>
    </w:p>
    <w:p w14:paraId="58EF23D0">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15.2 如乙方所交设备（含选购件）或安装调试与合同标准不相符合，则甲方有权拒收设备（含选购件）、解除本合同、拒付本合同项下的价款并追究乙方违约责任，乙方应返还甲方已支付的全部款项，并按合同总价款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向甲方支付违约金并赔偿甲方因此而遭受的一切损失。</w:t>
      </w:r>
    </w:p>
    <w:p w14:paraId="7504CF8E">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15.3 在设备（含选购件）验收后的质保期内，乙方应对由于设计、工艺或者材料的缺陷而发生的任何不足或故障负责，并按本合同约定和甲方要求承担维修义务，由此而发生的一切费用由乙方承担，若因此导致甲方不能正常使用设备（含选购件），甲方有权退货并追究乙方违约责任，乙方应返还甲方已支付的全部款项，并按合同总价款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向甲方支付违约金并赔偿甲方因此而遭受的一切损失。</w:t>
      </w:r>
    </w:p>
    <w:p w14:paraId="69F0D5DA">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15.4 除发生不可抗力事件（不可抗力事件仅指自然灾害、战争）外，如乙方逾期交货或安装调试逾期，则每逾期一天，乙方按合同总价的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向甲方支付违约金，逾期30天，甲方有权解除合同并追究乙方违约责任，乙方应返还甲方已支付的全部款项，并按合同总价款的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向甲方支付违约金并赔偿甲方因此而遭受的一切损失。</w:t>
      </w:r>
    </w:p>
    <w:p w14:paraId="01995139">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15.5 保修期内，如乙方未按本合同约定提供保修服务，由甲方有权追究乙方违约责任，乙方应按合同总价款的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向甲方支付违约金并赔偿甲方因此而遭受的一切损失。</w:t>
      </w:r>
    </w:p>
    <w:p w14:paraId="30CCA5DE">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15.6 如乙方出现除上述13.2-13.5条以外的其他违约行为或违反保证与承诺义务，应按合同总价款的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向甲方支付违约金并赔偿甲方因此而遭受的一切损失。</w:t>
      </w:r>
    </w:p>
    <w:p w14:paraId="76930477">
      <w:pPr>
        <w:tabs>
          <w:tab w:val="left" w:pos="1155"/>
        </w:tabs>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 xml:space="preserve">15.7 </w:t>
      </w:r>
      <w:r>
        <w:rPr>
          <w:rFonts w:hint="eastAsia" w:ascii="宋体" w:hAnsi="宋体" w:cs="宋体"/>
          <w:color w:val="000000" w:themeColor="text1"/>
          <w:sz w:val="24"/>
          <w:szCs w:val="24"/>
          <w:shd w:val="clear" w:color="auto" w:fill="FFFFFF"/>
          <w14:textFill>
            <w14:solidFill>
              <w14:schemeClr w14:val="tx1"/>
            </w14:solidFill>
          </w14:textFill>
        </w:rPr>
        <w:tab/>
      </w:r>
      <w:r>
        <w:rPr>
          <w:rFonts w:hint="eastAsia" w:ascii="宋体" w:hAnsi="宋体" w:cs="宋体"/>
          <w:color w:val="000000" w:themeColor="text1"/>
          <w:sz w:val="24"/>
          <w:szCs w:val="24"/>
          <w:shd w:val="clear" w:color="auto" w:fill="FFFFFF"/>
          <w14:textFill>
            <w14:solidFill>
              <w14:schemeClr w14:val="tx1"/>
            </w14:solidFill>
          </w14:textFill>
        </w:rPr>
        <w:t>甲方无正当理由拒收设备，应按合同总价款的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向乙方支付违约金以作为对乙方的赔偿。</w:t>
      </w:r>
    </w:p>
    <w:p w14:paraId="238ABADD">
      <w:pPr>
        <w:tabs>
          <w:tab w:val="left" w:pos="1155"/>
        </w:tabs>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 xml:space="preserve">15.8 </w:t>
      </w:r>
      <w:r>
        <w:rPr>
          <w:rFonts w:hint="eastAsia" w:ascii="宋体" w:hAnsi="宋体" w:cs="宋体"/>
          <w:color w:val="000000" w:themeColor="text1"/>
          <w:sz w:val="24"/>
          <w:szCs w:val="24"/>
          <w:shd w:val="clear" w:color="auto" w:fill="FFFFFF"/>
          <w14:textFill>
            <w14:solidFill>
              <w14:schemeClr w14:val="tx1"/>
            </w14:solidFill>
          </w14:textFill>
        </w:rPr>
        <w:tab/>
      </w:r>
      <w:r>
        <w:rPr>
          <w:rFonts w:hint="eastAsia" w:ascii="宋体" w:hAnsi="宋体" w:cs="宋体"/>
          <w:color w:val="000000" w:themeColor="text1"/>
          <w:sz w:val="24"/>
          <w:szCs w:val="24"/>
          <w:shd w:val="clear" w:color="auto" w:fill="FFFFFF"/>
          <w14:textFill>
            <w14:solidFill>
              <w14:schemeClr w14:val="tx1"/>
            </w14:solidFill>
          </w14:textFill>
        </w:rPr>
        <w:tab/>
      </w:r>
      <w:r>
        <w:rPr>
          <w:rFonts w:hint="eastAsia" w:ascii="宋体" w:hAnsi="宋体" w:cs="宋体"/>
          <w:color w:val="000000" w:themeColor="text1"/>
          <w:sz w:val="24"/>
          <w:szCs w:val="24"/>
          <w:shd w:val="clear" w:color="auto" w:fill="FFFFFF"/>
          <w14:textFill>
            <w14:solidFill>
              <w14:schemeClr w14:val="tx1"/>
            </w14:solidFill>
          </w14:textFill>
        </w:rPr>
        <w:t>如甲方无正当理由延迟付款，则每延迟一天，甲方按应付而未付款项的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向乙方支付逾期的违约金，但逾期付款违约金最多不超过甲方应付而未付金额的</w:t>
      </w:r>
      <w:r>
        <w:rPr>
          <w:rFonts w:hint="eastAsia" w:ascii="宋体" w:hAnsi="宋体" w:cs="宋体"/>
          <w:color w:val="000000" w:themeColor="text1"/>
          <w:sz w:val="24"/>
          <w:szCs w:val="24"/>
          <w:u w:val="single"/>
          <w:shd w:val="clear" w:color="auto" w:fill="FFFFFF"/>
          <w14:textFill>
            <w14:solidFill>
              <w14:schemeClr w14:val="tx1"/>
            </w14:solidFill>
          </w14:textFill>
        </w:rPr>
        <w:t xml:space="preserve">   </w:t>
      </w:r>
      <w:r>
        <w:rPr>
          <w:rFonts w:hint="eastAsia" w:ascii="宋体" w:hAnsi="宋体" w:cs="宋体"/>
          <w:color w:val="000000" w:themeColor="text1"/>
          <w:sz w:val="24"/>
          <w:szCs w:val="24"/>
          <w:shd w:val="clear" w:color="auto" w:fill="FFFFFF"/>
          <w14:textFill>
            <w14:solidFill>
              <w14:schemeClr w14:val="tx1"/>
            </w14:solidFill>
          </w14:textFill>
        </w:rPr>
        <w:t>，本合同继续履行。</w:t>
      </w:r>
    </w:p>
    <w:p w14:paraId="04E118D5">
      <w:pPr>
        <w:overflowPunct w:val="0"/>
        <w:adjustRightInd w:val="0"/>
        <w:snapToGrid w:val="0"/>
        <w:spacing w:line="460" w:lineRule="exact"/>
        <w:ind w:firstLine="480" w:firstLineChars="200"/>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15.9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7A38CA96">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30" w:name="_Toc18421"/>
      <w:bookmarkStart w:id="31" w:name="_Toc14590"/>
      <w:r>
        <w:rPr>
          <w:rFonts w:hint="eastAsia" w:ascii="宋体" w:hAnsi="宋体" w:eastAsia="宋体" w:cs="宋体"/>
          <w:color w:val="000000" w:themeColor="text1"/>
          <w:kern w:val="2"/>
          <w:sz w:val="24"/>
          <w:szCs w:val="24"/>
          <w:lang w:val="en-US" w:eastAsia="zh-CN" w:bidi="ar-SA"/>
          <w14:textFill>
            <w14:solidFill>
              <w14:schemeClr w14:val="tx1"/>
            </w14:solidFill>
          </w14:textFill>
        </w:rPr>
        <w:t>16.保密条款</w:t>
      </w:r>
      <w:bookmarkEnd w:id="30"/>
      <w:bookmarkEnd w:id="31"/>
    </w:p>
    <w:p w14:paraId="73139E28">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甲、乙双方对本合同履行过程中获得的对方的资料数据、商业技术信息等承担保密责任。未经对方事先书面同意，任何一方不得以任何形式向第三方泄露。本合同的解除或终止，不免除双方对本保密条款的遵守。</w:t>
      </w:r>
    </w:p>
    <w:p w14:paraId="2F796E44">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32" w:name="_Toc24354"/>
      <w:bookmarkStart w:id="33" w:name="_Toc18460"/>
      <w:r>
        <w:rPr>
          <w:rFonts w:hint="eastAsia" w:ascii="宋体" w:hAnsi="宋体" w:eastAsia="宋体" w:cs="宋体"/>
          <w:color w:val="000000" w:themeColor="text1"/>
          <w:kern w:val="2"/>
          <w:sz w:val="24"/>
          <w:szCs w:val="24"/>
          <w:lang w:val="en-US" w:eastAsia="zh-CN" w:bidi="ar-SA"/>
          <w14:textFill>
            <w14:solidFill>
              <w14:schemeClr w14:val="tx1"/>
            </w14:solidFill>
          </w14:textFill>
        </w:rPr>
        <w:t>17.合同</w:t>
      </w:r>
      <w:bookmarkEnd w:id="32"/>
      <w:bookmarkEnd w:id="33"/>
      <w:r>
        <w:rPr>
          <w:rFonts w:hint="eastAsia" w:ascii="宋体" w:hAnsi="宋体" w:eastAsia="宋体" w:cs="宋体"/>
          <w:color w:val="000000" w:themeColor="text1"/>
          <w:kern w:val="2"/>
          <w:sz w:val="24"/>
          <w:szCs w:val="24"/>
          <w:lang w:val="en-US" w:eastAsia="zh-CN" w:bidi="ar-SA"/>
          <w14:textFill>
            <w14:solidFill>
              <w14:schemeClr w14:val="tx1"/>
            </w14:solidFill>
          </w14:textFill>
        </w:rPr>
        <w:t>履行</w:t>
      </w:r>
    </w:p>
    <w:p w14:paraId="4798B8F6">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除</w:t>
      </w:r>
      <w:r>
        <w:rPr>
          <w:rFonts w:hint="eastAsia" w:hAnsi="宋体"/>
          <w:color w:val="000000" w:themeColor="text1"/>
          <w:szCs w:val="24"/>
          <w:lang w:val="en-US" w:eastAsia="zh-CN"/>
          <w14:textFill>
            <w14:solidFill>
              <w14:schemeClr w14:val="tx1"/>
            </w14:solidFill>
          </w14:textFill>
        </w:rPr>
        <w:t>法律</w:t>
      </w:r>
      <w:r>
        <w:rPr>
          <w:rFonts w:hint="eastAsia" w:hAnsi="宋体"/>
          <w:color w:val="000000" w:themeColor="text1"/>
          <w:szCs w:val="24"/>
          <w14:textFill>
            <w14:solidFill>
              <w14:schemeClr w14:val="tx1"/>
            </w14:solidFill>
          </w14:textFill>
        </w:rPr>
        <w:t>规定的情形外，本合同一经签订，甲乙双方不得擅自变更、中止或终止合同。</w:t>
      </w:r>
    </w:p>
    <w:p w14:paraId="0AFDA47D">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34" w:name="_Toc23231"/>
      <w:bookmarkStart w:id="35" w:name="_Toc2019"/>
      <w:r>
        <w:rPr>
          <w:rFonts w:hint="eastAsia" w:ascii="宋体" w:hAnsi="宋体" w:eastAsia="宋体" w:cs="宋体"/>
          <w:color w:val="000000" w:themeColor="text1"/>
          <w:kern w:val="2"/>
          <w:sz w:val="24"/>
          <w:szCs w:val="24"/>
          <w:lang w:val="en-US" w:eastAsia="zh-CN" w:bidi="ar-SA"/>
          <w14:textFill>
            <w14:solidFill>
              <w14:schemeClr w14:val="tx1"/>
            </w14:solidFill>
          </w14:textFill>
        </w:rPr>
        <w:t>18.合同争议解决的方式</w:t>
      </w:r>
      <w:bookmarkEnd w:id="34"/>
      <w:bookmarkEnd w:id="35"/>
    </w:p>
    <w:p w14:paraId="061B5672">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18.1 因货物的质量问题发生争议，由质量技术监督部门或其指定的质量鉴定机构进行质量鉴定。货物符合标准的，鉴定费由甲方承担；货物不符合质量标准的，鉴定费由乙方承担。</w:t>
      </w:r>
    </w:p>
    <w:p w14:paraId="710B72FA">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18.2 因履行本合同引起的或与本合同有关的争议，甲、乙双方应首先通过友好协商解决，如果协商不成，则采取以下第2种方式解决争议：</w:t>
      </w:r>
    </w:p>
    <w:p w14:paraId="0A72AAE5">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18.2.1 向甲方所在地有管辖权的人民法院提起诉讼；</w:t>
      </w:r>
    </w:p>
    <w:p w14:paraId="3C3B1DC1">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18.2.2 向西安仲裁委员会按其仲裁规则申请仲裁。</w:t>
      </w:r>
    </w:p>
    <w:p w14:paraId="4B6C0031">
      <w:pPr>
        <w:pStyle w:val="8"/>
        <w:widowControl w:val="0"/>
        <w:overflowPunct w:val="0"/>
        <w:adjustRightInd w:val="0"/>
        <w:snapToGrid w:val="0"/>
        <w:spacing w:line="460" w:lineRule="exact"/>
        <w:ind w:firstLine="449"/>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18.3 仲裁期间，本合同应继续履行。</w:t>
      </w:r>
    </w:p>
    <w:p w14:paraId="66D8FACE">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36" w:name="_Toc27199"/>
      <w:bookmarkStart w:id="37" w:name="_Toc28038"/>
      <w:r>
        <w:rPr>
          <w:rFonts w:hint="eastAsia" w:ascii="宋体" w:hAnsi="宋体" w:eastAsia="宋体" w:cs="宋体"/>
          <w:color w:val="000000" w:themeColor="text1"/>
          <w:kern w:val="2"/>
          <w:sz w:val="24"/>
          <w:szCs w:val="24"/>
          <w:lang w:val="en-US" w:eastAsia="zh-CN" w:bidi="ar-SA"/>
          <w14:textFill>
            <w14:solidFill>
              <w14:schemeClr w14:val="tx1"/>
            </w14:solidFill>
          </w14:textFill>
        </w:rPr>
        <w:t>19履约保证金</w:t>
      </w:r>
      <w:bookmarkEnd w:id="36"/>
      <w:bookmarkEnd w:id="37"/>
    </w:p>
    <w:p w14:paraId="00128006">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19.1 本合同签订之</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的</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工作日内，向甲方交纳履约保证金人民币（大写）</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元（¥</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w:t>
      </w:r>
    </w:p>
    <w:p w14:paraId="0E1455C5">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19.2 履约保证金的有效期为乙方承诺的货物（产品）质保期。</w:t>
      </w:r>
    </w:p>
    <w:p w14:paraId="2DA97726">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19.3 如乙方未能履行合同规定的义务，甲方有权从履约保证金中取得补偿。</w:t>
      </w:r>
    </w:p>
    <w:p w14:paraId="759E9D38">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19.4 货物（产品）质保期结束后，甲方财务部门接到甲方确认本合同货物质量与服务等约定事项已经履行完毕的正式书面文件后的</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日内，向乙方退还履约保证金。</w:t>
      </w:r>
    </w:p>
    <w:p w14:paraId="75A2C1E2">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19.5乙方可以履约担保函的形式交纳履约保证金（格式见附件1）。</w:t>
      </w:r>
    </w:p>
    <w:p w14:paraId="09467976">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38" w:name="_Toc3946"/>
      <w:bookmarkStart w:id="39" w:name="_Toc23719"/>
      <w:r>
        <w:rPr>
          <w:rFonts w:hint="eastAsia" w:ascii="宋体" w:hAnsi="宋体" w:eastAsia="宋体" w:cs="宋体"/>
          <w:color w:val="000000" w:themeColor="text1"/>
          <w:kern w:val="2"/>
          <w:sz w:val="24"/>
          <w:szCs w:val="24"/>
          <w:lang w:val="en-US" w:eastAsia="zh-CN" w:bidi="ar-SA"/>
          <w14:textFill>
            <w14:solidFill>
              <w14:schemeClr w14:val="tx1"/>
            </w14:solidFill>
          </w14:textFill>
        </w:rPr>
        <w:t>20.合同文件</w:t>
      </w:r>
      <w:bookmarkEnd w:id="38"/>
      <w:bookmarkEnd w:id="39"/>
    </w:p>
    <w:p w14:paraId="7325E993">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2868C1E2">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20.1 本合同书</w:t>
      </w:r>
    </w:p>
    <w:p w14:paraId="1566D94C">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20.2 中标通知书</w:t>
      </w:r>
      <w:r>
        <w:rPr>
          <w:rFonts w:hint="eastAsia" w:ascii="宋体" w:hAnsi="宋体" w:cs="宋体"/>
          <w:color w:val="000000" w:themeColor="text1"/>
          <w:sz w:val="24"/>
          <w:szCs w:val="24"/>
          <w14:textFill>
            <w14:solidFill>
              <w14:schemeClr w14:val="tx1"/>
            </w14:solidFill>
          </w14:textFill>
        </w:rPr>
        <w:tab/>
      </w:r>
    </w:p>
    <w:p w14:paraId="1A977BCA">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20.3 协议</w:t>
      </w:r>
    </w:p>
    <w:p w14:paraId="301097E8">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20.4 招标文件(含澄清或者修改文件)</w:t>
      </w:r>
    </w:p>
    <w:p w14:paraId="3DE52CD4">
      <w:pPr>
        <w:overflowPunct w:val="0"/>
        <w:adjustRightInd w:val="0"/>
        <w:snapToGrid w:val="0"/>
        <w:spacing w:line="46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20.5 投标文件</w:t>
      </w:r>
    </w:p>
    <w:p w14:paraId="7013CB68">
      <w:pPr>
        <w:pStyle w:val="3"/>
        <w:keepNext w:val="0"/>
        <w:keepLines w:val="0"/>
        <w:pageBreakBefore w:val="0"/>
        <w:widowControl w:val="0"/>
        <w:numPr>
          <w:ilvl w:val="2"/>
          <w:numId w:val="0"/>
        </w:numPr>
        <w:kinsoku/>
        <w:wordWrap/>
        <w:overflowPunct w:val="0"/>
        <w:topLinePunct w:val="0"/>
        <w:autoSpaceDE/>
        <w:autoSpaceDN/>
        <w:bidi w:val="0"/>
        <w:adjustRightInd w:val="0"/>
        <w:snapToGrid w:val="0"/>
        <w:spacing w:before="0" w:after="0" w:line="460" w:lineRule="exact"/>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40" w:name="_Toc21719"/>
      <w:bookmarkStart w:id="41" w:name="_Toc16981"/>
      <w:r>
        <w:rPr>
          <w:rFonts w:hint="eastAsia" w:ascii="宋体" w:hAnsi="宋体" w:eastAsia="宋体" w:cs="宋体"/>
          <w:color w:val="000000" w:themeColor="text1"/>
          <w:kern w:val="2"/>
          <w:sz w:val="24"/>
          <w:szCs w:val="24"/>
          <w:lang w:val="en-US" w:eastAsia="zh-CN" w:bidi="ar-SA"/>
          <w14:textFill>
            <w14:solidFill>
              <w14:schemeClr w14:val="tx1"/>
            </w14:solidFill>
          </w14:textFill>
        </w:rPr>
        <w:t>21.其他事项</w:t>
      </w:r>
      <w:bookmarkEnd w:id="40"/>
      <w:bookmarkEnd w:id="41"/>
    </w:p>
    <w:p w14:paraId="05DF235E">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21.1 陕西省财政厅在合同的履行期间以及履行期后，可以随时检查项目的执行情况，对采购标准、采购内容进行调查核实，并对发现的问题进行处理。</w:t>
      </w:r>
    </w:p>
    <w:p w14:paraId="303E912C">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21.2乙方应根据公开招标文件要求向采购代理机构交纳代理服务费并取得甲方的签章后，合同才正式生效。</w:t>
      </w:r>
    </w:p>
    <w:p w14:paraId="705ACBBD">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21.3 本合同一式</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份，甲方</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份，乙方</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份，采购代理机构</w:t>
      </w:r>
      <w:r>
        <w:rPr>
          <w:rFonts w:hint="eastAsia" w:ascii="宋体" w:hAnsi="宋体" w:cs="宋体"/>
          <w:color w:val="000000" w:themeColor="text1"/>
          <w:sz w:val="24"/>
          <w:szCs w:val="24"/>
          <w:u w:val="single"/>
          <w14:textFill>
            <w14:solidFill>
              <w14:schemeClr w14:val="tx1"/>
            </w14:solidFill>
          </w14:textFill>
        </w:rPr>
        <w:t xml:space="preserve"> 壹 </w:t>
      </w:r>
      <w:r>
        <w:rPr>
          <w:rFonts w:hint="eastAsia" w:ascii="宋体" w:hAnsi="宋体" w:cs="宋体"/>
          <w:color w:val="000000" w:themeColor="text1"/>
          <w:sz w:val="24"/>
          <w:szCs w:val="24"/>
          <w14:textFill>
            <w14:solidFill>
              <w14:schemeClr w14:val="tx1"/>
            </w14:solidFill>
          </w14:textFill>
        </w:rPr>
        <w:t>份。。</w:t>
      </w:r>
    </w:p>
    <w:p w14:paraId="7A52B83A">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21.4 本合同未尽事项，补充合同内容。</w:t>
      </w:r>
    </w:p>
    <w:p w14:paraId="2D48F963">
      <w:pPr>
        <w:overflowPunct w:val="0"/>
        <w:adjustRightInd w:val="0"/>
        <w:snapToGrid w:val="0"/>
        <w:spacing w:line="46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（以下无正文）</w:t>
      </w:r>
    </w:p>
    <w:tbl>
      <w:tblPr>
        <w:tblStyle w:val="6"/>
        <w:tblpPr w:leftFromText="180" w:rightFromText="180" w:vertAnchor="text" w:horzAnchor="page" w:tblpX="1144" w:tblpY="305"/>
        <w:tblW w:w="4830" w:type="pct"/>
        <w:tblInd w:w="0" w:type="dxa"/>
        <w:tblLayout w:type="autofit"/>
        <w:tblCellMar>
          <w:top w:w="0" w:type="dxa"/>
          <w:left w:w="108" w:type="dxa"/>
          <w:bottom w:w="0" w:type="dxa"/>
          <w:right w:w="108" w:type="dxa"/>
        </w:tblCellMar>
      </w:tblPr>
      <w:tblGrid>
        <w:gridCol w:w="4115"/>
        <w:gridCol w:w="4117"/>
      </w:tblGrid>
      <w:tr w14:paraId="3B6CE7C8">
        <w:tblPrEx>
          <w:tblCellMar>
            <w:top w:w="0" w:type="dxa"/>
            <w:left w:w="108" w:type="dxa"/>
            <w:bottom w:w="0" w:type="dxa"/>
            <w:right w:w="108" w:type="dxa"/>
          </w:tblCellMar>
        </w:tblPrEx>
        <w:trPr>
          <w:trHeight w:val="437" w:hRule="atLeast"/>
        </w:trPr>
        <w:tc>
          <w:tcPr>
            <w:tcW w:w="2499" w:type="pct"/>
            <w:vAlign w:val="center"/>
          </w:tcPr>
          <w:p w14:paraId="4818F04A">
            <w:pPr>
              <w:overflowPunct w:val="0"/>
              <w:adjustRightInd w:val="0"/>
              <w:snapToGrid w:val="0"/>
              <w:rPr>
                <w:rFonts w:ascii="宋体" w:hAnsi="宋体" w:cs="宋体"/>
                <w:color w:val="000000" w:themeColor="text1"/>
                <w:w w:val="95"/>
                <w:sz w:val="24"/>
                <w:szCs w:val="24"/>
                <w14:textFill>
                  <w14:solidFill>
                    <w14:schemeClr w14:val="tx1"/>
                  </w14:solidFill>
                </w14:textFill>
              </w:rPr>
            </w:pPr>
            <w:r>
              <w:rPr>
                <w:rFonts w:hint="eastAsia" w:ascii="宋体" w:hAnsi="宋体" w:cs="宋体"/>
                <w:color w:val="000000" w:themeColor="text1"/>
                <w:w w:val="95"/>
                <w:sz w:val="24"/>
                <w:szCs w:val="24"/>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 xml:space="preserve">                  （盖章）</w:t>
            </w:r>
          </w:p>
        </w:tc>
        <w:tc>
          <w:tcPr>
            <w:tcW w:w="2500" w:type="pct"/>
            <w:vAlign w:val="center"/>
          </w:tcPr>
          <w:p w14:paraId="70511A2A">
            <w:pPr>
              <w:overflowPunct w:val="0"/>
              <w:adjustRightInd w:val="0"/>
              <w:snapToGrid w:val="0"/>
              <w:rPr>
                <w:rFonts w:ascii="宋体" w:hAnsi="宋体" w:cs="宋体"/>
                <w:color w:val="000000" w:themeColor="text1"/>
                <w:w w:val="95"/>
                <w:sz w:val="24"/>
                <w:szCs w:val="24"/>
                <w14:textFill>
                  <w14:solidFill>
                    <w14:schemeClr w14:val="tx1"/>
                  </w14:solidFill>
                </w14:textFill>
              </w:rPr>
            </w:pPr>
            <w:r>
              <w:rPr>
                <w:rFonts w:hint="eastAsia" w:ascii="宋体" w:hAnsi="宋体" w:cs="宋体"/>
                <w:color w:val="000000" w:themeColor="text1"/>
                <w:w w:val="95"/>
                <w:sz w:val="24"/>
                <w:szCs w:val="24"/>
                <w14:textFill>
                  <w14:solidFill>
                    <w14:schemeClr w14:val="tx1"/>
                  </w14:solidFill>
                </w14:textFill>
              </w:rPr>
              <w:t xml:space="preserve">乙方:                    </w:t>
            </w:r>
            <w:r>
              <w:rPr>
                <w:rFonts w:hint="eastAsia" w:ascii="宋体" w:hAnsi="宋体" w:cs="宋体"/>
                <w:color w:val="000000" w:themeColor="text1"/>
                <w:sz w:val="24"/>
                <w:szCs w:val="24"/>
                <w14:textFill>
                  <w14:solidFill>
                    <w14:schemeClr w14:val="tx1"/>
                  </w14:solidFill>
                </w14:textFill>
              </w:rPr>
              <w:t>（盖章）</w:t>
            </w:r>
          </w:p>
        </w:tc>
      </w:tr>
      <w:tr w14:paraId="0882329D">
        <w:tblPrEx>
          <w:tblCellMar>
            <w:top w:w="0" w:type="dxa"/>
            <w:left w:w="108" w:type="dxa"/>
            <w:bottom w:w="0" w:type="dxa"/>
            <w:right w:w="108" w:type="dxa"/>
          </w:tblCellMar>
        </w:tblPrEx>
        <w:trPr>
          <w:trHeight w:val="437" w:hRule="atLeast"/>
        </w:trPr>
        <w:tc>
          <w:tcPr>
            <w:tcW w:w="2499" w:type="pct"/>
            <w:vAlign w:val="center"/>
          </w:tcPr>
          <w:p w14:paraId="761772BD">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地址： </w:t>
            </w:r>
          </w:p>
        </w:tc>
        <w:tc>
          <w:tcPr>
            <w:tcW w:w="2500" w:type="pct"/>
            <w:vAlign w:val="center"/>
          </w:tcPr>
          <w:p w14:paraId="1C1AEDCE">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p>
        </w:tc>
      </w:tr>
      <w:tr w14:paraId="2F18B651">
        <w:tblPrEx>
          <w:tblCellMar>
            <w:top w:w="0" w:type="dxa"/>
            <w:left w:w="108" w:type="dxa"/>
            <w:bottom w:w="0" w:type="dxa"/>
            <w:right w:w="108" w:type="dxa"/>
          </w:tblCellMar>
        </w:tblPrEx>
        <w:trPr>
          <w:trHeight w:val="437" w:hRule="atLeast"/>
        </w:trPr>
        <w:tc>
          <w:tcPr>
            <w:tcW w:w="2499" w:type="pct"/>
            <w:vAlign w:val="center"/>
          </w:tcPr>
          <w:p w14:paraId="6CF11376">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w:t>
            </w:r>
          </w:p>
        </w:tc>
        <w:tc>
          <w:tcPr>
            <w:tcW w:w="2500" w:type="pct"/>
            <w:vAlign w:val="center"/>
          </w:tcPr>
          <w:p w14:paraId="776BBA5A">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w:t>
            </w:r>
          </w:p>
        </w:tc>
      </w:tr>
      <w:tr w14:paraId="71CD5BBD">
        <w:tblPrEx>
          <w:tblCellMar>
            <w:top w:w="0" w:type="dxa"/>
            <w:left w:w="108" w:type="dxa"/>
            <w:bottom w:w="0" w:type="dxa"/>
            <w:right w:w="108" w:type="dxa"/>
          </w:tblCellMar>
        </w:tblPrEx>
        <w:trPr>
          <w:trHeight w:val="1095" w:hRule="atLeast"/>
        </w:trPr>
        <w:tc>
          <w:tcPr>
            <w:tcW w:w="2499" w:type="pct"/>
          </w:tcPr>
          <w:p w14:paraId="17ECCDE7">
            <w:pPr>
              <w:overflowPunct w:val="0"/>
              <w:adjustRightInd w:val="0"/>
              <w:snapToGrid w:val="0"/>
              <w:spacing w:before="156" w:before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法定代表人（签字或盖章）：</w:t>
            </w:r>
          </w:p>
          <w:p w14:paraId="727293A0">
            <w:pPr>
              <w:overflowPunct w:val="0"/>
              <w:adjustRightInd w:val="0"/>
              <w:snapToGrid w:val="0"/>
              <w:rPr>
                <w:rFonts w:ascii="宋体" w:hAnsi="宋体" w:cs="宋体"/>
                <w:color w:val="000000" w:themeColor="text1"/>
                <w:sz w:val="24"/>
                <w:szCs w:val="24"/>
                <w14:textFill>
                  <w14:solidFill>
                    <w14:schemeClr w14:val="tx1"/>
                  </w14:solidFill>
                </w14:textFill>
              </w:rPr>
            </w:pPr>
          </w:p>
        </w:tc>
        <w:tc>
          <w:tcPr>
            <w:tcW w:w="2500" w:type="pct"/>
          </w:tcPr>
          <w:p w14:paraId="299FD118">
            <w:pPr>
              <w:overflowPunct w:val="0"/>
              <w:adjustRightInd w:val="0"/>
              <w:snapToGrid w:val="0"/>
              <w:spacing w:before="156" w:before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法定代表人（签字或盖章）：</w:t>
            </w:r>
          </w:p>
        </w:tc>
      </w:tr>
      <w:tr w14:paraId="16EB8E2B">
        <w:tblPrEx>
          <w:tblCellMar>
            <w:top w:w="0" w:type="dxa"/>
            <w:left w:w="108" w:type="dxa"/>
            <w:bottom w:w="0" w:type="dxa"/>
            <w:right w:w="108" w:type="dxa"/>
          </w:tblCellMar>
        </w:tblPrEx>
        <w:trPr>
          <w:trHeight w:val="657" w:hRule="atLeast"/>
        </w:trPr>
        <w:tc>
          <w:tcPr>
            <w:tcW w:w="2499" w:type="pct"/>
          </w:tcPr>
          <w:p w14:paraId="2733BF8C">
            <w:pPr>
              <w:overflowPunct w:val="0"/>
              <w:adjustRightInd w:val="0"/>
              <w:snapToGrid w:val="0"/>
              <w:spacing w:before="156" w:before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c>
          <w:tcPr>
            <w:tcW w:w="2500" w:type="pct"/>
          </w:tcPr>
          <w:p w14:paraId="6C053730">
            <w:pPr>
              <w:overflowPunct w:val="0"/>
              <w:adjustRightInd w:val="0"/>
              <w:snapToGrid w:val="0"/>
              <w:spacing w:before="156" w:before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r>
      <w:tr w14:paraId="589DB060">
        <w:tblPrEx>
          <w:tblCellMar>
            <w:top w:w="0" w:type="dxa"/>
            <w:left w:w="108" w:type="dxa"/>
            <w:bottom w:w="0" w:type="dxa"/>
            <w:right w:w="108" w:type="dxa"/>
          </w:tblCellMar>
        </w:tblPrEx>
        <w:trPr>
          <w:trHeight w:val="437" w:hRule="atLeast"/>
        </w:trPr>
        <w:tc>
          <w:tcPr>
            <w:tcW w:w="2499" w:type="pct"/>
            <w:vAlign w:val="center"/>
          </w:tcPr>
          <w:p w14:paraId="4E042579">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w:t>
            </w:r>
          </w:p>
        </w:tc>
        <w:tc>
          <w:tcPr>
            <w:tcW w:w="2500" w:type="pct"/>
            <w:vAlign w:val="center"/>
          </w:tcPr>
          <w:p w14:paraId="769CA2EE">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w:t>
            </w:r>
          </w:p>
        </w:tc>
      </w:tr>
      <w:tr w14:paraId="1E6305AD">
        <w:tblPrEx>
          <w:tblCellMar>
            <w:top w:w="0" w:type="dxa"/>
            <w:left w:w="108" w:type="dxa"/>
            <w:bottom w:w="0" w:type="dxa"/>
            <w:right w:w="108" w:type="dxa"/>
          </w:tblCellMar>
        </w:tblPrEx>
        <w:trPr>
          <w:trHeight w:val="437" w:hRule="atLeast"/>
        </w:trPr>
        <w:tc>
          <w:tcPr>
            <w:tcW w:w="2499" w:type="pct"/>
            <w:vAlign w:val="center"/>
          </w:tcPr>
          <w:p w14:paraId="78587165">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w:t>
            </w:r>
          </w:p>
        </w:tc>
        <w:tc>
          <w:tcPr>
            <w:tcW w:w="2500" w:type="pct"/>
            <w:vAlign w:val="center"/>
          </w:tcPr>
          <w:p w14:paraId="4BC94592">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w:t>
            </w:r>
          </w:p>
        </w:tc>
      </w:tr>
      <w:tr w14:paraId="585F71A4">
        <w:tblPrEx>
          <w:tblCellMar>
            <w:top w:w="0" w:type="dxa"/>
            <w:left w:w="108" w:type="dxa"/>
            <w:bottom w:w="0" w:type="dxa"/>
            <w:right w:w="108" w:type="dxa"/>
          </w:tblCellMar>
        </w:tblPrEx>
        <w:trPr>
          <w:trHeight w:val="437" w:hRule="atLeast"/>
        </w:trPr>
        <w:tc>
          <w:tcPr>
            <w:tcW w:w="2499" w:type="pct"/>
            <w:vAlign w:val="center"/>
          </w:tcPr>
          <w:p w14:paraId="07480C5C">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c>
          <w:tcPr>
            <w:tcW w:w="2500" w:type="pct"/>
            <w:vAlign w:val="center"/>
          </w:tcPr>
          <w:p w14:paraId="2D2D0EAC">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r>
      <w:tr w14:paraId="0D71C40C">
        <w:tblPrEx>
          <w:tblCellMar>
            <w:top w:w="0" w:type="dxa"/>
            <w:left w:w="108" w:type="dxa"/>
            <w:bottom w:w="0" w:type="dxa"/>
            <w:right w:w="108" w:type="dxa"/>
          </w:tblCellMar>
        </w:tblPrEx>
        <w:trPr>
          <w:trHeight w:val="437" w:hRule="atLeast"/>
        </w:trPr>
        <w:tc>
          <w:tcPr>
            <w:tcW w:w="2499" w:type="pct"/>
            <w:vAlign w:val="center"/>
          </w:tcPr>
          <w:p w14:paraId="5A8CFB4F">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tc>
        <w:tc>
          <w:tcPr>
            <w:tcW w:w="2500" w:type="pct"/>
            <w:vAlign w:val="center"/>
          </w:tcPr>
          <w:p w14:paraId="27020629">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tc>
      </w:tr>
      <w:tr w14:paraId="4B8A0217">
        <w:tblPrEx>
          <w:tblCellMar>
            <w:top w:w="0" w:type="dxa"/>
            <w:left w:w="108" w:type="dxa"/>
            <w:bottom w:w="0" w:type="dxa"/>
            <w:right w:w="108" w:type="dxa"/>
          </w:tblCellMar>
        </w:tblPrEx>
        <w:trPr>
          <w:trHeight w:val="437" w:hRule="atLeast"/>
        </w:trPr>
        <w:tc>
          <w:tcPr>
            <w:tcW w:w="2499" w:type="pct"/>
            <w:vAlign w:val="center"/>
          </w:tcPr>
          <w:p w14:paraId="0DC4A95F">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日期：       年   月   日</w:t>
            </w:r>
          </w:p>
        </w:tc>
        <w:tc>
          <w:tcPr>
            <w:tcW w:w="2500" w:type="pct"/>
            <w:vAlign w:val="center"/>
          </w:tcPr>
          <w:p w14:paraId="72A038DD">
            <w:pPr>
              <w:overflowPunct w:val="0"/>
              <w:adjustRightInd w:val="0"/>
              <w:snapToGrid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日期：      年   月   日</w:t>
            </w:r>
          </w:p>
        </w:tc>
      </w:tr>
    </w:tbl>
    <w:p w14:paraId="2C70FD10">
      <w:pPr>
        <w:keepNext w:val="0"/>
        <w:keepLines w:val="0"/>
        <w:pageBreakBefore w:val="0"/>
        <w:widowControl w:val="0"/>
        <w:kinsoku/>
        <w:wordWrap/>
        <w:overflowPunct w:val="0"/>
        <w:topLinePunct/>
        <w:autoSpaceDE/>
        <w:autoSpaceDN/>
        <w:bidi w:val="0"/>
        <w:textAlignment w:val="auto"/>
        <w:rPr>
          <w:highlight w:val="none"/>
        </w:rPr>
      </w:pPr>
    </w:p>
    <w:p w14:paraId="689FC4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47F7E"/>
    <w:multiLevelType w:val="multilevel"/>
    <w:tmpl w:val="D3147F7E"/>
    <w:lvl w:ilvl="0" w:tentative="0">
      <w:start w:val="1"/>
      <w:numFmt w:val="chineseCountingThousand"/>
      <w:suff w:val="nothing"/>
      <w:lvlText w:val="第%1章"/>
      <w:lvlJc w:val="left"/>
      <w:pPr>
        <w:ind w:left="2693" w:firstLine="0"/>
      </w:pPr>
      <w:rPr>
        <w:b/>
        <w:sz w:val="44"/>
        <w:lang w:val="en-US"/>
      </w:rPr>
    </w:lvl>
    <w:lvl w:ilvl="1" w:tentative="0">
      <w:start w:val="1"/>
      <w:numFmt w:val="none"/>
      <w:suff w:val="nothing"/>
      <w:lvlText w:val=""/>
      <w:lvlJc w:val="left"/>
      <w:pPr>
        <w:ind w:left="2693" w:firstLine="0"/>
      </w:pPr>
    </w:lvl>
    <w:lvl w:ilvl="2" w:tentative="0">
      <w:start w:val="1"/>
      <w:numFmt w:val="none"/>
      <w:pStyle w:val="3"/>
      <w:suff w:val="nothing"/>
      <w:lvlText w:val=""/>
      <w:lvlJc w:val="left"/>
      <w:pPr>
        <w:ind w:left="2693" w:firstLine="0"/>
      </w:pPr>
    </w:lvl>
    <w:lvl w:ilvl="3" w:tentative="0">
      <w:start w:val="1"/>
      <w:numFmt w:val="none"/>
      <w:suff w:val="nothing"/>
      <w:lvlText w:val=""/>
      <w:lvlJc w:val="left"/>
      <w:pPr>
        <w:ind w:left="2693" w:firstLine="0"/>
      </w:pPr>
    </w:lvl>
    <w:lvl w:ilvl="4" w:tentative="0">
      <w:start w:val="1"/>
      <w:numFmt w:val="none"/>
      <w:suff w:val="nothing"/>
      <w:lvlText w:val=""/>
      <w:lvlJc w:val="left"/>
      <w:pPr>
        <w:ind w:left="2693" w:firstLine="0"/>
      </w:pPr>
    </w:lvl>
    <w:lvl w:ilvl="5" w:tentative="0">
      <w:start w:val="1"/>
      <w:numFmt w:val="none"/>
      <w:suff w:val="nothing"/>
      <w:lvlText w:val=""/>
      <w:lvlJc w:val="left"/>
      <w:pPr>
        <w:ind w:left="2693" w:firstLine="0"/>
      </w:pPr>
    </w:lvl>
    <w:lvl w:ilvl="6" w:tentative="0">
      <w:start w:val="1"/>
      <w:numFmt w:val="none"/>
      <w:suff w:val="nothing"/>
      <w:lvlText w:val=""/>
      <w:lvlJc w:val="left"/>
      <w:pPr>
        <w:ind w:left="2693" w:firstLine="0"/>
      </w:pPr>
    </w:lvl>
    <w:lvl w:ilvl="7" w:tentative="0">
      <w:start w:val="1"/>
      <w:numFmt w:val="none"/>
      <w:suff w:val="nothing"/>
      <w:lvlText w:val=""/>
      <w:lvlJc w:val="left"/>
      <w:pPr>
        <w:ind w:left="2693" w:firstLine="0"/>
      </w:pPr>
    </w:lvl>
    <w:lvl w:ilvl="8" w:tentative="0">
      <w:start w:val="1"/>
      <w:numFmt w:val="none"/>
      <w:suff w:val="nothing"/>
      <w:lvlText w:val=""/>
      <w:lvlJc w:val="left"/>
      <w:pPr>
        <w:ind w:left="2693" w:firstLine="0"/>
      </w:pPr>
    </w:lvl>
  </w:abstractNum>
  <w:abstractNum w:abstractNumId="1">
    <w:nsid w:val="023B3F3F"/>
    <w:multiLevelType w:val="multilevel"/>
    <w:tmpl w:val="023B3F3F"/>
    <w:lvl w:ilvl="0" w:tentative="0">
      <w:start w:val="1"/>
      <w:numFmt w:val="chineseCountingThousand"/>
      <w:pStyle w:val="2"/>
      <w:suff w:val="nothing"/>
      <w:lvlText w:val="第%1章"/>
      <w:lvlJc w:val="left"/>
      <w:pPr>
        <w:ind w:left="2693" w:firstLine="0"/>
      </w:pPr>
      <w:rPr>
        <w:b/>
        <w:sz w:val="44"/>
        <w:lang w:val="en-US"/>
      </w:rPr>
    </w:lvl>
    <w:lvl w:ilvl="1" w:tentative="0">
      <w:start w:val="1"/>
      <w:numFmt w:val="none"/>
      <w:suff w:val="nothing"/>
      <w:lvlText w:val=""/>
      <w:lvlJc w:val="left"/>
      <w:pPr>
        <w:ind w:left="2693" w:firstLine="0"/>
      </w:pPr>
    </w:lvl>
    <w:lvl w:ilvl="2" w:tentative="0">
      <w:start w:val="1"/>
      <w:numFmt w:val="none"/>
      <w:suff w:val="nothing"/>
      <w:lvlText w:val=""/>
      <w:lvlJc w:val="left"/>
      <w:pPr>
        <w:ind w:left="2693" w:firstLine="0"/>
      </w:pPr>
    </w:lvl>
    <w:lvl w:ilvl="3" w:tentative="0">
      <w:start w:val="1"/>
      <w:numFmt w:val="none"/>
      <w:suff w:val="nothing"/>
      <w:lvlText w:val=""/>
      <w:lvlJc w:val="left"/>
      <w:pPr>
        <w:ind w:left="2693" w:firstLine="0"/>
      </w:pPr>
    </w:lvl>
    <w:lvl w:ilvl="4" w:tentative="0">
      <w:start w:val="1"/>
      <w:numFmt w:val="none"/>
      <w:suff w:val="nothing"/>
      <w:lvlText w:val=""/>
      <w:lvlJc w:val="left"/>
      <w:pPr>
        <w:ind w:left="2693" w:firstLine="0"/>
      </w:pPr>
    </w:lvl>
    <w:lvl w:ilvl="5" w:tentative="0">
      <w:start w:val="1"/>
      <w:numFmt w:val="none"/>
      <w:suff w:val="nothing"/>
      <w:lvlText w:val=""/>
      <w:lvlJc w:val="left"/>
      <w:pPr>
        <w:ind w:left="2693" w:firstLine="0"/>
      </w:pPr>
    </w:lvl>
    <w:lvl w:ilvl="6" w:tentative="0">
      <w:start w:val="1"/>
      <w:numFmt w:val="none"/>
      <w:suff w:val="nothing"/>
      <w:lvlText w:val=""/>
      <w:lvlJc w:val="left"/>
      <w:pPr>
        <w:ind w:left="2693" w:firstLine="0"/>
      </w:pPr>
    </w:lvl>
    <w:lvl w:ilvl="7" w:tentative="0">
      <w:start w:val="1"/>
      <w:numFmt w:val="none"/>
      <w:suff w:val="nothing"/>
      <w:lvlText w:val=""/>
      <w:lvlJc w:val="left"/>
      <w:pPr>
        <w:ind w:left="2693" w:firstLine="0"/>
      </w:pPr>
    </w:lvl>
    <w:lvl w:ilvl="8" w:tentative="0">
      <w:start w:val="1"/>
      <w:numFmt w:val="none"/>
      <w:suff w:val="nothing"/>
      <w:lvlText w:val=""/>
      <w:lvlJc w:val="left"/>
      <w:pPr>
        <w:ind w:left="2693"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7753C"/>
    <w:rsid w:val="6B1C047A"/>
    <w:rsid w:val="6F37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numPr>
        <w:ilvl w:val="0"/>
        <w:numId w:val="1"/>
      </w:numPr>
      <w:spacing w:before="120" w:after="120"/>
      <w:jc w:val="center"/>
      <w:outlineLvl w:val="0"/>
    </w:pPr>
    <w:rPr>
      <w:kern w:val="44"/>
      <w:sz w:val="44"/>
    </w:rPr>
  </w:style>
  <w:style w:type="paragraph" w:styleId="3">
    <w:name w:val="heading 3"/>
    <w:basedOn w:val="1"/>
    <w:next w:val="1"/>
    <w:semiHidden/>
    <w:unhideWhenUsed/>
    <w:qFormat/>
    <w:uiPriority w:val="0"/>
    <w:pPr>
      <w:keepNext/>
      <w:keepLines/>
      <w:numPr>
        <w:ilvl w:val="2"/>
        <w:numId w:val="2"/>
      </w:numPr>
      <w:adjustRightInd w:val="0"/>
      <w:spacing w:before="240" w:after="120" w:line="300" w:lineRule="auto"/>
      <w:jc w:val="left"/>
      <w:outlineLvl w:val="2"/>
    </w:pPr>
    <w:rPr>
      <w:rFonts w:cs="Times New Roman"/>
      <w:kern w:val="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420"/>
    </w:pPr>
  </w:style>
  <w:style w:type="paragraph" w:styleId="5">
    <w:name w:val="Body Text"/>
    <w:basedOn w:val="1"/>
    <w:next w:val="1"/>
    <w:unhideWhenUsed/>
    <w:qFormat/>
    <w:uiPriority w:val="99"/>
    <w:pPr>
      <w:spacing w:after="120"/>
    </w:pPr>
  </w:style>
  <w:style w:type="paragraph" w:customStyle="1" w:styleId="8">
    <w:name w:val="样式 首行缩进:  2 字符"/>
    <w:basedOn w:val="1"/>
    <w:qFormat/>
    <w:uiPriority w:val="0"/>
    <w:pPr>
      <w:widowControl/>
      <w:spacing w:line="400" w:lineRule="exact"/>
      <w:ind w:firstLine="200" w:firstLineChars="200"/>
    </w:pPr>
    <w:rPr>
      <w:rFonts w:asci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4818</Words>
  <Characters>5152</Characters>
  <Lines>0</Lines>
  <Paragraphs>0</Paragraphs>
  <TotalTime>1</TotalTime>
  <ScaleCrop>false</ScaleCrop>
  <LinksUpToDate>false</LinksUpToDate>
  <CharactersWithSpaces>5669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2025-04-29T12:23:00Z</dcterms:created>
  <dc:creator>Administrator</dc:creator>
  <cp:lastModifiedBy>新昱</cp:lastModifiedBy>
  <dcterms:modified xsi:type="dcterms:W3CDTF">2025-08-27T02:18:58Z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7F6E10C61822452EAFB756228E69EEE7_13</vt:lpwstr>
  </property>
  <property fmtid="{D5CDD505-2E9C-101B-9397-08002B2CF9AE}" pid="4" name="KSOTemplateDocerSaveRecord">
    <vt:lpwstr>eyJoZGlkIjoiYjNjNTkyNDJjNWFiYWRmMjRlNGYzNzgwOGFjNTE0OGUiLCJ1c2VySWQiOiI1MDU3ODU5ODQifQ==</vt:lpwstr>
  </property>
</Properties>
</file>