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738F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编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制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说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明</w:t>
      </w:r>
    </w:p>
    <w:p w14:paraId="2F636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/>
          <w:b/>
          <w:sz w:val="28"/>
          <w:szCs w:val="28"/>
        </w:rPr>
      </w:pPr>
      <w:bookmarkStart w:id="0" w:name="OLE_LINK3"/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 w14:paraId="4DBE0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1、工程名称:西安市青少年体育学校训练气膜馆</w:t>
      </w:r>
    </w:p>
    <w:p w14:paraId="0B4C7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2、建设单位: </w:t>
      </w:r>
      <w:r>
        <w:rPr>
          <w:rFonts w:hint="eastAsia" w:ascii="仿宋" w:hAnsi="仿宋" w:eastAsia="仿宋"/>
          <w:color w:val="000000"/>
          <w:sz w:val="28"/>
          <w:szCs w:val="28"/>
        </w:rPr>
        <w:t>西安市青少年体育学校</w:t>
      </w:r>
    </w:p>
    <w:p w14:paraId="0D628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3、项目规模: 主要内容为103.8米×</w:t>
      </w:r>
      <w:r>
        <w:rPr>
          <w:rFonts w:hint="eastAsia" w:ascii="仿宋" w:hAnsi="仿宋" w:eastAsia="仿宋"/>
          <w:color w:val="000000"/>
          <w:sz w:val="28"/>
          <w:szCs w:val="28"/>
        </w:rPr>
        <w:t>23米×12米，矢跨比大于1/3，面积约2387.4平方米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</w:p>
    <w:p w14:paraId="0E1A2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二、编制范围</w:t>
      </w:r>
    </w:p>
    <w:p w14:paraId="74808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1、关于训练气膜馆-场地硬化铺装和气膜安装项目图纸及现场实际情况。</w:t>
      </w:r>
    </w:p>
    <w:bookmarkEnd w:id="0"/>
    <w:p w14:paraId="39F49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三、编制依据</w:t>
      </w:r>
    </w:p>
    <w:p w14:paraId="09FCF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1、</w:t>
      </w:r>
      <w:r>
        <w:rPr>
          <w:rFonts w:ascii="仿宋" w:hAnsi="仿宋" w:eastAsia="仿宋"/>
          <w:color w:val="000000"/>
          <w:sz w:val="28"/>
          <w:szCs w:val="28"/>
        </w:rPr>
        <w:t>依据设计</w:t>
      </w:r>
      <w:r>
        <w:rPr>
          <w:rFonts w:hint="eastAsia" w:ascii="仿宋" w:hAnsi="仿宋" w:eastAsia="仿宋"/>
          <w:color w:val="000000"/>
          <w:sz w:val="28"/>
          <w:szCs w:val="28"/>
        </w:rPr>
        <w:t>图纸、编制要求、工程特点及常规的施工组织方案</w:t>
      </w:r>
      <w:r>
        <w:rPr>
          <w:rFonts w:ascii="仿宋" w:hAnsi="仿宋" w:eastAsia="仿宋"/>
          <w:color w:val="000000"/>
          <w:sz w:val="28"/>
          <w:szCs w:val="28"/>
        </w:rPr>
        <w:t>进行编制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</w:p>
    <w:p w14:paraId="46717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2、设计图选用的相关标准图集、施工规范及验收规范。</w:t>
      </w:r>
    </w:p>
    <w:p w14:paraId="06DE4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3、《陕西省建设工程工程量清单计价规则》（2009）</w:t>
      </w:r>
    </w:p>
    <w:p w14:paraId="35D87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4、《陕西省建设工程工程量清单计价费率》（2009）</w:t>
      </w:r>
    </w:p>
    <w:p w14:paraId="1F23A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5、《陕西省建筑装饰工程消耗量定额》（2004）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《陕西省安装工程消耗量定额》（2004）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《陕西省建设工程消耗量定额补充定额》（2004）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；</w:t>
      </w:r>
    </w:p>
    <w:p w14:paraId="1BE44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6、2009年《陕西省建筑装饰、安装工程价目表》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2009年《陕西省建设工程施工机械台班价目表》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。</w:t>
      </w:r>
    </w:p>
    <w:p w14:paraId="1B63B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四、其他说明</w:t>
      </w:r>
    </w:p>
    <w:p w14:paraId="1E037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（1）本工程量清单所提供工程项目特征仅表达了主要工程做法，组价时应依据设计图纸、相关图集，结合招标文件，合同条款，技术规范、图纸、答疑纪要、现场实际情况、设备技术要求等进行组价;</w:t>
      </w:r>
    </w:p>
    <w:p w14:paraId="641AC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）主入口大厅按</w:t>
      </w:r>
      <w:r>
        <w:rPr>
          <w:rFonts w:hint="eastAsia" w:ascii="仿宋" w:hAnsi="仿宋" w:eastAsia="仿宋"/>
          <w:sz w:val="28"/>
          <w:szCs w:val="28"/>
          <w:highlight w:val="none"/>
        </w:rPr>
        <w:t>东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立面按钢化玻璃立面，其余三面按砖混，屋面按轻钢屋面考虑；</w:t>
      </w:r>
    </w:p>
    <w:p w14:paraId="4E370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）卫生间、淋浴间考虑砖混结构；</w:t>
      </w:r>
    </w:p>
    <w:p w14:paraId="77CC8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）装饰装修工程</w:t>
      </w:r>
    </w:p>
    <w:p w14:paraId="50487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1.主入口大厅钢化玻璃立面长1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3.5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米高2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.6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米共3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5.1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平米，轻钢屋面长1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4.5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米*宽4米共5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8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平米，</w:t>
      </w:r>
    </w:p>
    <w:p w14:paraId="60FFC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2.更衣室6门更衣柜、条凳本次计算在内。</w:t>
      </w:r>
    </w:p>
    <w:p w14:paraId="365C4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3.卫生间、淋浴间地面按600*600防滑水磨石地砖、墙面按300*600米白色墙砖、吊顶按600*600铝扣板计算；</w:t>
      </w:r>
    </w:p>
    <w:p w14:paraId="18F75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4.洗漱台、台下柜体、镜面玻璃本次计算在内。</w:t>
      </w:r>
    </w:p>
    <w:p w14:paraId="72C7C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5.门厅入口大门（M2224）玻璃地弹门、更衣室门（M0820）按木门计算；卫生间窗按断桥铝合金窗计算；</w:t>
      </w:r>
    </w:p>
    <w:p w14:paraId="54B79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6.东立面砼路面宽度按9米计算，面层按20mm混凝土路面计算；</w:t>
      </w:r>
    </w:p>
    <w:p w14:paraId="1336A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）安装工程</w:t>
      </w:r>
    </w:p>
    <w:p w14:paraId="70096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1.照明配电箱按600*800*200 距地1.5米安装，动力配电箱按600*1700*400落地安装，仪表箱按600*400*250距地1.5米安装，气膜控制柜按600*1700*400落地安装。</w:t>
      </w:r>
    </w:p>
    <w:p w14:paraId="50234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2.气膜控制系统在设计说明5.3.4、气膜全智能中央管理系统（共1套）：（1）风速、温度、压力、风载、雪载感应与控制；（2）多模式功能自动切换；（3）风机变频式切换控制；（4）运行数据统计及分析；（5）空气质量监测；（6）远程控制系统；（7）故障压力报警系统。</w:t>
      </w:r>
    </w:p>
    <w:p w14:paraId="4AC6D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3.防雷接地系统</w:t>
      </w:r>
      <w:bookmarkStart w:id="1" w:name="OLE_LINK4"/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按常规做法</w:t>
      </w:r>
      <w:bookmarkEnd w:id="1"/>
      <w:r>
        <w:rPr>
          <w:rFonts w:hint="eastAsia" w:ascii="仿宋" w:hAnsi="仿宋" w:eastAsia="仿宋"/>
          <w:color w:val="000000"/>
          <w:sz w:val="28"/>
          <w:szCs w:val="28"/>
          <w:highlight w:val="none"/>
          <w:lang w:val="en-US" w:eastAsia="zh-CN"/>
        </w:rPr>
        <w:t>考虑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。</w:t>
      </w:r>
    </w:p>
    <w:p w14:paraId="08D79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4.通风空调系统采用1台一体式变频直膨空调机组，额定风量，</w:t>
      </w:r>
      <w:bookmarkStart w:id="2" w:name="OLE_LINK1"/>
      <w:r>
        <w:rPr>
          <w:rFonts w:ascii="仿宋" w:hAnsi="仿宋" w:eastAsia="仿宋"/>
          <w:color w:val="000000"/>
          <w:sz w:val="28"/>
          <w:szCs w:val="28"/>
          <w:highlight w:val="none"/>
        </w:rPr>
        <w:t>10000-12000m3/h,</w:t>
      </w:r>
      <w:r>
        <w:rPr>
          <w:rFonts w:hint="eastAsia"/>
          <w:highlight w:val="none"/>
        </w:rPr>
        <w:t xml:space="preserve"> 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制冷量不小于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100kW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，制热量不小于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150kW</w:t>
      </w: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，电辅热不小于</w:t>
      </w:r>
      <w:r>
        <w:rPr>
          <w:rFonts w:ascii="仿宋" w:hAnsi="仿宋" w:eastAsia="仿宋"/>
          <w:color w:val="000000"/>
          <w:sz w:val="28"/>
          <w:szCs w:val="28"/>
          <w:highlight w:val="none"/>
        </w:rPr>
        <w:t>20kW</w:t>
      </w:r>
      <w:bookmarkEnd w:id="2"/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。</w:t>
      </w:r>
    </w:p>
    <w:p w14:paraId="5B448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highlight w:val="none"/>
        </w:rPr>
        <w:t>5.卫生间改造照明为300*600LED吸顶灯共6个。卫生间给水开挖铺设PP-R给水管32mm*35米，排污管道开挖铺设波纹管315mm*20米；卫生间卫生器具淋浴器暂按照DN25冷热水不锈钢淋浴器考虑，蹲便器暂按照脚踩式冲洗阀陶瓷大便器考虑，小便器图纸未体现暂未计入，洗脸盆材质不详暂按照陶瓷冷热水嘴洗脸盆计入。</w:t>
      </w:r>
      <w:bookmarkStart w:id="3" w:name="_GoBack"/>
      <w:bookmarkEnd w:id="3"/>
    </w:p>
    <w:p w14:paraId="47A90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color w:val="000000"/>
          <w:sz w:val="28"/>
          <w:szCs w:val="28"/>
        </w:rPr>
        <w:t>编制软件为广联达</w:t>
      </w:r>
      <w:r>
        <w:rPr>
          <w:rFonts w:ascii="仿宋" w:hAnsi="仿宋" w:eastAsia="仿宋"/>
          <w:color w:val="000000"/>
          <w:sz w:val="28"/>
          <w:szCs w:val="28"/>
        </w:rPr>
        <w:t>GCCP</w:t>
      </w:r>
      <w:r>
        <w:rPr>
          <w:rFonts w:hint="eastAsia" w:ascii="仿宋" w:hAnsi="仿宋" w:eastAsia="仿宋"/>
          <w:color w:val="000000"/>
          <w:sz w:val="28"/>
          <w:szCs w:val="28"/>
        </w:rPr>
        <w:t>6</w:t>
      </w:r>
      <w:r>
        <w:rPr>
          <w:rFonts w:ascii="仿宋" w:hAnsi="仿宋" w:eastAsia="仿宋"/>
          <w:color w:val="000000"/>
          <w:sz w:val="28"/>
          <w:szCs w:val="28"/>
        </w:rPr>
        <w:t>.0</w:t>
      </w:r>
      <w:r>
        <w:rPr>
          <w:rFonts w:hint="eastAsia" w:ascii="仿宋" w:hAnsi="仿宋" w:eastAsia="仿宋"/>
          <w:color w:val="000000"/>
          <w:sz w:val="28"/>
          <w:szCs w:val="28"/>
        </w:rPr>
        <w:t>（6</w:t>
      </w:r>
      <w:r>
        <w:rPr>
          <w:rFonts w:ascii="仿宋" w:hAnsi="仿宋" w:eastAsia="仿宋"/>
          <w:color w:val="000000"/>
          <w:sz w:val="28"/>
          <w:szCs w:val="28"/>
        </w:rPr>
        <w:t>.</w:t>
      </w:r>
      <w:r>
        <w:rPr>
          <w:rFonts w:hint="eastAsia" w:ascii="仿宋" w:hAnsi="仿宋" w:eastAsia="仿宋"/>
          <w:color w:val="000000"/>
          <w:sz w:val="28"/>
          <w:szCs w:val="28"/>
        </w:rPr>
        <w:t>41</w:t>
      </w:r>
      <w:r>
        <w:rPr>
          <w:rFonts w:ascii="仿宋" w:hAnsi="仿宋" w:eastAsia="仿宋"/>
          <w:color w:val="000000"/>
          <w:sz w:val="28"/>
          <w:szCs w:val="28"/>
        </w:rPr>
        <w:t>00.23.</w:t>
      </w:r>
      <w:r>
        <w:rPr>
          <w:rFonts w:hint="eastAsia" w:ascii="仿宋" w:hAnsi="仿宋" w:eastAsia="仿宋"/>
          <w:color w:val="000000"/>
          <w:sz w:val="28"/>
          <w:szCs w:val="28"/>
        </w:rPr>
        <w:t>122）。</w:t>
      </w:r>
    </w:p>
    <w:p w14:paraId="765259E5">
      <w:pPr>
        <w:spacing w:line="360" w:lineRule="auto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  </w:t>
      </w:r>
    </w:p>
    <w:p w14:paraId="0CC99FF7"/>
    <w:p w14:paraId="42E14B32"/>
    <w:sectPr>
      <w:headerReference r:id="rId3" w:type="default"/>
      <w:pgSz w:w="11906" w:h="16838"/>
      <w:pgMar w:top="1276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A98D6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21572E1C"/>
    <w:rsid w:val="00310B1C"/>
    <w:rsid w:val="006F4D78"/>
    <w:rsid w:val="0081069E"/>
    <w:rsid w:val="00A21824"/>
    <w:rsid w:val="00A77517"/>
    <w:rsid w:val="00D868D6"/>
    <w:rsid w:val="00E227A3"/>
    <w:rsid w:val="07DE6940"/>
    <w:rsid w:val="0C084FCE"/>
    <w:rsid w:val="12C6133D"/>
    <w:rsid w:val="21572E1C"/>
    <w:rsid w:val="22B61231"/>
    <w:rsid w:val="47F7753F"/>
    <w:rsid w:val="68774ED3"/>
    <w:rsid w:val="72767006"/>
    <w:rsid w:val="7CFA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1079</Words>
  <Characters>1289</Characters>
  <Lines>11</Lines>
  <Paragraphs>3</Paragraphs>
  <TotalTime>8</TotalTime>
  <ScaleCrop>false</ScaleCrop>
  <LinksUpToDate>false</LinksUpToDate>
  <CharactersWithSpaces>1309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2025-05-30T01:45:00Z</dcterms:created>
  <dc:creator>安静了</dc:creator>
  <cp:lastModifiedBy>朱娟</cp:lastModifiedBy>
  <dcterms:modified xsi:type="dcterms:W3CDTF">2025-09-02T08:02:46Z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DFE9B41E9B3946DBBC31A051B1DEA363_13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