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版本号：XAJG（ZFCG）-2025060820250825001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诉讼服务中心办公场所租赁项目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XAJG（ZFCG）-20250608</w:t>
      </w:r>
      <w:r>
        <w:br/>
      </w:r>
      <w:r>
        <w:br/>
      </w:r>
      <w:r>
        <w:br/>
      </w:r>
    </w:p>
    <w:p>
      <w:pPr>
        <w:pStyle w:val="null3"/>
        <w:jc w:val="center"/>
        <w:outlineLvl w:val="5"/>
      </w:pPr>
      <w:r>
        <w:rPr>
          <w:rFonts w:ascii="仿宋_GB2312" w:hAnsi="仿宋_GB2312" w:cs="仿宋_GB2312" w:eastAsia="仿宋_GB2312"/>
          <w:sz w:val="15"/>
          <w:b/>
        </w:rPr>
        <w:t>西安市长安区人民法院[160]</w:t>
      </w:r>
    </w:p>
    <w:p>
      <w:pPr>
        <w:pStyle w:val="null3"/>
        <w:jc w:val="center"/>
        <w:outlineLvl w:val="5"/>
      </w:pPr>
      <w:r>
        <w:rPr>
          <w:rFonts w:ascii="仿宋_GB2312" w:hAnsi="仿宋_GB2312" w:cs="仿宋_GB2312" w:eastAsia="仿宋_GB2312"/>
          <w:sz w:val="15"/>
          <w:b/>
        </w:rPr>
        <w:t>西安建工建设工程招标有限公司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西安市长安区人民法院[160]</w:t>
      </w:r>
      <w:r>
        <w:rPr>
          <w:rFonts w:ascii="仿宋_GB2312" w:hAnsi="仿宋_GB2312" w:cs="仿宋_GB2312" w:eastAsia="仿宋_GB2312"/>
        </w:rPr>
        <w:t>委托，拟对</w:t>
      </w:r>
      <w:r>
        <w:rPr>
          <w:rFonts w:ascii="仿宋_GB2312" w:hAnsi="仿宋_GB2312" w:cs="仿宋_GB2312" w:eastAsia="仿宋_GB2312"/>
        </w:rPr>
        <w:t>诉讼服务中心办公场所租赁项目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XAJG（ZFCG）-20250608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诉讼服务中心办公场所租赁项目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西安市长安区人民法院诉讼服务中心办公场所租赁项目，房屋坐落于陕西省西安市长安区智慧公馆1-2层,建筑面积共计850平方米，详见采购文件。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提供2024年度的财务审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pPr>
        <w:pStyle w:val="null3"/>
      </w:pPr>
      <w:r>
        <w:rPr>
          <w:rFonts w:ascii="仿宋_GB2312" w:hAnsi="仿宋_GB2312" w:cs="仿宋_GB2312" w:eastAsia="仿宋_GB2312"/>
        </w:rPr>
        <w:t>4、税收缴纳证明：提交响应文件截止时间前一年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pPr>
        <w:pStyle w:val="null3"/>
      </w:pPr>
      <w:r>
        <w:rPr>
          <w:rFonts w:ascii="仿宋_GB2312" w:hAnsi="仿宋_GB2312" w:cs="仿宋_GB2312" w:eastAsia="仿宋_GB2312"/>
        </w:rPr>
        <w:t>8、无重大违法说明：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9、联合体承诺书：本项目不接受联合体投标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西安市长安区人民法院[160]</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西安市长安区西长安街141号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029-85652545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采购包1：887,400.00元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采购包1：887,400.00元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代理服务费收费标准：依据《国家计委关于印发&lt;招标代理服务收费管理暂行办法&gt;的通知》（计价格【2002】1980号）标准收取。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西安市长安区人民法院[160]</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西安市长安区人民法院[160]</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1.服务无法达到合同要求，或在服务中出现采购人无法容忍的缺陷，视为服务不合格，供应商须在采购人规定的期限内完成整改。 2.如供应商在服务过程中出现弄虚作假行为或发生重大安全事故，采购人有权解除服务合同。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西安市长安区人民法院诉讼服务中心办公场所租赁项目，房屋坐落于陕西省西安市长安区智慧公馆1-2层,建筑面积共计850平方米，详见采购文件。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887,400.00</w:t>
      </w:r>
    </w:p>
    <w:p>
      <w:pPr>
        <w:pStyle w:val="null3"/>
      </w:pPr>
      <w:r>
        <w:rPr>
          <w:rFonts w:ascii="仿宋_GB2312" w:hAnsi="仿宋_GB2312" w:cs="仿宋_GB2312" w:eastAsia="仿宋_GB2312"/>
        </w:rPr>
        <w:t>采购包最高限价（元）: 887,400.00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业务用房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887,400.00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一、项目概况</w:t>
            </w:r>
          </w:p>
          <w:p>
            <w:pPr>
              <w:pStyle w:val="null3"/>
            </w:pPr>
            <w:r>
              <w:rPr>
                <w:rFonts w:ascii="仿宋_GB2312" w:hAnsi="仿宋_GB2312" w:cs="仿宋_GB2312" w:eastAsia="仿宋_GB2312"/>
                <w:sz w:val="24"/>
              </w:rPr>
              <w:t>西安市长安区人民法院诉讼服务中心办公场所租赁项目，详见采购文件。</w:t>
            </w:r>
          </w:p>
          <w:p>
            <w:pPr>
              <w:pStyle w:val="null3"/>
            </w:pPr>
            <w:r>
              <w:rPr>
                <w:rFonts w:ascii="仿宋_GB2312" w:hAnsi="仿宋_GB2312" w:cs="仿宋_GB2312" w:eastAsia="仿宋_GB2312"/>
                <w:sz w:val="21"/>
                <w:b/>
                <w:color w:val="000000"/>
              </w:rPr>
              <w:t>二、服务内容</w:t>
            </w:r>
          </w:p>
          <w:p>
            <w:pPr>
              <w:pStyle w:val="null3"/>
              <w:ind w:firstLine="480"/>
              <w:jc w:val="both"/>
            </w:pPr>
            <w:r>
              <w:rPr>
                <w:rFonts w:ascii="仿宋_GB2312" w:hAnsi="仿宋_GB2312" w:cs="仿宋_GB2312" w:eastAsia="仿宋_GB2312"/>
                <w:sz w:val="24"/>
              </w:rPr>
              <w:t>1.房屋坐落于陕西省西安市长安区</w:t>
            </w:r>
            <w:r>
              <w:rPr>
                <w:rFonts w:ascii="仿宋_GB2312" w:hAnsi="仿宋_GB2312" w:cs="仿宋_GB2312" w:eastAsia="仿宋_GB2312"/>
                <w:sz w:val="24"/>
              </w:rPr>
              <w:t>智慧公馆</w:t>
            </w:r>
            <w:r>
              <w:rPr>
                <w:rFonts w:ascii="仿宋_GB2312" w:hAnsi="仿宋_GB2312" w:cs="仿宋_GB2312" w:eastAsia="仿宋_GB2312"/>
                <w:sz w:val="24"/>
              </w:rPr>
              <w:t>1-2层</w:t>
            </w:r>
            <w:r>
              <w:rPr>
                <w:rFonts w:ascii="仿宋_GB2312" w:hAnsi="仿宋_GB2312" w:cs="仿宋_GB2312" w:eastAsia="仿宋_GB2312"/>
                <w:sz w:val="24"/>
              </w:rPr>
              <w:t>,建筑面积共计850平方米</w:t>
            </w:r>
          </w:p>
          <w:p>
            <w:pPr>
              <w:pStyle w:val="null3"/>
              <w:ind w:firstLine="480"/>
              <w:jc w:val="both"/>
            </w:pPr>
            <w:r>
              <w:rPr>
                <w:rFonts w:ascii="仿宋_GB2312" w:hAnsi="仿宋_GB2312" w:cs="仿宋_GB2312" w:eastAsia="仿宋_GB2312"/>
                <w:sz w:val="24"/>
              </w:rPr>
              <w:t>2.水、电配套设施完善，能够满足机关日常办公需求。</w:t>
            </w:r>
          </w:p>
          <w:p>
            <w:pPr>
              <w:pStyle w:val="null3"/>
            </w:pPr>
            <w:r>
              <w:rPr>
                <w:rFonts w:ascii="仿宋_GB2312" w:hAnsi="仿宋_GB2312" w:cs="仿宋_GB2312" w:eastAsia="仿宋_GB2312"/>
                <w:sz w:val="21"/>
                <w:b/>
                <w:color w:val="000000"/>
              </w:rPr>
              <w:t>三、商务要求</w:t>
            </w:r>
          </w:p>
          <w:p>
            <w:pPr>
              <w:pStyle w:val="null3"/>
              <w:ind w:firstLine="480"/>
              <w:jc w:val="both"/>
            </w:pPr>
            <w:r>
              <w:rPr>
                <w:rFonts w:ascii="仿宋_GB2312" w:hAnsi="仿宋_GB2312" w:cs="仿宋_GB2312" w:eastAsia="仿宋_GB2312"/>
                <w:sz w:val="24"/>
              </w:rPr>
              <w:t>1.服务期限</w:t>
            </w:r>
          </w:p>
          <w:p>
            <w:pPr>
              <w:pStyle w:val="null3"/>
              <w:ind w:firstLine="480"/>
              <w:jc w:val="both"/>
            </w:pPr>
            <w:r>
              <w:rPr>
                <w:rFonts w:ascii="仿宋_GB2312" w:hAnsi="仿宋_GB2312" w:cs="仿宋_GB2312" w:eastAsia="仿宋_GB2312"/>
                <w:sz w:val="24"/>
              </w:rPr>
              <w:t>该房屋租赁期限</w:t>
            </w:r>
            <w:r>
              <w:rPr>
                <w:rFonts w:ascii="仿宋_GB2312" w:hAnsi="仿宋_GB2312" w:cs="仿宋_GB2312" w:eastAsia="仿宋_GB2312"/>
                <w:sz w:val="24"/>
              </w:rPr>
              <w:t>2025年7月1日起至2026年6月30日止。</w:t>
            </w:r>
          </w:p>
          <w:p>
            <w:pPr>
              <w:pStyle w:val="null3"/>
              <w:ind w:firstLine="480"/>
              <w:jc w:val="both"/>
            </w:pPr>
            <w:r>
              <w:rPr>
                <w:rFonts w:ascii="仿宋_GB2312" w:hAnsi="仿宋_GB2312" w:cs="仿宋_GB2312" w:eastAsia="仿宋_GB2312"/>
                <w:sz w:val="24"/>
              </w:rPr>
              <w:t>2.款项结算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1）房屋租金：人民币</w:t>
            </w:r>
            <w:r>
              <w:rPr>
                <w:rFonts w:ascii="仿宋_GB2312" w:hAnsi="仿宋_GB2312" w:cs="仿宋_GB2312" w:eastAsia="仿宋_GB2312"/>
                <w:sz w:val="24"/>
              </w:rPr>
              <w:t>8874</w:t>
            </w:r>
            <w:r>
              <w:rPr>
                <w:rFonts w:ascii="仿宋_GB2312" w:hAnsi="仿宋_GB2312" w:cs="仿宋_GB2312" w:eastAsia="仿宋_GB2312"/>
                <w:sz w:val="24"/>
              </w:rPr>
              <w:t>00.00元。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2）费用支付：本合同生效之日起20日内，支付年度租金</w:t>
            </w:r>
            <w:r>
              <w:rPr>
                <w:rFonts w:ascii="仿宋_GB2312" w:hAnsi="仿宋_GB2312" w:cs="仿宋_GB2312" w:eastAsia="仿宋_GB2312"/>
                <w:sz w:val="24"/>
              </w:rPr>
              <w:t>8874</w:t>
            </w:r>
            <w:r>
              <w:rPr>
                <w:rFonts w:ascii="仿宋_GB2312" w:hAnsi="仿宋_GB2312" w:cs="仿宋_GB2312" w:eastAsia="仿宋_GB2312"/>
                <w:sz w:val="24"/>
              </w:rPr>
              <w:t>00</w:t>
            </w:r>
            <w:r>
              <w:rPr>
                <w:rFonts w:ascii="仿宋_GB2312" w:hAnsi="仿宋_GB2312" w:cs="仿宋_GB2312" w:eastAsia="仿宋_GB2312"/>
                <w:sz w:val="24"/>
              </w:rPr>
              <w:t>.00</w:t>
            </w:r>
            <w:r>
              <w:rPr>
                <w:rFonts w:ascii="仿宋_GB2312" w:hAnsi="仿宋_GB2312" w:cs="仿宋_GB2312" w:eastAsia="仿宋_GB2312"/>
                <w:sz w:val="24"/>
              </w:rPr>
              <w:t>元（一次性支付），银行转账对公汇款，付款之前供应商先向采购人提供正式发票。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4）结算方式：银行转账。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5）结算单位：西安市长安区人民法院</w:t>
            </w:r>
          </w:p>
          <w:p>
            <w:pPr>
              <w:pStyle w:val="null3"/>
              <w:ind w:firstLine="480"/>
              <w:jc w:val="both"/>
            </w:pPr>
            <w:r>
              <w:rPr>
                <w:rFonts w:ascii="仿宋_GB2312" w:hAnsi="仿宋_GB2312" w:cs="仿宋_GB2312" w:eastAsia="仿宋_GB2312"/>
                <w:sz w:val="24"/>
              </w:rPr>
              <w:t>四、其他</w:t>
            </w:r>
          </w:p>
          <w:p>
            <w:pPr>
              <w:pStyle w:val="null3"/>
              <w:ind w:firstLine="480"/>
              <w:jc w:val="both"/>
            </w:pPr>
            <w:r>
              <w:rPr>
                <w:rFonts w:ascii="仿宋_GB2312" w:hAnsi="仿宋_GB2312" w:cs="仿宋_GB2312" w:eastAsia="仿宋_GB2312"/>
                <w:sz w:val="24"/>
              </w:rPr>
              <w:t>1.本项目需要落实的政府采购政策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3）支持本国产业政策：《财政部关于印发&lt;进口产品管理办法&gt;的通知》（财库〔2007〕119号）；《财政部办公厅关于政府采购进口产品管理有关问题的通知》（财办库〔2008〕248号）。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4）支持创新等政府采购政策。</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根据租赁的西安市长安区智慧公馆1-2层,供应商针对本项目配备相关服务人员，确保按时、按质完成采购人的需求。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水、电配套设施完善，能够满足机关日常办公需求。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2025年7月1日起至2026年6月30日止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西安市长安区智慧公馆1-2层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以采购人验收为准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详见租赁合同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交供应商在领取成交通知书时提供纸质版响应文件2套，应通过专用制作软件直接打印，确保与电子响应文件保持一致，不允许修改和补充。提交地点：西安市碑林区小东门外炮房街48号盈栋大厦6楼收发室。 二、供应商的报价是供应商响应本项目要求的全部工作内容的价格体现，包括供应商完成本项目所需的直接费、间接费、利润、税金及其它相关的一切费用。包括但不限于：邮寄费、运输费、人工费、设备费、管理费、验收费、采购代理服务费、利润和税金等全部费用。在提供服务的过程中的任何遗漏，均由成交供应商免费提供，采购人将不再支付任何费用。三、协商有效期：1.出现特殊情况需要延长协商有效期的，采购代理机构或采购人可于协商有效期满之前，以书面形式通知所有供应商延长协商有效期，供应商应予书面答复。供应商拒绝延长的，其响应文件失效。2.在响应有效期内，供应商撤销响应文件的，应承担采购文件和法律规定的责任。3.成交供应商的响应有效期自动延长至合同终止为止。四、分公司独立参与协商时，不能使用总公司的资质或业绩；总公司单独参与协商时，除总公司所投产品为分公司生产的产品外，不能使用分公司的资质或业绩。总公司授权分公司或分支机构参与协商，可以使用总公司的资质或业绩。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六、签名是指手写签名或者加盖名章(含电子)，盖章是指加盖单位印章。七、关于采购文件一次报价规定如下：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八、本项目需要落实的政府采购政策：（1）中小企业发展政策：（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3）支持本国产业政策：《财政部关于印发&lt;进口产品管理办法&gt;的通知》（财库〔2007〕119号）；《财政部办公厅关于政府采购进口产品管理有关问题的通知》（财办库〔2008〕248号）。（4）支持创新等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应提交的相关资格证明材料.docx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应提交的相关资格证明材料.docx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应提交的相关资格证明材料.docx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应提交的相关资格证明材料.docx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tc>
        <w:tc>
          <w:tcPr>
            <w:tcW w:type="dxa" w:w="1661"/>
          </w:tcPr>
          <w:p>
            <w:pPr>
              <w:pStyle w:val="null3"/>
            </w:pPr>
            <w:r>
              <w:rPr>
                <w:rFonts w:ascii="仿宋_GB2312" w:hAnsi="仿宋_GB2312" w:cs="仿宋_GB2312" w:eastAsia="仿宋_GB2312"/>
              </w:rPr>
              <w:t>应提交的相关资格证明材料.docx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无重大违法说明：参加本次政府采购活动前3年内在经营活动中没有重大违法记录，以及未被列入失信被执行人、重大税收违法案件当事人名单、政府采购严重违法失信行为记录名单的书面声明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响应函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响应函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服务内容及服务邀请应答表 商务应答表 服务方案 响应函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应提交的相关资格证明材料.docx 供应商应提交的相关资格证明材料 报价表 具有履行本合同所必需的设备和专业技术能力的书面声明.docx 供应商无重大违法记录书面声明.docx 响应文件封面 法定代表人身份证明法定代表人授权书.docx 残疾人福利性单位声明函 协商响应声明书.docx 标的清单 响应函 本项目不接受联合体.docx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商务、技术实质性响应情况</w:t>
            </w:r>
          </w:p>
        </w:tc>
        <w:tc>
          <w:tcPr>
            <w:tcW w:type="dxa" w:w="3322"/>
          </w:tcPr>
          <w:p>
            <w:pPr>
              <w:pStyle w:val="null3"/>
            </w:pPr>
            <w:r>
              <w:rPr>
                <w:rFonts w:ascii="仿宋_GB2312" w:hAnsi="仿宋_GB2312" w:cs="仿宋_GB2312" w:eastAsia="仿宋_GB2312"/>
              </w:rPr>
              <w:t>对单一来源采购文件商务要求作出明确且实质性响应；对单一来源采购文件技术要求作出明确且实质性响应。响应文件内容齐全、无遗漏。</w:t>
            </w:r>
          </w:p>
        </w:tc>
        <w:tc>
          <w:tcPr>
            <w:tcW w:type="dxa" w:w="1661"/>
          </w:tcPr>
          <w:p>
            <w:pPr>
              <w:pStyle w:val="null3"/>
            </w:pPr>
            <w:r>
              <w:rPr>
                <w:rFonts w:ascii="仿宋_GB2312" w:hAnsi="仿宋_GB2312" w:cs="仿宋_GB2312" w:eastAsia="仿宋_GB2312"/>
              </w:rPr>
              <w:t>服务内容及服务邀请应答表 服务方案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商务应答表 标的清单 报价表 响应函 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西安市长安区智慧公馆1-2层</w:t>
            </w:r>
          </w:p>
        </w:tc>
        <w:tc>
          <w:tcPr>
            <w:tcW w:type="dxa" w:w="1661"/>
          </w:tcPr>
          <w:p>
            <w:pPr>
              <w:pStyle w:val="null3"/>
            </w:pPr>
            <w:r>
              <w:rPr>
                <w:rFonts w:ascii="仿宋_GB2312" w:hAnsi="仿宋_GB2312" w:cs="仿宋_GB2312" w:eastAsia="仿宋_GB2312"/>
              </w:rPr>
              <w:t>服务内容及服务邀请应答表 商务应答表 商务技术部分.docx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详见附件：协商响应声明书.docx</w:t>
      </w:r>
    </w:p>
    <w:p>
      <w:pPr>
        <w:pStyle w:val="null3"/>
        <w:ind w:firstLine="960"/>
      </w:pPr>
      <w:r>
        <w:rPr>
          <w:rFonts w:ascii="仿宋_GB2312" w:hAnsi="仿宋_GB2312" w:cs="仿宋_GB2312" w:eastAsia="仿宋_GB2312"/>
        </w:rPr>
        <w:t>详见附件：应提交的相关资格证明材料.docx</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详见附件：本项目不接受联合体.docx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