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180C7">
      <w:pPr>
        <w:spacing w:line="360" w:lineRule="auto"/>
        <w:ind w:firstLine="0" w:firstLineChars="0"/>
        <w:jc w:val="center"/>
        <w:rPr>
          <w:rFonts w:hint="eastAsia" w:ascii="楷体" w:hAnsi="楷体" w:eastAsia="宋体" w:cs="楷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宋体" w:cs="楷体"/>
          <w:b/>
          <w:bCs/>
          <w:kern w:val="2"/>
          <w:sz w:val="24"/>
          <w:szCs w:val="24"/>
          <w:highlight w:val="none"/>
          <w:lang w:val="en-US" w:eastAsia="zh-CN" w:bidi="ar-SA"/>
        </w:rPr>
        <w:t>（本格式合同条款供双方签订合同参考，采购人可根据项目的实际情况增减条款和内容）</w:t>
      </w:r>
    </w:p>
    <w:p w14:paraId="7DEBA44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2"/>
          <w:position w:val="0"/>
          <w:sz w:val="48"/>
          <w:szCs w:val="48"/>
          <w:u w:val="none"/>
          <w:shd w:val="clear" w:color="auto" w:fill="auto"/>
          <w:lang w:val="en-US" w:eastAsia="zh-CN" w:bidi="en-US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2"/>
          <w:position w:val="0"/>
          <w:sz w:val="48"/>
          <w:szCs w:val="48"/>
          <w:u w:val="none"/>
          <w:shd w:val="clear" w:color="auto" w:fill="auto"/>
          <w:lang w:val="en-US" w:eastAsia="zh-CN" w:bidi="en-US"/>
        </w:rPr>
        <w:br w:type="page"/>
      </w:r>
    </w:p>
    <w:p w14:paraId="2BA784A7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eastAsia="zh-CN" w:bidi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eastAsia="zh-CN" w:bidi="en-US"/>
        </w:rPr>
        <w:t xml:space="preserve">政府采购项目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eastAsia="zh-CN" w:bidi="en-US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eastAsia="zh-CN" w:bidi="en-US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en-US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eastAsia="zh-CN" w:bidi="en-US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bdr w:val="single" w:color="auto" w:sz="4" w:space="0"/>
          <w:lang w:eastAsia="zh-CN" w:bidi="en-US"/>
        </w:rPr>
        <w:t>竞争性磋商</w:t>
      </w:r>
    </w:p>
    <w:p w14:paraId="0298B3AD">
      <w:pPr>
        <w:keepNext/>
        <w:keepLines/>
        <w:spacing w:after="120" w:line="360" w:lineRule="auto"/>
        <w:ind w:left="620" w:firstLine="1160" w:firstLineChars="200"/>
        <w:jc w:val="center"/>
        <w:outlineLvl w:val="0"/>
        <w:rPr>
          <w:rFonts w:hint="eastAsia" w:ascii="宋体" w:hAnsi="宋体" w:eastAsia="宋体" w:cs="宋体"/>
          <w:kern w:val="2"/>
          <w:sz w:val="58"/>
          <w:szCs w:val="58"/>
          <w:highlight w:val="none"/>
          <w:lang w:eastAsia="zh-CN" w:bidi="en-US"/>
        </w:rPr>
      </w:pPr>
    </w:p>
    <w:p w14:paraId="6539CED5">
      <w:pPr>
        <w:spacing w:line="360" w:lineRule="auto"/>
        <w:jc w:val="center"/>
        <w:outlineLvl w:val="2"/>
        <w:rPr>
          <w:rFonts w:hint="default" w:ascii="Calibri" w:hAnsi="Calibri" w:eastAsia="宋体" w:cs="Times New Roman"/>
          <w:kern w:val="2"/>
          <w:sz w:val="21"/>
          <w:szCs w:val="20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highlight w:val="none"/>
          <w:lang w:val="en-US" w:eastAsia="zh-CN" w:bidi="zh-TW"/>
        </w:rPr>
        <w:t>西安市“十五五”林业发展规划编制项目</w:t>
      </w:r>
    </w:p>
    <w:p w14:paraId="47F89124">
      <w:pPr>
        <w:keepNext/>
        <w:keepLines/>
        <w:spacing w:after="120" w:line="360" w:lineRule="auto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kern w:val="2"/>
          <w:sz w:val="44"/>
          <w:szCs w:val="44"/>
          <w:highlight w:val="none"/>
          <w:lang w:val="zh-TW" w:eastAsia="zh-TW" w:bidi="zh-TW"/>
        </w:rPr>
      </w:pPr>
    </w:p>
    <w:p w14:paraId="76908684">
      <w:pPr>
        <w:keepNext/>
        <w:keepLines/>
        <w:spacing w:after="120" w:line="360" w:lineRule="auto"/>
        <w:ind w:firstLine="0" w:firstLineChars="0"/>
        <w:jc w:val="center"/>
        <w:outlineLvl w:val="0"/>
        <w:rPr>
          <w:rFonts w:ascii="宋体" w:hAnsi="宋体" w:eastAsia="宋体" w:cs="宋体"/>
          <w:b/>
          <w:bCs/>
          <w:color w:val="000000"/>
          <w:spacing w:val="0"/>
          <w:w w:val="100"/>
          <w:kern w:val="2"/>
          <w:position w:val="0"/>
          <w:sz w:val="72"/>
          <w:szCs w:val="72"/>
          <w:u w:val="none"/>
          <w:shd w:val="clear" w:color="auto" w:fill="auto"/>
          <w:lang w:val="zh-TW" w:eastAsia="zh-TW" w:bidi="zh-TW"/>
        </w:rPr>
      </w:pPr>
      <w:bookmarkStart w:id="0" w:name="_Toc14926"/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eastAsia="zh-CN" w:bidi="zh-TW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eastAsia="zh-CN" w:bidi="zh-TW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eastAsia="zh-CN" w:bidi="zh-TW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val="zh-TW" w:eastAsia="zh-TW" w:bidi="zh-TW"/>
        </w:rPr>
        <w:t>同</w:t>
      </w:r>
      <w:bookmarkEnd w:id="0"/>
    </w:p>
    <w:p w14:paraId="2847F120">
      <w:pPr>
        <w:keepNext w:val="0"/>
        <w:keepLines w:val="0"/>
        <w:widowControl w:val="0"/>
        <w:shd w:val="clear" w:color="auto" w:fill="auto"/>
        <w:bidi w:val="0"/>
        <w:spacing w:before="0" w:after="120" w:line="360" w:lineRule="auto"/>
        <w:ind w:left="0" w:right="0" w:firstLine="0"/>
        <w:jc w:val="center"/>
        <w:rPr>
          <w:rFonts w:ascii="Times New Roman" w:hAnsi="Times New Roman" w:eastAsia="Times New Roman" w:cs="Times New Roman"/>
          <w:color w:val="000000"/>
          <w:spacing w:val="0"/>
          <w:w w:val="100"/>
          <w:kern w:val="2"/>
          <w:position w:val="0"/>
          <w:sz w:val="28"/>
          <w:szCs w:val="28"/>
          <w:highlight w:val="none"/>
          <w:u w:val="none"/>
          <w:shd w:val="clear" w:color="auto" w:fill="auto"/>
          <w:lang w:val="en-US" w:eastAsia="en-US" w:bidi="en-US"/>
        </w:rPr>
      </w:pPr>
      <w:r>
        <w:rPr>
          <w:rFonts w:ascii="宋体" w:hAnsi="宋体" w:eastAsia="宋体" w:cs="宋体"/>
          <w:color w:val="000000"/>
          <w:spacing w:val="0"/>
          <w:w w:val="100"/>
          <w:kern w:val="2"/>
          <w:position w:val="0"/>
          <w:sz w:val="30"/>
          <w:szCs w:val="30"/>
          <w:highlight w:val="none"/>
          <w:u w:val="none"/>
          <w:shd w:val="clear" w:color="auto" w:fill="auto"/>
          <w:lang w:val="zh-TW" w:eastAsia="zh-TW" w:bidi="zh-TW"/>
        </w:rPr>
        <w:t>（编号：</w:t>
      </w:r>
      <w:r>
        <w:rPr>
          <w:rFonts w:hint="eastAsia" w:ascii="宋体" w:hAnsi="宋体" w:eastAsia="宋体" w:cs="宋体"/>
          <w:color w:val="000000"/>
          <w:spacing w:val="0"/>
          <w:w w:val="100"/>
          <w:kern w:val="2"/>
          <w:position w:val="0"/>
          <w:sz w:val="30"/>
          <w:szCs w:val="30"/>
          <w:highlight w:val="none"/>
          <w:u w:val="none"/>
          <w:shd w:val="clear" w:color="auto" w:fill="auto"/>
          <w:lang w:val="en-US" w:eastAsia="zh-CN" w:bidi="zh-TW"/>
        </w:rPr>
        <w:t>HYTF-202508064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2"/>
          <w:position w:val="0"/>
          <w:sz w:val="28"/>
          <w:szCs w:val="28"/>
          <w:highlight w:val="none"/>
          <w:u w:val="none"/>
          <w:shd w:val="clear" w:color="auto" w:fill="auto"/>
          <w:lang w:val="en-US" w:eastAsia="en-US" w:bidi="en-US"/>
        </w:rPr>
        <w:t>）</w:t>
      </w:r>
    </w:p>
    <w:p w14:paraId="2DB800B1">
      <w:pPr>
        <w:keepNext w:val="0"/>
        <w:keepLines w:val="0"/>
        <w:widowControl w:val="0"/>
        <w:shd w:val="clear" w:color="auto" w:fill="auto"/>
        <w:bidi w:val="0"/>
        <w:spacing w:before="0" w:after="460" w:line="360" w:lineRule="auto"/>
        <w:ind w:left="1360" w:right="0" w:firstLine="20"/>
        <w:jc w:val="left"/>
        <w:rPr>
          <w:rFonts w:ascii="宋体" w:hAnsi="宋体" w:eastAsia="宋体" w:cs="宋体"/>
          <w:color w:val="000000"/>
          <w:spacing w:val="0"/>
          <w:w w:val="100"/>
          <w:kern w:val="2"/>
          <w:position w:val="0"/>
          <w:sz w:val="30"/>
          <w:szCs w:val="30"/>
          <w:highlight w:val="none"/>
          <w:u w:val="none"/>
          <w:shd w:val="clear" w:color="auto" w:fill="auto"/>
          <w:lang w:val="zh-TW" w:eastAsia="zh-TW" w:bidi="zh-TW"/>
        </w:rPr>
      </w:pPr>
    </w:p>
    <w:p w14:paraId="607A1367">
      <w:pPr>
        <w:keepNext w:val="0"/>
        <w:keepLines w:val="0"/>
        <w:widowControl w:val="0"/>
        <w:shd w:val="clear" w:color="auto" w:fill="auto"/>
        <w:bidi w:val="0"/>
        <w:spacing w:before="0" w:after="460" w:line="360" w:lineRule="auto"/>
        <w:ind w:left="1360" w:right="0" w:firstLine="20"/>
        <w:jc w:val="left"/>
        <w:rPr>
          <w:rFonts w:ascii="宋体" w:hAnsi="宋体" w:eastAsia="宋体" w:cs="宋体"/>
          <w:color w:val="000000"/>
          <w:spacing w:val="0"/>
          <w:w w:val="100"/>
          <w:kern w:val="2"/>
          <w:position w:val="0"/>
          <w:sz w:val="30"/>
          <w:szCs w:val="30"/>
          <w:highlight w:val="none"/>
          <w:u w:val="none"/>
          <w:shd w:val="clear" w:color="auto" w:fill="auto"/>
          <w:lang w:val="zh-TW" w:eastAsia="zh-TW" w:bidi="zh-TW"/>
        </w:rPr>
      </w:pPr>
    </w:p>
    <w:p w14:paraId="3C0AE488">
      <w:pPr>
        <w:keepNext w:val="0"/>
        <w:keepLines w:val="0"/>
        <w:widowControl w:val="0"/>
        <w:shd w:val="clear" w:color="auto" w:fill="auto"/>
        <w:bidi w:val="0"/>
        <w:spacing w:before="0" w:after="460" w:line="360" w:lineRule="auto"/>
        <w:ind w:left="1360" w:right="0" w:firstLine="20"/>
        <w:jc w:val="left"/>
        <w:rPr>
          <w:rFonts w:ascii="宋体" w:hAnsi="宋体" w:eastAsia="宋体" w:cs="宋体"/>
          <w:color w:val="000000"/>
          <w:spacing w:val="0"/>
          <w:w w:val="100"/>
          <w:kern w:val="2"/>
          <w:position w:val="0"/>
          <w:sz w:val="30"/>
          <w:szCs w:val="30"/>
          <w:highlight w:val="none"/>
          <w:u w:val="none"/>
          <w:shd w:val="clear" w:color="auto" w:fill="auto"/>
          <w:lang w:val="zh-TW" w:eastAsia="zh-TW" w:bidi="zh-TW"/>
        </w:rPr>
      </w:pPr>
    </w:p>
    <w:p w14:paraId="68092966">
      <w:pPr>
        <w:spacing w:after="480" w:line="360" w:lineRule="auto"/>
        <w:ind w:left="200" w:firstLine="621" w:firstLineChars="207"/>
        <w:jc w:val="left"/>
        <w:rPr>
          <w:rFonts w:hint="eastAsia" w:ascii="宋体" w:hAnsi="宋体" w:eastAsia="宋体" w:cs="宋体"/>
          <w:kern w:val="2"/>
          <w:sz w:val="30"/>
          <w:szCs w:val="30"/>
          <w:highlight w:val="none"/>
          <w:lang w:eastAsia="zh-CN" w:bidi="zh-TW"/>
        </w:rPr>
      </w:pPr>
      <w:bookmarkStart w:id="1" w:name="bookmark4"/>
      <w:bookmarkStart w:id="2" w:name="bookmark3"/>
      <w:bookmarkStart w:id="3" w:name="bookmark5"/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甲方：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en-US" w:eastAsia="zh-CN" w:bidi="zh-TW"/>
        </w:rPr>
        <w:t>西安市秦岭生态环境保护管理局</w:t>
      </w:r>
    </w:p>
    <w:p w14:paraId="2F04C175">
      <w:pPr>
        <w:spacing w:after="480" w:line="360" w:lineRule="auto"/>
        <w:ind w:left="200" w:firstLine="621" w:firstLineChars="207"/>
        <w:jc w:val="left"/>
        <w:rPr>
          <w:rFonts w:hint="eastAsia" w:ascii="宋体" w:hAnsi="宋体" w:eastAsia="宋体" w:cs="宋体"/>
          <w:kern w:val="2"/>
          <w:sz w:val="30"/>
          <w:szCs w:val="30"/>
          <w:highlight w:val="none"/>
          <w:u w:val="singl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乙方: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eastAsia="zh-CN" w:bidi="zh-TW"/>
        </w:rPr>
        <w:t xml:space="preserve"> </w:t>
      </w:r>
    </w:p>
    <w:p w14:paraId="26EEBC24">
      <w:pPr>
        <w:spacing w:line="360" w:lineRule="auto"/>
        <w:ind w:left="1795" w:leftChars="748" w:firstLine="1776" w:firstLineChars="592"/>
        <w:jc w:val="left"/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eastAsia="zh-CN" w:bidi="en-US"/>
        </w:rPr>
        <w:t>202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en-US" w:eastAsia="zh-CN" w:bidi="en-US"/>
        </w:rPr>
        <w:t>5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年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u w:val="single"/>
          <w:lang w:eastAsia="zh-CN" w:bidi="zh-TW"/>
        </w:rPr>
        <w:t xml:space="preserve">   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 xml:space="preserve">月 </w:t>
      </w:r>
    </w:p>
    <w:p w14:paraId="354595B8">
      <w:pPr>
        <w:spacing w:line="360" w:lineRule="auto"/>
        <w:ind w:left="1795" w:leftChars="748" w:firstLine="1776" w:firstLineChars="592"/>
        <w:jc w:val="left"/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中国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eastAsia="zh-CN" w:bidi="zh-TW"/>
        </w:rPr>
        <w:t xml:space="preserve">  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西安</w:t>
      </w:r>
    </w:p>
    <w:p w14:paraId="176B1600">
      <w:pPr>
        <w:keepNext w:val="0"/>
        <w:keepLines w:val="0"/>
        <w:shd w:val="clear" w:color="auto" w:fill="auto"/>
        <w:bidi w:val="0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zCs w:val="24"/>
          <w:highlight w:val="none"/>
          <w:shd w:val="clear" w:color="auto" w:fill="auto"/>
          <w:lang w:eastAsia="en-US" w:bidi="en-US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zCs w:val="24"/>
          <w:highlight w:val="none"/>
          <w:shd w:val="clear" w:color="auto" w:fill="auto"/>
          <w:lang w:eastAsia="en-US" w:bidi="en-US"/>
        </w:rPr>
        <w:br w:type="page"/>
      </w:r>
    </w:p>
    <w:bookmarkEnd w:id="1"/>
    <w:bookmarkEnd w:id="2"/>
    <w:bookmarkEnd w:id="3"/>
    <w:p w14:paraId="0DAB36DC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甲方（采购人名称全称）：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CN" w:bidi="zh-TW"/>
        </w:rPr>
        <w:t>西安市秦岭生态环境保护管理局</w:t>
      </w:r>
    </w:p>
    <w:p w14:paraId="0562209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乙方（供应商名称全称）：</w:t>
      </w:r>
    </w:p>
    <w:p w14:paraId="796BB50E">
      <w:pPr>
        <w:spacing w:line="360" w:lineRule="auto"/>
        <w:jc w:val="both"/>
        <w:outlineLvl w:val="2"/>
        <w:rPr>
          <w:rFonts w:hint="eastAsia" w:ascii="宋体" w:hAnsi="宋体" w:eastAsia="宋体" w:cs="宋体"/>
          <w:kern w:val="2"/>
          <w:sz w:val="24"/>
          <w:szCs w:val="20"/>
          <w:lang w:val="zh-TW" w:eastAsia="zh-Hans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Hans" w:bidi="zh-TW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CN" w:bidi="zh-TW"/>
        </w:rPr>
        <w:t>西安市“十五五”林业发展规划编制项目（采购项目编号：HYTF-202508064），在</w:t>
      </w:r>
      <w:r>
        <w:rPr>
          <w:rFonts w:hint="eastAsia" w:ascii="宋体" w:hAnsi="宋体" w:eastAsia="宋体" w:cs="宋体"/>
          <w:kern w:val="2"/>
          <w:sz w:val="24"/>
          <w:szCs w:val="20"/>
          <w:lang w:val="en-US" w:eastAsia="zh-CN" w:bidi="zh-TW"/>
        </w:rPr>
        <w:t>西安市财政局的监督管理下，按照政府采购程序组织竞争性磋商，确定乙方为成交供应商。依据《中华人民共和国政府采购法》、《中华人民共和国民法典》以及竞争性磋商文件、成交通知书，经甲、乙双方协商，达成如下合同条款。</w:t>
      </w:r>
    </w:p>
    <w:p w14:paraId="6ED34292">
      <w:pPr>
        <w:spacing w:after="10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lang w:val="zh-TW" w:eastAsia="zh-CN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val="zh-TW" w:eastAsia="zh-TW" w:bidi="zh-TW"/>
        </w:rPr>
        <w:t>一、合同标的物内容及数量（以响应文件正本和澄清表〈函〉为准）</w:t>
      </w:r>
    </w:p>
    <w:tbl>
      <w:tblPr>
        <w:tblStyle w:val="3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8"/>
        <w:gridCol w:w="1315"/>
        <w:gridCol w:w="1315"/>
        <w:gridCol w:w="1315"/>
        <w:gridCol w:w="1315"/>
        <w:gridCol w:w="950"/>
        <w:gridCol w:w="1094"/>
        <w:gridCol w:w="1094"/>
      </w:tblGrid>
      <w:tr w14:paraId="71AB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8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5D4C3E7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序号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5015CE3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服务名称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5B5B12D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服务内容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4F30A8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计量单位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2797F4B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服务时间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533B09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数量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05D4945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单价</w:t>
            </w:r>
          </w:p>
          <w:p w14:paraId="00FFC80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（元）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41007C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zh-TW"/>
              </w:rPr>
              <w:t>总价</w:t>
            </w:r>
          </w:p>
          <w:p w14:paraId="436BECB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zh-TW"/>
              </w:rPr>
              <w:t>（元）</w:t>
            </w:r>
          </w:p>
        </w:tc>
      </w:tr>
      <w:tr w14:paraId="093EB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59861B5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1</w:t>
            </w:r>
          </w:p>
        </w:tc>
        <w:tc>
          <w:tcPr>
            <w:tcW w:w="1315" w:type="dxa"/>
            <w:shd w:val="clear" w:color="auto" w:fill="auto"/>
          </w:tcPr>
          <w:p w14:paraId="24C3C29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EA61CF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49363D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61BEEB4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13DA29C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0B80FEE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25E5A9E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7E30C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501E55A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2</w:t>
            </w:r>
          </w:p>
        </w:tc>
        <w:tc>
          <w:tcPr>
            <w:tcW w:w="1315" w:type="dxa"/>
            <w:shd w:val="clear" w:color="auto" w:fill="auto"/>
          </w:tcPr>
          <w:p w14:paraId="6B327E7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41DA85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0DB7BC8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71DBEA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3EBFBC1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77022C2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7C161A1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78884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3834D93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3</w:t>
            </w:r>
          </w:p>
        </w:tc>
        <w:tc>
          <w:tcPr>
            <w:tcW w:w="1315" w:type="dxa"/>
            <w:shd w:val="clear" w:color="auto" w:fill="auto"/>
          </w:tcPr>
          <w:p w14:paraId="0185B94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16C352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737306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0D5E11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6A65926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0382B52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0037ADE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78FA5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40D50F2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4</w:t>
            </w:r>
          </w:p>
        </w:tc>
        <w:tc>
          <w:tcPr>
            <w:tcW w:w="1315" w:type="dxa"/>
            <w:shd w:val="clear" w:color="auto" w:fill="auto"/>
          </w:tcPr>
          <w:p w14:paraId="40D6DBF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85D540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0C22A58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635658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6513F4F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3659016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1E19FFB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63059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05D4628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5</w:t>
            </w:r>
          </w:p>
        </w:tc>
        <w:tc>
          <w:tcPr>
            <w:tcW w:w="1315" w:type="dxa"/>
            <w:shd w:val="clear" w:color="auto" w:fill="auto"/>
          </w:tcPr>
          <w:p w14:paraId="50658DA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0F497B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A920DE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6E3A668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0B7C240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144278C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13C6969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5FF04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175ADED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38097DC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FFA6B6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D298EC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8DBFD2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50D564B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52B1409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6929CDB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2725F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2CC38CC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7</w:t>
            </w:r>
          </w:p>
        </w:tc>
        <w:tc>
          <w:tcPr>
            <w:tcW w:w="1315" w:type="dxa"/>
            <w:shd w:val="clear" w:color="auto" w:fill="auto"/>
          </w:tcPr>
          <w:p w14:paraId="76F7130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43400A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0D34C36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733501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3765A78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5379BBB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250324D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6D5F3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167FBB3F">
            <w:pPr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0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en-US" w:eastAsia="zh-CN" w:bidi="zh-TW"/>
              </w:rPr>
              <w:t>...</w:t>
            </w:r>
          </w:p>
        </w:tc>
        <w:tc>
          <w:tcPr>
            <w:tcW w:w="1315" w:type="dxa"/>
            <w:shd w:val="clear" w:color="auto" w:fill="auto"/>
          </w:tcPr>
          <w:p w14:paraId="5309FE5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1B7BD1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FC850E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F2BEA7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62D34B5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3103C88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0CFEE36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1A0BC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36FA95C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en-US" w:eastAsia="zh-CN" w:bidi="zh-TW"/>
              </w:rPr>
              <w:t>N</w:t>
            </w:r>
          </w:p>
        </w:tc>
        <w:tc>
          <w:tcPr>
            <w:tcW w:w="1315" w:type="dxa"/>
            <w:shd w:val="clear" w:color="auto" w:fill="auto"/>
          </w:tcPr>
          <w:p w14:paraId="01D6074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EB9924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675F266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CD613E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4F68047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069951CE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48A61E6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1C0A8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1F49FCE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合计</w:t>
            </w:r>
          </w:p>
        </w:tc>
        <w:tc>
          <w:tcPr>
            <w:tcW w:w="8398" w:type="dxa"/>
            <w:gridSpan w:val="7"/>
            <w:shd w:val="clear" w:color="auto" w:fill="auto"/>
          </w:tcPr>
          <w:p w14:paraId="50F36DA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  <w:tr w14:paraId="50FA3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758" w:type="dxa"/>
            <w:shd w:val="clear" w:color="auto" w:fill="auto"/>
          </w:tcPr>
          <w:p w14:paraId="62F2C11C">
            <w:pPr>
              <w:spacing w:before="12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zh-TW" w:eastAsia="zh-TW" w:bidi="zh-TW"/>
              </w:rPr>
              <w:t>备注</w:t>
            </w:r>
          </w:p>
        </w:tc>
        <w:tc>
          <w:tcPr>
            <w:tcW w:w="8398" w:type="dxa"/>
            <w:gridSpan w:val="7"/>
            <w:shd w:val="clear" w:color="auto" w:fill="auto"/>
          </w:tcPr>
          <w:p w14:paraId="60B4CE9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en-US" w:bidi="en-US"/>
              </w:rPr>
            </w:pPr>
          </w:p>
        </w:tc>
      </w:tr>
    </w:tbl>
    <w:p w14:paraId="0DE866EB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0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  <w:t>标准可附附件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val="zh-TW" w:eastAsia="zh-TW" w:bidi="zh-TW"/>
        </w:rPr>
        <w:t>或详见响应文件，需说明清楚）</w:t>
      </w:r>
    </w:p>
    <w:p w14:paraId="69B8909C">
      <w:pPr>
        <w:spacing w:after="80" w:line="360" w:lineRule="auto"/>
        <w:ind w:firstLine="241" w:firstLineChars="100"/>
        <w:jc w:val="left"/>
        <w:rPr>
          <w:rFonts w:hint="eastAsia" w:ascii="宋体" w:hAnsi="宋体" w:eastAsia="宋体" w:cs="宋体"/>
          <w:kern w:val="2"/>
          <w:sz w:val="24"/>
          <w:szCs w:val="20"/>
          <w:lang w:eastAsia="zh-TW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val="zh-TW" w:eastAsia="zh-TW" w:bidi="zh-TW"/>
        </w:rPr>
        <w:t>二、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  <w:t>服务条件及内容要求</w:t>
      </w:r>
    </w:p>
    <w:p w14:paraId="74337A90">
      <w:pPr>
        <w:spacing w:line="360" w:lineRule="auto"/>
        <w:ind w:firstLine="240" w:firstLineChars="100"/>
        <w:jc w:val="both"/>
        <w:rPr>
          <w:rFonts w:hint="default" w:ascii="宋体" w:hAnsi="宋体" w:eastAsia="宋体" w:cs="宋体"/>
          <w:kern w:val="2"/>
          <w:sz w:val="24"/>
          <w:szCs w:val="20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一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服务</w:t>
      </w:r>
      <w:r>
        <w:rPr>
          <w:rFonts w:hint="eastAsia" w:ascii="宋体" w:hAnsi="宋体" w:eastAsia="宋体" w:cs="宋体"/>
          <w:kern w:val="2"/>
          <w:sz w:val="24"/>
          <w:szCs w:val="20"/>
          <w:lang w:val="en-US" w:eastAsia="zh-CN" w:bidi="zh-TW"/>
        </w:rPr>
        <w:t>期限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：</w:t>
      </w:r>
      <w:r>
        <w:rPr>
          <w:rFonts w:hint="eastAsia" w:ascii="宋体" w:hAnsi="宋体" w:eastAsia="宋体" w:cs="宋体"/>
          <w:kern w:val="2"/>
          <w:sz w:val="24"/>
          <w:szCs w:val="20"/>
          <w:u w:val="single"/>
          <w:lang w:val="en-US" w:eastAsia="zh-CN" w:bidi="zh-TW"/>
        </w:rPr>
        <w:t xml:space="preserve">             </w:t>
      </w:r>
    </w:p>
    <w:p w14:paraId="016232F9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（二）服务内容：</w:t>
      </w:r>
      <w:r>
        <w:rPr>
          <w:rFonts w:hint="eastAsia" w:ascii="宋体" w:hAnsi="宋体" w:eastAsia="宋体" w:cs="宋体"/>
          <w:kern w:val="2"/>
          <w:sz w:val="24"/>
          <w:szCs w:val="20"/>
          <w:u w:val="single"/>
          <w:lang w:val="en-US" w:eastAsia="zh-CN" w:bidi="zh-TW"/>
        </w:rPr>
        <w:t xml:space="preserve">             </w:t>
      </w:r>
    </w:p>
    <w:p w14:paraId="5A6B7235">
      <w:pPr>
        <w:spacing w:line="360" w:lineRule="auto"/>
        <w:ind w:firstLine="241" w:firstLineChars="1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  <w:t>三、合同价款</w:t>
      </w:r>
    </w:p>
    <w:p w14:paraId="6F38C5FC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（一）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CN" w:bidi="zh-TW"/>
        </w:rPr>
        <w:t>合同价款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：（大写）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       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 xml:space="preserve"> ，小写（￥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   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 xml:space="preserve"> 元）。</w:t>
      </w:r>
    </w:p>
    <w:p w14:paraId="7D7929CC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（二）合同</w:t>
      </w:r>
      <w:r>
        <w:rPr>
          <w:rFonts w:hint="eastAsia" w:ascii="宋体" w:hAnsi="宋体" w:eastAsia="宋体" w:cs="宋体"/>
          <w:kern w:val="2"/>
          <w:sz w:val="24"/>
          <w:szCs w:val="20"/>
          <w:lang w:val="en-US" w:eastAsia="zh-CN" w:bidi="zh-TW"/>
        </w:rPr>
        <w:t>总价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包括：为完成合同全部服务内容可能发生的全部费用，同时还包含为完成本项目所需的一切成本、利润、税金和服务期内的全部风险。</w:t>
      </w:r>
    </w:p>
    <w:p w14:paraId="3FD24DCE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（三）合同</w:t>
      </w:r>
      <w:r>
        <w:rPr>
          <w:rFonts w:hint="eastAsia" w:ascii="宋体" w:hAnsi="宋体" w:eastAsia="宋体" w:cs="宋体"/>
          <w:kern w:val="2"/>
          <w:sz w:val="24"/>
          <w:szCs w:val="20"/>
          <w:lang w:val="en-US" w:eastAsia="zh-CN" w:bidi="zh-TW"/>
        </w:rPr>
        <w:t>总价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不受市场价格变化因素的影响，一次性包死。</w:t>
      </w:r>
    </w:p>
    <w:p w14:paraId="36A626B4"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  <w:t>四、款项结算</w:t>
      </w:r>
    </w:p>
    <w:p w14:paraId="4EB8B3F1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eastAsia="zh-CN" w:bidi="zh-TW"/>
        </w:rPr>
        <w:t>一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TW" w:eastAsia="zh-TW" w:bidi="zh-TW"/>
        </w:rPr>
        <w:t>合同款的支付：</w:t>
      </w:r>
    </w:p>
    <w:p w14:paraId="405F21F2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采购人与供应商双方签订合同后，达到付款条件起 30 日内，支付合同总金额的 40.00%。供应商在合同规定时间内提交全部规划成果，通过专家论证及征求意见等工作，并经采购人验收合格后，达到付款条件起 30 日内，支付合同总金额的 60.00%。</w:t>
      </w:r>
    </w:p>
    <w:p w14:paraId="6A61816B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zh-TW"/>
        </w:rPr>
        <w:t>二</w:t>
      </w:r>
      <w:r>
        <w:rPr>
          <w:rFonts w:hint="eastAsia" w:ascii="宋体" w:hAnsi="宋体" w:eastAsia="宋体" w:cs="宋体"/>
          <w:kern w:val="2"/>
          <w:sz w:val="24"/>
          <w:szCs w:val="24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zh-TW"/>
        </w:rPr>
        <w:t>支付</w:t>
      </w:r>
      <w:r>
        <w:rPr>
          <w:rFonts w:hint="eastAsia" w:ascii="宋体" w:hAnsi="宋体" w:eastAsia="宋体" w:cs="宋体"/>
          <w:kern w:val="2"/>
          <w:sz w:val="24"/>
          <w:szCs w:val="24"/>
          <w:lang w:val="zh-TW" w:eastAsia="zh-TW" w:bidi="zh-TW"/>
        </w:rPr>
        <w:t>方式：银行转账。</w:t>
      </w:r>
    </w:p>
    <w:p w14:paraId="4B98323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zh-TW"/>
        </w:rPr>
        <w:t>三</w:t>
      </w:r>
      <w:r>
        <w:rPr>
          <w:rFonts w:hint="eastAsia" w:ascii="宋体" w:hAnsi="宋体" w:eastAsia="宋体" w:cs="宋体"/>
          <w:kern w:val="2"/>
          <w:sz w:val="24"/>
          <w:szCs w:val="24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zh-TW"/>
        </w:rPr>
        <w:t>结算方式：付款前乙方应向甲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方提供合法有效的发票。乙方持成交通知书、服务合同、发票，与甲方结算。</w:t>
      </w:r>
    </w:p>
    <w:p w14:paraId="1B377CBD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  <w:t>五、双方的权利和义务</w:t>
      </w:r>
    </w:p>
    <w:p w14:paraId="49A8D31E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一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甲方的权利和义务</w:t>
      </w:r>
    </w:p>
    <w:p w14:paraId="28D00590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22575589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2、负责检查监督乙方管理工作的实施及制度的执行情况。</w:t>
      </w:r>
    </w:p>
    <w:p w14:paraId="0149A05C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3、根据本合同规定，按时向乙方支付应付服务费用。</w:t>
      </w:r>
    </w:p>
    <w:p w14:paraId="3455BA77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4、国家法律、法规所规定由甲方承担的其它责任。</w:t>
      </w:r>
    </w:p>
    <w:p w14:paraId="7744F270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（二）乙方的权利和义务</w:t>
      </w:r>
    </w:p>
    <w:p w14:paraId="7A8E504D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1、对本合同规定的委托服务范围内的项目享有管理权及服务义务。</w:t>
      </w:r>
    </w:p>
    <w:p w14:paraId="008D600A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2、根据本合同的规定向甲方收取相关服务费用，并有权在本项目管理范围内管理及合理使用。</w:t>
      </w:r>
    </w:p>
    <w:p w14:paraId="319BF1B4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3、及时向甲方通告本项目服务范围内有关服务的重大事项，及时配合处理投诉。</w:t>
      </w:r>
    </w:p>
    <w:p w14:paraId="5B5A62BA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4、在服务过程中接受项目行业管理部门及政府有关部门的指导，接受甲方的监督。</w:t>
      </w:r>
    </w:p>
    <w:p w14:paraId="589720E0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5、国家法律、法规所规定由乙方承担的其它责任。</w:t>
      </w:r>
    </w:p>
    <w:p w14:paraId="0F1DFDA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6、乙方应按国家技术规范、标准、规程和甲方的需求展开工作。</w:t>
      </w:r>
    </w:p>
    <w:p w14:paraId="58CCDB1E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7、乙方在进行服务过程中，需遵守甲方的规章制度，接受甲方的安排与协调。</w:t>
      </w:r>
    </w:p>
    <w:p w14:paraId="15686DF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8、如因乙方原因导致服务工作无法开展，乙方应承担相应的责任，并采取积极的补救措施。</w:t>
      </w:r>
    </w:p>
    <w:p w14:paraId="632F5258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9、在服务工作开展过程中，如出现意外事故，由乙方自行承担。</w:t>
      </w:r>
    </w:p>
    <w:p w14:paraId="688D2D94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zh-TW"/>
        </w:rPr>
        <w:t>六、质量保证</w:t>
      </w:r>
    </w:p>
    <w:p w14:paraId="3864C080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乙方所供服务必须执行下列条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款：</w:t>
      </w:r>
    </w:p>
    <w:p w14:paraId="5DC87C87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（一）服务方案和方式科学、可行，人员配置合理，全面满足要求。</w:t>
      </w:r>
    </w:p>
    <w:p w14:paraId="4EEFB91B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（二）符合国家有关服务规范要求，确保各项服务达到最佳效果。</w:t>
      </w:r>
    </w:p>
    <w:p w14:paraId="0522D694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（三）乙方提供的服务，若发生侵权而产生的一切后果，由乙方负责。甲方保留索赔权。</w:t>
      </w:r>
    </w:p>
    <w:p w14:paraId="35514093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（四）服务承诺内容：以响应文件承诺为准。</w:t>
      </w:r>
    </w:p>
    <w:p w14:paraId="678CA22E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eastAsia="zh-CN" w:bidi="zh-TW"/>
        </w:rPr>
        <w:t>七、验收</w:t>
      </w:r>
    </w:p>
    <w:p w14:paraId="35530D28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（一）服务内容完成后先由乙方进行自检，自检合格后邀请甲方进行验收。甲方确认乙方的自检内容后，组织乙方进行最终验收，验收时乙方应派人员参加，共同对验收结果进行确认，并承担相关责任。</w:t>
      </w:r>
    </w:p>
    <w:p w14:paraId="3EF17578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 xml:space="preserve">（二）乙方向甲方提交服务实施过程中的所有资料。以便甲方日后管理。 </w:t>
      </w:r>
    </w:p>
    <w:p w14:paraId="4FEEAB57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（三）验收依据：</w:t>
      </w:r>
    </w:p>
    <w:p w14:paraId="1BD97977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1、竞争性磋商文件、响应文件、澄清表（函）；</w:t>
      </w:r>
    </w:p>
    <w:p w14:paraId="22B4F7EB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 xml:space="preserve">2、本合同及附件文本； </w:t>
      </w:r>
    </w:p>
    <w:p w14:paraId="0F260049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3、国家相应的标准、规范。</w:t>
      </w:r>
    </w:p>
    <w:p w14:paraId="7AC234C4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eastAsia="zh-CN" w:bidi="zh-TW"/>
        </w:rPr>
        <w:t>八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  <w:t>、违约责任</w:t>
      </w:r>
    </w:p>
    <w:p w14:paraId="6AA398D9">
      <w:pPr>
        <w:tabs>
          <w:tab w:val="left" w:pos="1438"/>
        </w:tabs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（一）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合同中未约定的，按《民法典》中的相关条款执行。</w:t>
      </w:r>
      <w:bookmarkStart w:id="4" w:name="bookmark15"/>
    </w:p>
    <w:p w14:paraId="77998F88">
      <w:pPr>
        <w:tabs>
          <w:tab w:val="left" w:pos="1438"/>
        </w:tabs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（</w:t>
      </w:r>
      <w:bookmarkEnd w:id="4"/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二）未按合同要求提供服务或服务质量不能满足合同要求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甲方应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当将乙方违约的情况以及拟釆取的措施以书面形式报政府釆购监管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部门，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根据政府采购监管部门的处理意见，甲方有权依据《民法典》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有关条款及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合同约定解除合同，乙方应向甲方支付合同总价款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%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的违约金。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同时，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的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违法行为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进行相应的处罚。</w:t>
      </w:r>
    </w:p>
    <w:p w14:paraId="4B32C317">
      <w:pPr>
        <w:tabs>
          <w:tab w:val="left" w:pos="1438"/>
        </w:tabs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bookmarkStart w:id="5" w:name="bookmark16"/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（</w:t>
      </w:r>
      <w:bookmarkEnd w:id="5"/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三）在本合同履行过程中，双方因违约或造成对方经济、社会效益等损失的应当赔偿合同总价款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val="en-US" w:eastAsia="zh-CN" w:bidi="zh-TW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%的违约金。</w:t>
      </w:r>
    </w:p>
    <w:p w14:paraId="1C98C073">
      <w:pPr>
        <w:tabs>
          <w:tab w:val="left" w:pos="1438"/>
        </w:tabs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CN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四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CN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乙方提供的服务不符合本项目相关文件和本合同规定的，甲方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有权拒绝，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并且乙方须向甲方支付本合同总价款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val="zh-CN" w:eastAsia="zh-CN" w:bidi="zh-TW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val="en-US" w:eastAsia="zh-CN" w:bidi="zh-TW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val="zh-CN" w:eastAsia="zh-CN" w:bidi="zh-TW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val="zh-CN" w:eastAsia="zh-CN" w:bidi="zh-TW"/>
        </w:rPr>
        <w:tab/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%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的违约金。</w:t>
      </w:r>
    </w:p>
    <w:p w14:paraId="6702ED8D">
      <w:pPr>
        <w:tabs>
          <w:tab w:val="left" w:pos="1438"/>
        </w:tabs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五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乙方未能按照本合同约定时间提供服务或完成约定的项目服务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内容的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从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逾期之日起每日按本合同总价款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val="en-US" w:eastAsia="zh-CN" w:bidi="zh-TW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%的数额向甲方支付违约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金；逾期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val="en-US" w:eastAsia="zh-CN" w:bidi="zh-TW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日以上的，甲方有权终止合同，由此造成的甲方经济损失由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乙方承担。</w:t>
      </w:r>
    </w:p>
    <w:p w14:paraId="53B7712B">
      <w:pPr>
        <w:tabs>
          <w:tab w:val="left" w:pos="1438"/>
        </w:tabs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六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未经甲方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CN" w:bidi="zh-TW"/>
        </w:rPr>
        <w:t>书面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同意，乙方不得擅自将本合同服务分包或转包第三方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承担。</w:t>
      </w:r>
    </w:p>
    <w:p w14:paraId="355B2CB0">
      <w:pPr>
        <w:tabs>
          <w:tab w:val="left" w:pos="1438"/>
        </w:tabs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七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本合同中各条款约定的违约金可自甲方未支付款项中直接扣除，违约金若不能弥补甲方损失的，乙方还应赔偿甲方超出部分的损失。</w:t>
      </w:r>
    </w:p>
    <w:p w14:paraId="7FCE8BA0">
      <w:pPr>
        <w:tabs>
          <w:tab w:val="left" w:pos="1438"/>
        </w:tabs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CN" w:bidi="zh-TW"/>
        </w:rPr>
        <w:t>八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）因违约方的违约行为给守约方造成损失的，应当按照本条所列违约情形支付违约金，并承担守约方因维权产生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CN" w:bidi="zh-TW"/>
        </w:rPr>
        <w:t>的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合理支出，包括但不限于诉讼费、律师费、保全费、保全保险费等。</w:t>
      </w:r>
    </w:p>
    <w:p w14:paraId="5DB374C4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eastAsia="zh-CN" w:bidi="zh-TW"/>
        </w:rPr>
        <w:t>九、保密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  <w:t>条款</w:t>
      </w:r>
    </w:p>
    <w:p w14:paraId="1E3FA50F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一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乙方应遵守国家有关保密的法律法规和行业规定，并对甲方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提供的资料负有保密义务。未经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甲方同意，不得将承接政府服务项目获得的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政府、公民个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人等各种信息和资料提供给其他单位和个人。如发生以上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情况，甲方有权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索赔。</w:t>
      </w:r>
    </w:p>
    <w:p w14:paraId="1E9D737C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甲方有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义务保护乙方的知识产权，未经乙方同意，不得将乙方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交付的具有知识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产权性质的成果文件、资料向第三方转让或用于本合同以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外的项目。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如发生以上情况，乙方有权索赔，但甲方依据相关法定职责对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外公开的除外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。</w:t>
      </w:r>
    </w:p>
    <w:p w14:paraId="03597619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本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影响本条款的效力。</w:t>
      </w:r>
    </w:p>
    <w:p w14:paraId="005568A5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eastAsia="zh-CN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eastAsia="zh-CN" w:bidi="zh-TW"/>
        </w:rPr>
        <w:t>十、争议解决</w:t>
      </w:r>
    </w:p>
    <w:p w14:paraId="03C6485A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一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本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合同在履行过程中发生的争议，由甲、乙双方当事人协商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解决，协商不成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的按下列第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2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种方式解决：</w:t>
      </w:r>
    </w:p>
    <w:p w14:paraId="77535A5B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1、提交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西安仲裁委员会仲裁；</w:t>
      </w:r>
    </w:p>
    <w:p w14:paraId="493F9A1A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2、依法向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甲方所在地人民法院起诉。</w:t>
      </w:r>
    </w:p>
    <w:p w14:paraId="1C6F23D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本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影响本条款的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效力。</w:t>
      </w:r>
    </w:p>
    <w:p w14:paraId="59B90E54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en-US" w:eastAsia="zh-CN" w:bidi="zh-TW"/>
        </w:rPr>
        <w:t>一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  <w:t>、合同变更</w:t>
      </w:r>
    </w:p>
    <w:p w14:paraId="7E17B838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需求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情况发生变化，需要项目变更的，应双方协商后签订项目变更协议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CN" w:bidi="zh-TW"/>
        </w:rPr>
        <w:t>后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生效（如双方变更事项不能达成一致的，仍按原合同履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行，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否则视为违约）。</w:t>
      </w:r>
    </w:p>
    <w:p w14:paraId="0F1B2763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en-US" w:eastAsia="zh-CN" w:bidi="zh-TW"/>
        </w:rPr>
        <w:t>二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highlight w:val="none"/>
          <w:lang w:val="zh-TW" w:eastAsia="zh-TW" w:bidi="zh-TW"/>
        </w:rPr>
        <w:t>、合同生效</w:t>
      </w:r>
    </w:p>
    <w:p w14:paraId="1A1527EC">
      <w:pPr>
        <w:spacing w:after="100"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本合同一式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份,甲方持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份，乙方持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u w:val="single"/>
          <w:lang w:eastAsia="zh-CN" w:bidi="zh-TW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份,本合同甲、乙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en-US" w:eastAsia="zh-CN" w:bidi="zh-TW"/>
        </w:rPr>
        <w:t>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方签字并盖章后生效，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eastAsia="zh-CN" w:bidi="zh-TW"/>
        </w:rPr>
        <w:t>合同执行完毕后，自动</w:t>
      </w:r>
      <w:r>
        <w:rPr>
          <w:rFonts w:hint="eastAsia" w:ascii="宋体" w:hAnsi="宋体" w:eastAsia="宋体" w:cs="宋体"/>
          <w:kern w:val="2"/>
          <w:sz w:val="24"/>
          <w:szCs w:val="20"/>
          <w:highlight w:val="none"/>
          <w:lang w:val="zh-TW" w:eastAsia="zh-TW" w:bidi="zh-TW"/>
        </w:rPr>
        <w:t>失效（合同的服务承诺则长期有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效）。</w:t>
      </w:r>
    </w:p>
    <w:p w14:paraId="231C36B4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en-US"/>
        </w:rPr>
        <w:t>十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val="en-US" w:eastAsia="zh-CN" w:bidi="en-US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4"/>
          <w:szCs w:val="20"/>
          <w:lang w:eastAsia="zh-CN" w:bidi="en-US"/>
        </w:rPr>
        <w:t>、其他事项</w:t>
      </w:r>
    </w:p>
    <w:p w14:paraId="4603D9A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lang w:val="en-US" w:eastAsia="zh-CN" w:bidi="zh-TW"/>
        </w:rPr>
        <w:t>一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）</w:t>
      </w:r>
      <w:r>
        <w:rPr>
          <w:rFonts w:hint="eastAsia" w:ascii="宋体" w:hAnsi="宋体" w:eastAsia="宋体" w:cs="宋体"/>
          <w:kern w:val="0"/>
          <w:sz w:val="24"/>
          <w:szCs w:val="20"/>
          <w:lang w:eastAsia="zh-CN" w:bidi="ar-SA"/>
        </w:rPr>
        <w:t>西安市财政局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在合同的履行期间以及履行期后，可以随时检查项目的执行情况，对采购标准、釆购内容进行调查核实，并对发现的问题进行处理。</w:t>
      </w:r>
    </w:p>
    <w:p w14:paraId="67CAFFB8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lang w:val="en-US" w:eastAsia="zh-CN" w:bidi="zh-TW"/>
        </w:rPr>
        <w:t>二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竞争性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磋商文件、响应文件、澄清表（函）、成交通知书、合同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附件均为合同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不可分割的部分。</w:t>
      </w:r>
    </w:p>
    <w:p w14:paraId="6E6BF971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lang w:val="en-US" w:eastAsia="zh-CN" w:bidi="zh-TW"/>
        </w:rPr>
        <w:t>三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甲乙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双方因不可抗力导致本合同全部或部分不能履行时，发生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不可抗力的一方应当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在不可抗力发生后</w:t>
      </w:r>
      <w:r>
        <w:rPr>
          <w:rFonts w:hint="eastAsia" w:ascii="宋体" w:hAnsi="宋体" w:eastAsia="宋体" w:cs="宋体"/>
          <w:kern w:val="2"/>
          <w:sz w:val="24"/>
          <w:szCs w:val="20"/>
          <w:u w:val="single"/>
          <w:lang w:eastAsia="zh-CN" w:bidi="zh-TW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天内书面通知对方，以减轻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可能给对方造成的损失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。因不可抗力导致本合同全部或部分不能履行时，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双方各自承担其因此而造成的损失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、损害。</w:t>
      </w:r>
    </w:p>
    <w:p w14:paraId="6BAD4212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（</w:t>
      </w:r>
      <w:r>
        <w:rPr>
          <w:rFonts w:hint="eastAsia" w:ascii="宋体" w:hAnsi="宋体" w:eastAsia="宋体" w:cs="宋体"/>
          <w:kern w:val="2"/>
          <w:sz w:val="24"/>
          <w:szCs w:val="20"/>
          <w:lang w:val="en-US" w:eastAsia="zh-CN" w:bidi="zh-TW"/>
        </w:rPr>
        <w:t>四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CN" w:bidi="zh-TW"/>
        </w:rPr>
        <w:t>）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合同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未尽事宜，由甲、乙双方协商确认后签订政府</w:t>
      </w:r>
      <w:r>
        <w:rPr>
          <w:rFonts w:hint="eastAsia" w:ascii="宋体" w:hAnsi="宋体" w:eastAsia="宋体" w:cs="宋体"/>
          <w:kern w:val="2"/>
          <w:sz w:val="24"/>
          <w:szCs w:val="20"/>
          <w:lang w:eastAsia="zh-CN" w:bidi="zh-TW"/>
        </w:rPr>
        <w:t>采购补充合同，</w:t>
      </w:r>
      <w:r>
        <w:rPr>
          <w:rFonts w:hint="eastAsia" w:ascii="宋体" w:hAnsi="宋体" w:eastAsia="宋体" w:cs="宋体"/>
          <w:kern w:val="2"/>
          <w:sz w:val="24"/>
          <w:szCs w:val="20"/>
          <w:lang w:val="zh-TW" w:eastAsia="zh-TW" w:bidi="zh-TW"/>
        </w:rPr>
        <w:t>与原合同具有同等法律效力。</w:t>
      </w:r>
    </w:p>
    <w:p w14:paraId="728F23F2">
      <w:pPr>
        <w:widowControl w:val="0"/>
        <w:adjustRightInd w:val="0"/>
        <w:spacing w:line="360" w:lineRule="auto"/>
        <w:ind w:left="420" w:right="33" w:firstLine="0" w:firstLineChars="0"/>
        <w:jc w:val="left"/>
        <w:rPr>
          <w:rFonts w:hint="eastAsia" w:ascii="宋体" w:hAnsi="宋体" w:eastAsia="宋体" w:cs="宋体"/>
          <w:kern w:val="0"/>
          <w:sz w:val="24"/>
          <w:szCs w:val="20"/>
          <w:lang w:val="zh-TW" w:eastAsia="zh-CN" w:bidi="zh-TW"/>
        </w:rPr>
      </w:pPr>
    </w:p>
    <w:tbl>
      <w:tblPr>
        <w:tblStyle w:val="3"/>
        <w:tblpPr w:leftFromText="181" w:rightFromText="181" w:vertAnchor="text" w:horzAnchor="margin" w:tblpXSpec="center" w:tblpY="24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5"/>
        <w:gridCol w:w="4035"/>
      </w:tblGrid>
      <w:tr w14:paraId="41E78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9" w:hRule="atLeast"/>
          <w:jc w:val="center"/>
        </w:trPr>
        <w:tc>
          <w:tcPr>
            <w:tcW w:w="2632" w:type="pct"/>
          </w:tcPr>
          <w:p w14:paraId="1619C486">
            <w:pPr>
              <w:overflowPunct w:val="0"/>
              <w:topLinePunct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甲  方</w:t>
            </w:r>
          </w:p>
        </w:tc>
        <w:tc>
          <w:tcPr>
            <w:tcW w:w="2367" w:type="pct"/>
          </w:tcPr>
          <w:p w14:paraId="13EA8325">
            <w:pPr>
              <w:overflowPunct w:val="0"/>
              <w:topLinePunct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乙  方</w:t>
            </w:r>
          </w:p>
        </w:tc>
      </w:tr>
      <w:tr w14:paraId="49E3F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2632" w:type="pct"/>
            <w:vAlign w:val="center"/>
          </w:tcPr>
          <w:p w14:paraId="002176A2">
            <w:pPr>
              <w:overflowPunct w:val="0"/>
              <w:topLinePunct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en-US" w:eastAsia="zh-CN" w:bidi="ar-SA"/>
              </w:rPr>
              <w:t>采购人全称</w:t>
            </w:r>
          </w:p>
          <w:p w14:paraId="039209B0">
            <w:pPr>
              <w:overflowPunct w:val="0"/>
              <w:topLinePunct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（公章）</w:t>
            </w:r>
          </w:p>
        </w:tc>
        <w:tc>
          <w:tcPr>
            <w:tcW w:w="2367" w:type="pct"/>
            <w:vAlign w:val="center"/>
          </w:tcPr>
          <w:p w14:paraId="5A6E10DC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成交供应商全称</w:t>
            </w:r>
          </w:p>
          <w:p w14:paraId="4EC11F95"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（公章）</w:t>
            </w:r>
          </w:p>
        </w:tc>
      </w:tr>
      <w:tr w14:paraId="0353C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18E5E7EB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 xml:space="preserve">地址： </w:t>
            </w:r>
          </w:p>
        </w:tc>
        <w:tc>
          <w:tcPr>
            <w:tcW w:w="2367" w:type="pct"/>
          </w:tcPr>
          <w:p w14:paraId="6385ABE2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地址：</w:t>
            </w:r>
          </w:p>
        </w:tc>
      </w:tr>
      <w:tr w14:paraId="227A7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1763BDB5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邮编：</w:t>
            </w:r>
          </w:p>
        </w:tc>
        <w:tc>
          <w:tcPr>
            <w:tcW w:w="2367" w:type="pct"/>
          </w:tcPr>
          <w:p w14:paraId="0476BCDD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邮编：</w:t>
            </w:r>
          </w:p>
        </w:tc>
      </w:tr>
      <w:tr w14:paraId="3FB20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632" w:type="pct"/>
          </w:tcPr>
          <w:p w14:paraId="13FD5DAB">
            <w:pPr>
              <w:overflowPunct w:val="0"/>
              <w:topLinePunct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法定代表人或被授权人（签字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en-US" w:eastAsia="zh-CN" w:bidi="ar-SA"/>
              </w:rPr>
              <w:t>或盖章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 xml:space="preserve">）： </w:t>
            </w:r>
          </w:p>
        </w:tc>
        <w:tc>
          <w:tcPr>
            <w:tcW w:w="2367" w:type="pct"/>
          </w:tcPr>
          <w:p w14:paraId="3AE778A2">
            <w:pPr>
              <w:overflowPunct w:val="0"/>
              <w:topLinePunct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法定代表人或被授权人（签字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val="en-US" w:eastAsia="zh-CN" w:bidi="ar-SA"/>
              </w:rPr>
              <w:t>或盖章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）：</w:t>
            </w:r>
          </w:p>
        </w:tc>
      </w:tr>
      <w:tr w14:paraId="249DE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7D59DCB5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电话：</w:t>
            </w:r>
          </w:p>
        </w:tc>
        <w:tc>
          <w:tcPr>
            <w:tcW w:w="2367" w:type="pct"/>
          </w:tcPr>
          <w:p w14:paraId="30D08655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电话：</w:t>
            </w:r>
          </w:p>
        </w:tc>
      </w:tr>
      <w:tr w14:paraId="363D9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32" w:type="pct"/>
          </w:tcPr>
          <w:p w14:paraId="14665BDC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传真：</w:t>
            </w:r>
          </w:p>
        </w:tc>
        <w:tc>
          <w:tcPr>
            <w:tcW w:w="2367" w:type="pct"/>
          </w:tcPr>
          <w:p w14:paraId="70BA4C14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传真：</w:t>
            </w:r>
          </w:p>
        </w:tc>
      </w:tr>
      <w:tr w14:paraId="724A3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632" w:type="pct"/>
          </w:tcPr>
          <w:p w14:paraId="65F7B5AF"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开户银行：</w:t>
            </w:r>
          </w:p>
        </w:tc>
        <w:tc>
          <w:tcPr>
            <w:tcW w:w="2367" w:type="pct"/>
          </w:tcPr>
          <w:p w14:paraId="51E50CBF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开户银行：</w:t>
            </w:r>
          </w:p>
        </w:tc>
      </w:tr>
      <w:tr w14:paraId="1E405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32" w:type="pct"/>
          </w:tcPr>
          <w:p w14:paraId="422EFF98"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账号：</w:t>
            </w:r>
          </w:p>
        </w:tc>
        <w:tc>
          <w:tcPr>
            <w:tcW w:w="2367" w:type="pct"/>
          </w:tcPr>
          <w:p w14:paraId="0421F136">
            <w:pPr>
              <w:overflowPunct w:val="0"/>
              <w:topLinePunct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>账号：</w:t>
            </w:r>
          </w:p>
        </w:tc>
      </w:tr>
      <w:tr w14:paraId="3BFA3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000" w:type="pct"/>
            <w:gridSpan w:val="2"/>
          </w:tcPr>
          <w:p w14:paraId="5BF31635"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lang w:eastAsia="zh-CN" w:bidi="ar-SA"/>
              </w:rPr>
              <w:t xml:space="preserve">        年  月  日</w:t>
            </w:r>
          </w:p>
        </w:tc>
      </w:tr>
    </w:tbl>
    <w:p w14:paraId="256C79EF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23AF5"/>
    <w:rsid w:val="11B2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2025-08-25T03:12:00Z</dcterms:created>
  <dc:creator>囔囔</dc:creator>
  <cp:lastModifiedBy>囔囔</cp:lastModifiedBy>
  <dcterms:modified xsi:type="dcterms:W3CDTF">2025-08-25T03:14:09Z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EA113681B8F44CAEB6B300B6FFD110CF_11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