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CD8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240" w:lineRule="auto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技术参数偏离表</w:t>
      </w:r>
    </w:p>
    <w:p w14:paraId="4182B170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106CA7AB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24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404"/>
        <w:gridCol w:w="4717"/>
        <w:gridCol w:w="4541"/>
        <w:gridCol w:w="1509"/>
        <w:gridCol w:w="1007"/>
      </w:tblGrid>
      <w:tr w14:paraId="16EC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AB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D92B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货物名称</w:t>
            </w:r>
          </w:p>
        </w:tc>
        <w:tc>
          <w:tcPr>
            <w:tcW w:w="16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2BA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谈判文件技术参数要求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960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响应文件技术参数响应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B69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927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453E9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0841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20AC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LED染色灯（PAR灯）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9431D7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（1）光源：采用≥18颗15W四合一（RGBW）LED灯珠</w:t>
            </w:r>
          </w:p>
          <w:p w14:paraId="367797DF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（2）LED寿命：≥50,000小时</w:t>
            </w:r>
          </w:p>
          <w:p w14:paraId="6A91874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（3）透镜：采用PMMA光学透镜</w:t>
            </w:r>
          </w:p>
          <w:p w14:paraId="370CF1B7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（4）▲色温：RGBW，可预设多种色温模式</w:t>
            </w:r>
          </w:p>
          <w:p w14:paraId="6C4AC7C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（5）刷新频率：1200Hz、2000Hz、4000Hz、12KHz</w:t>
            </w:r>
          </w:p>
          <w:p w14:paraId="664F2C6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（6）光学角度：25°，45°等多种角度可选</w:t>
            </w:r>
          </w:p>
          <w:p w14:paraId="05285376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（7）调光：0-100%线性调光，65536级电子调光</w:t>
            </w:r>
          </w:p>
          <w:p w14:paraId="067533E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（8）频闪速度：≥20次/秒</w:t>
            </w:r>
          </w:p>
          <w:p w14:paraId="0C30E107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（9）控制方式：DMX512控制或主从控制</w:t>
            </w:r>
          </w:p>
          <w:p w14:paraId="48127EF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（10）散热方式：对流自然散热</w:t>
            </w:r>
          </w:p>
          <w:p w14:paraId="7EB2655C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（11）外壳：压铸铝外壳，防护等级IP65</w:t>
            </w:r>
          </w:p>
          <w:p w14:paraId="78029BC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（12）★产品可提供市级或以上质量监督检测研究机构出具的带有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CAM或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CNAS标志的国标检测报告</w:t>
            </w:r>
          </w:p>
          <w:p w14:paraId="079A354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）★为保证灯具品质，生产厂家需具有：安全生产许可证（需提供相关证明文件）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3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B16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419F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0A9E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75C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B14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成像灯（面光）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4BBD3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（1）电源电压：100-240VAC, 50-60Hz</w:t>
            </w:r>
          </w:p>
          <w:p w14:paraId="55B9F393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（2）整机额定功率≥450W</w:t>
            </w:r>
          </w:p>
          <w:p w14:paraId="708B6E6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（3）光源：单颗大功率RGBAL 5色LED 模组，输出功率≥400W</w:t>
            </w:r>
          </w:p>
          <w:p w14:paraId="48900C1E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（4）色温：2200K-8000K线性调节</w:t>
            </w:r>
          </w:p>
          <w:p w14:paraId="55E23F6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（5）▲显色指数：≥95</w:t>
            </w:r>
          </w:p>
          <w:p w14:paraId="2F51BC4C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（6）光通量≥9000LM</w:t>
            </w:r>
          </w:p>
          <w:p w14:paraId="4F61245F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（7）调光：0-100% 线性调节</w:t>
            </w:r>
          </w:p>
          <w:p w14:paraId="1899E5B1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（8）光学角度：手动调焦15°-30°或25°-50°或可选10°、26°、19°等多种角度</w:t>
            </w:r>
          </w:p>
          <w:p w14:paraId="18744D80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（9）最高频闪速度≥25次每秒</w:t>
            </w:r>
          </w:p>
          <w:p w14:paraId="431D192C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（10）刷新频率：1000Hz, 25000Hz, 32000Hz</w:t>
            </w:r>
          </w:p>
          <w:p w14:paraId="085298AB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（11）GAMMA值：2.0，2.2，2.4，2.6，2.8，适应不同视觉要求</w:t>
            </w:r>
          </w:p>
          <w:p w14:paraId="7D5767D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（12）不少于2种通道模式</w:t>
            </w:r>
          </w:p>
          <w:p w14:paraId="3EF8128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（13）★具有RDM功能，可提供国家级机关颁发的证明材料</w:t>
            </w:r>
          </w:p>
          <w:p w14:paraId="3866FAF3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（14）★可用软件升级装置通过DMX数据线连接灯具进行软件升级，可提供国家级机关颁发的证明材料</w:t>
            </w:r>
          </w:p>
          <w:p w14:paraId="0185E206">
            <w:pPr>
              <w:pStyle w:val="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（15）产品符合GB 7000.1-2015、GB 7000.217-2008标准要求，可提供市级或以上质量监督检测机构出具的国标检测报告</w:t>
            </w:r>
          </w:p>
          <w:p w14:paraId="1CBFAC5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）★为保证灯具品质，生产厂家需具有：安全生产许可证（需提供相关证明文件）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C6F8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2968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27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4C8C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DD6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3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9F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电脑图案灯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F1026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（1）采用飞利浦铂金光源，灯泡功率420W，色温＞6500K，寿命不低于5000H</w:t>
            </w:r>
          </w:p>
          <w:p w14:paraId="36F179B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（2）光束模式下，20米，照度≥138000lux</w:t>
            </w:r>
          </w:p>
          <w:p w14:paraId="4A8CE900">
            <w:pPr>
              <w:pStyle w:val="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（3）▲电动变焦，光束模式：＜2.5°~＞25°，图案模式7倍以上的线性变焦，最小角度＜6°，染色模式：＜12°~≥40°     </w:t>
            </w:r>
          </w:p>
          <w:p w14:paraId="7F39C00B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（4）色彩系统须满足CMY混色，不少于13个色片+白光，具有彩虹效果</w:t>
            </w:r>
          </w:p>
          <w:p w14:paraId="01C895C3">
            <w:pPr>
              <w:pStyle w:val="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（5）图案系统须满足不少于22个图案片，其中旋转图案不少于8个</w:t>
            </w:r>
          </w:p>
          <w:p w14:paraId="7078578E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（6）不少于2种通道模式，最大通道数＞35个通道</w:t>
            </w:r>
          </w:p>
          <w:p w14:paraId="5169F31A">
            <w:pPr>
              <w:pStyle w:val="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（7）不少于2组双向旋转棱镜，具有棱镜定位功能</w:t>
            </w:r>
          </w:p>
          <w:p w14:paraId="4D5C2481">
            <w:pPr>
              <w:pStyle w:val="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（8）频闪速度≥20Hz</w:t>
            </w:r>
          </w:p>
          <w:p w14:paraId="6AA9F08B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（9）具有自动调焦功能和雾化功能</w:t>
            </w:r>
          </w:p>
          <w:p w14:paraId="37808EC1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（10）0-100%线性调光</w:t>
            </w:r>
          </w:p>
          <w:p w14:paraId="676240B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（11）水平扫描≥540°，垂直扫描≥270°，16bit精度调节，具有复位功能</w:t>
            </w:r>
          </w:p>
          <w:p w14:paraId="3D8D18D5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（12）显示屏显示</w:t>
            </w:r>
          </w:p>
          <w:p w14:paraId="587B2EC7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（13）可用DMX数据线连接灯具进行软件升级</w:t>
            </w:r>
          </w:p>
          <w:p w14:paraId="5477D58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（14）★具有RDM功能，可提供国家级机关颁发的证明材料</w:t>
            </w:r>
          </w:p>
          <w:p w14:paraId="0D67D6A3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（15）▲产品符合GB 7000.1、GB 7000.217标准要求，提供市级或以上质量监督检测机构出具的国标检测报告进行佐证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691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609BE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42524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1535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2EA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4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A67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LED追光灯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81F53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（1）电源输入：AC110-240V，50/60Hz</w:t>
            </w:r>
          </w:p>
          <w:p w14:paraId="79D90FD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（2）额定功率：1000W</w:t>
            </w:r>
          </w:p>
          <w:p w14:paraId="32808817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（3）LED：模组</w:t>
            </w:r>
          </w:p>
          <w:p w14:paraId="3E215B2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（4）色温：5600K/8000K</w:t>
            </w:r>
          </w:p>
          <w:p w14:paraId="3829B3CF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（5）出光角度：6°-10°</w:t>
            </w:r>
          </w:p>
          <w:p w14:paraId="33C62A60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（6）灯珠寿命：＞50,000小时</w:t>
            </w:r>
          </w:p>
          <w:p w14:paraId="38352469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（7）调光：0-100%线性调光</w:t>
            </w:r>
          </w:p>
          <w:p w14:paraId="7BD4185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（8）控制模式：手动</w:t>
            </w:r>
          </w:p>
          <w:p w14:paraId="67639B5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（9）防护等级：IP20</w:t>
            </w:r>
          </w:p>
          <w:p w14:paraId="1928AA50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（10）工作环境：-20℃～45℃</w:t>
            </w:r>
          </w:p>
          <w:p w14:paraId="4FB72443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（11）内置三基色CMY混色镜片、柔光片、图案片架和索光圈；CTO色温转换系统;索光圈最小发射角可调至≤1°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9EB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7688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17E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482F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AC3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5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BBB33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烟机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73CB16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（1）电压：AC 220-240V,50/60Hz</w:t>
            </w:r>
          </w:p>
          <w:p w14:paraId="70D380CC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（2）限流保险：10A/250V</w:t>
            </w:r>
          </w:p>
          <w:p w14:paraId="7E1CE9AE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（3）工作功率：≤1600W</w:t>
            </w:r>
          </w:p>
          <w:p w14:paraId="47CF2F5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（4）预热时间：≤4min</w:t>
            </w:r>
          </w:p>
          <w:p w14:paraId="6D97DAD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（5）油桶容量：≤5L</w:t>
            </w:r>
          </w:p>
          <w:p w14:paraId="324DCB97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（6）DMX-512：√</w:t>
            </w:r>
          </w:p>
          <w:p w14:paraId="143B13CF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（7）无线遥控器：√</w:t>
            </w:r>
          </w:p>
          <w:p w14:paraId="5FFA6E2D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（8）输出大小档位/调节范围：1-100</w:t>
            </w:r>
          </w:p>
          <w:p w14:paraId="5F56924F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（9）最大输出烟量：6000cuft/min</w:t>
            </w:r>
          </w:p>
          <w:p w14:paraId="6B102B1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（10）最大输出耗油量：大约15ml/min</w:t>
            </w:r>
          </w:p>
          <w:p w14:paraId="0EFE5C8B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（11）满载耗材输出时间：大于5h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32E8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7F25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BFD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2A7A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0F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6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BA1E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调光台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8FE05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（1）★≥7个DMX输出/输入，最高可扩展≥65536个通道参数；</w:t>
            </w:r>
          </w:p>
          <w:p w14:paraId="79BA02A9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（2）★内置不少于2个≥15.4英寸触摸屏+1个≥9英寸触摸屏；可外接个触摸显示器1个；</w:t>
            </w:r>
          </w:p>
          <w:p w14:paraId="1D8483D5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（3）★≥15个高精度电动推杆；</w:t>
            </w:r>
          </w:p>
          <w:p w14:paraId="0C4A1AC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（4）A/B场电动推杆；</w:t>
            </w:r>
          </w:p>
          <w:p w14:paraId="3E433B33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（5）★≥1个总控电动推杆；</w:t>
            </w:r>
          </w:p>
          <w:p w14:paraId="0E525295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（6）≥6个耐磨编码器（带Push功能）；</w:t>
            </w:r>
          </w:p>
          <w:p w14:paraId="310E6AFE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（7）≥2个千兆以太网口；</w:t>
            </w:r>
          </w:p>
          <w:p w14:paraId="411A91AC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（8）≥4个USB2.0口；</w:t>
            </w:r>
          </w:p>
          <w:p w14:paraId="791DD94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（9）内置抽屉,内置键盘；</w:t>
            </w:r>
          </w:p>
          <w:p w14:paraId="3D809B7E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（10）MIDI输入输出接口；</w:t>
            </w:r>
          </w:p>
          <w:p w14:paraId="4994AB2C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（11）LTC/SMPTE时间码；</w:t>
            </w:r>
          </w:p>
          <w:p w14:paraId="338F3194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（12）不少于2个LED鹅颈灯插口；</w:t>
            </w:r>
          </w:p>
          <w:p w14:paraId="212A6FE5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（13）内置不间断UPS电源；</w:t>
            </w:r>
          </w:p>
          <w:p w14:paraId="3B7DEA26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（14）★支持中英文两种语言,英文全系统版本可自由切换；</w:t>
            </w:r>
          </w:p>
          <w:p w14:paraId="1B909EB5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（15）支持多台联机备份,支持手持式远程控制，支持舞台3D效果模拟，实时现场模拟；</w:t>
            </w:r>
          </w:p>
          <w:p w14:paraId="567C3F3F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（16）支持DMX512，Artnet，ACN等协议,支持RDM管理；</w:t>
            </w:r>
          </w:p>
          <w:p w14:paraId="2B204DA5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（17）★Linux操作系统，可兼容MA；开机后设备配置可显示正版CPU或GPU。</w:t>
            </w:r>
          </w:p>
          <w:p w14:paraId="3D6E1CEB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）★需提供国家认证认可机构出具的检测报告，CE认证（加盖生产厂家公章）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86A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F65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5CA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  <w:tr w14:paraId="358A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1A7C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7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7AF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其他</w:t>
            </w:r>
          </w:p>
        </w:tc>
        <w:tc>
          <w:tcPr>
            <w:tcW w:w="4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D7CF8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（1）本项目含旧设备拆除；</w:t>
            </w:r>
          </w:p>
          <w:p w14:paraId="42AF3452">
            <w:pPr>
              <w:pStyle w:val="1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（2）★为保证系统最佳匹配，LED染色灯（PAR灯）、成像灯（面光）、电脑图案灯，需为同一品牌。</w:t>
            </w:r>
          </w:p>
        </w:tc>
        <w:tc>
          <w:tcPr>
            <w:tcW w:w="1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2B46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51D5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E8C6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</w:p>
        </w:tc>
      </w:tr>
    </w:tbl>
    <w:p w14:paraId="4A6EEC1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注：1、“偏离情况”填写“正偏离”或“无偏离”或“负偏离”。</w:t>
      </w:r>
    </w:p>
    <w:p w14:paraId="119EE958">
      <w:pPr>
        <w:spacing w:line="360" w:lineRule="auto"/>
        <w:ind w:firstLine="960" w:firstLineChars="400"/>
        <w:jc w:val="both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hAnsi="宋体" w:cs="宋体"/>
          <w:color w:val="auto"/>
          <w:lang w:val="en-US" w:eastAsia="zh-CN"/>
        </w:rPr>
        <w:t>2、“</w:t>
      </w:r>
      <w:r>
        <w:rPr>
          <w:rFonts w:hint="eastAsia"/>
          <w:sz w:val="21"/>
          <w:szCs w:val="21"/>
          <w:lang w:val="en-US" w:eastAsia="zh-CN"/>
        </w:rPr>
        <w:t>★</w:t>
      </w:r>
      <w:r>
        <w:rPr>
          <w:rFonts w:hint="eastAsia" w:hAnsi="宋体" w:cs="宋体"/>
          <w:color w:val="auto"/>
          <w:lang w:val="en-US" w:eastAsia="zh-CN"/>
        </w:rPr>
        <w:t>”项为实质性要求，有一项负偏离，视为无效响应；“</w:t>
      </w:r>
      <w:r>
        <w:rPr>
          <w:rFonts w:hint="eastAsia"/>
          <w:sz w:val="21"/>
          <w:szCs w:val="21"/>
          <w:lang w:val="en-US" w:eastAsia="zh-CN"/>
        </w:rPr>
        <w:t>▲</w:t>
      </w:r>
      <w:r>
        <w:rPr>
          <w:rFonts w:hint="eastAsia" w:hAnsi="宋体" w:cs="宋体"/>
          <w:color w:val="auto"/>
          <w:lang w:val="en-US" w:eastAsia="zh-CN"/>
        </w:rPr>
        <w:t>”项为重要参数，有三项及以上负偏离，视为无效响应。</w:t>
      </w:r>
    </w:p>
    <w:p w14:paraId="18697682">
      <w:p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hAnsi="宋体" w:cs="宋体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4A54F5C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960" w:firstLineChars="400"/>
        <w:jc w:val="both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cs="宋体"/>
          <w:color w:va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lang w:val="en-US" w:eastAsia="zh-CN"/>
        </w:rPr>
        <w:t>、供应商须对谈判文件全部技术参数进行逐条响应。</w:t>
      </w:r>
    </w:p>
    <w:p w14:paraId="62DDCC95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058636C7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1B2308A8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72C6D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hAnsi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5AD5777A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15F35A39">
      <w:pPr>
        <w:spacing w:line="360" w:lineRule="auto"/>
        <w:ind w:right="617" w:rightChars="257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41675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85A18A0"/>
    <w:rsid w:val="089D4136"/>
    <w:rsid w:val="08B82D1E"/>
    <w:rsid w:val="08B938A2"/>
    <w:rsid w:val="09DA6CC4"/>
    <w:rsid w:val="0A424497"/>
    <w:rsid w:val="0A96708F"/>
    <w:rsid w:val="0AF53DB5"/>
    <w:rsid w:val="0B584344"/>
    <w:rsid w:val="0B723658"/>
    <w:rsid w:val="0B7A42BB"/>
    <w:rsid w:val="0CB14010"/>
    <w:rsid w:val="0D740872"/>
    <w:rsid w:val="0E6059EA"/>
    <w:rsid w:val="0EE06B2A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562080"/>
    <w:rsid w:val="17C23271"/>
    <w:rsid w:val="18253800"/>
    <w:rsid w:val="189B3AC2"/>
    <w:rsid w:val="18D70F9E"/>
    <w:rsid w:val="190855FC"/>
    <w:rsid w:val="1CB11B06"/>
    <w:rsid w:val="1DAA6C81"/>
    <w:rsid w:val="1E634292"/>
    <w:rsid w:val="1F2E743E"/>
    <w:rsid w:val="1F417171"/>
    <w:rsid w:val="1F552C1D"/>
    <w:rsid w:val="1FCF6E73"/>
    <w:rsid w:val="208714FC"/>
    <w:rsid w:val="215D400B"/>
    <w:rsid w:val="21747CD2"/>
    <w:rsid w:val="218B0B78"/>
    <w:rsid w:val="21E1189F"/>
    <w:rsid w:val="223905D4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7B626C7"/>
    <w:rsid w:val="28331021"/>
    <w:rsid w:val="28436B45"/>
    <w:rsid w:val="2944442E"/>
    <w:rsid w:val="2A1E3573"/>
    <w:rsid w:val="2A7F3244"/>
    <w:rsid w:val="2AFB4FC0"/>
    <w:rsid w:val="2BC03B14"/>
    <w:rsid w:val="2BFF63EA"/>
    <w:rsid w:val="2CF33A75"/>
    <w:rsid w:val="2D087520"/>
    <w:rsid w:val="2D5A1667"/>
    <w:rsid w:val="2D6B7AAF"/>
    <w:rsid w:val="2DB11B2B"/>
    <w:rsid w:val="2E9574DA"/>
    <w:rsid w:val="2EB07E70"/>
    <w:rsid w:val="2ECF65BB"/>
    <w:rsid w:val="2F01691D"/>
    <w:rsid w:val="2F215257"/>
    <w:rsid w:val="2F561738"/>
    <w:rsid w:val="2F990904"/>
    <w:rsid w:val="30731155"/>
    <w:rsid w:val="309D08C8"/>
    <w:rsid w:val="31CD2AF5"/>
    <w:rsid w:val="32537801"/>
    <w:rsid w:val="328F5FEE"/>
    <w:rsid w:val="32AE2918"/>
    <w:rsid w:val="330E1609"/>
    <w:rsid w:val="33BC2E13"/>
    <w:rsid w:val="33F407FF"/>
    <w:rsid w:val="33F56325"/>
    <w:rsid w:val="346F257B"/>
    <w:rsid w:val="34873421"/>
    <w:rsid w:val="362B4280"/>
    <w:rsid w:val="374B6987"/>
    <w:rsid w:val="37AE5168"/>
    <w:rsid w:val="37DF5322"/>
    <w:rsid w:val="381256F7"/>
    <w:rsid w:val="381C47C8"/>
    <w:rsid w:val="38404012"/>
    <w:rsid w:val="391F4122"/>
    <w:rsid w:val="392576AC"/>
    <w:rsid w:val="395835DE"/>
    <w:rsid w:val="39B76556"/>
    <w:rsid w:val="3A0D6176"/>
    <w:rsid w:val="3A30455A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EE002FD"/>
    <w:rsid w:val="3F5E1222"/>
    <w:rsid w:val="3FAF1A7E"/>
    <w:rsid w:val="41B15F81"/>
    <w:rsid w:val="422624CB"/>
    <w:rsid w:val="42731488"/>
    <w:rsid w:val="42CD0B98"/>
    <w:rsid w:val="43036D5F"/>
    <w:rsid w:val="435E76BD"/>
    <w:rsid w:val="45AA3413"/>
    <w:rsid w:val="46004DE1"/>
    <w:rsid w:val="461E0E93"/>
    <w:rsid w:val="46B856BC"/>
    <w:rsid w:val="472E597E"/>
    <w:rsid w:val="473C62ED"/>
    <w:rsid w:val="47453D36"/>
    <w:rsid w:val="482229A9"/>
    <w:rsid w:val="49496A9F"/>
    <w:rsid w:val="4A7C2835"/>
    <w:rsid w:val="4B307F16"/>
    <w:rsid w:val="4BEA27BB"/>
    <w:rsid w:val="4BF70A34"/>
    <w:rsid w:val="4C2F6420"/>
    <w:rsid w:val="4CD9638C"/>
    <w:rsid w:val="4D9C1893"/>
    <w:rsid w:val="4E9B1B4B"/>
    <w:rsid w:val="4EA824BA"/>
    <w:rsid w:val="4EEC23A6"/>
    <w:rsid w:val="4F74239C"/>
    <w:rsid w:val="51F24178"/>
    <w:rsid w:val="534A1D91"/>
    <w:rsid w:val="545A650B"/>
    <w:rsid w:val="55175CA3"/>
    <w:rsid w:val="557E5D22"/>
    <w:rsid w:val="57B41ECF"/>
    <w:rsid w:val="57FD73D2"/>
    <w:rsid w:val="583077A8"/>
    <w:rsid w:val="58607961"/>
    <w:rsid w:val="58737694"/>
    <w:rsid w:val="5976568E"/>
    <w:rsid w:val="59C75EEA"/>
    <w:rsid w:val="5A371FB4"/>
    <w:rsid w:val="5ADF1011"/>
    <w:rsid w:val="5AE20B01"/>
    <w:rsid w:val="5B687259"/>
    <w:rsid w:val="5D107BA8"/>
    <w:rsid w:val="5E4F2B2E"/>
    <w:rsid w:val="5E6A32E8"/>
    <w:rsid w:val="5E7D301B"/>
    <w:rsid w:val="5EB36A3D"/>
    <w:rsid w:val="5F7C32D2"/>
    <w:rsid w:val="60002155"/>
    <w:rsid w:val="612E4AA0"/>
    <w:rsid w:val="619C4100"/>
    <w:rsid w:val="61CB22EF"/>
    <w:rsid w:val="61D54F1C"/>
    <w:rsid w:val="62685D90"/>
    <w:rsid w:val="63365E8E"/>
    <w:rsid w:val="638C5AAE"/>
    <w:rsid w:val="647C3D75"/>
    <w:rsid w:val="64BB664B"/>
    <w:rsid w:val="64D3590C"/>
    <w:rsid w:val="65A610A9"/>
    <w:rsid w:val="65E971E8"/>
    <w:rsid w:val="66D6776C"/>
    <w:rsid w:val="670D03A2"/>
    <w:rsid w:val="681C1AF7"/>
    <w:rsid w:val="689A0C6D"/>
    <w:rsid w:val="69164798"/>
    <w:rsid w:val="69761744"/>
    <w:rsid w:val="69B813AB"/>
    <w:rsid w:val="6A576E16"/>
    <w:rsid w:val="6AA87672"/>
    <w:rsid w:val="6AB51D8E"/>
    <w:rsid w:val="6C272818"/>
    <w:rsid w:val="6D050DAB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27F33AE"/>
    <w:rsid w:val="73683E42"/>
    <w:rsid w:val="73816CB2"/>
    <w:rsid w:val="73D603C9"/>
    <w:rsid w:val="74AF784E"/>
    <w:rsid w:val="74E474F8"/>
    <w:rsid w:val="75273889"/>
    <w:rsid w:val="75AE7B06"/>
    <w:rsid w:val="7758241F"/>
    <w:rsid w:val="7767212D"/>
    <w:rsid w:val="79442C5B"/>
    <w:rsid w:val="79497B97"/>
    <w:rsid w:val="7A25006E"/>
    <w:rsid w:val="7A4B0019"/>
    <w:rsid w:val="7A5E1AFB"/>
    <w:rsid w:val="7A9730AE"/>
    <w:rsid w:val="7AB73699"/>
    <w:rsid w:val="7AE04C06"/>
    <w:rsid w:val="7C1C3A1B"/>
    <w:rsid w:val="7C1F175E"/>
    <w:rsid w:val="7CCA16C9"/>
    <w:rsid w:val="7CF6426C"/>
    <w:rsid w:val="7D083FA0"/>
    <w:rsid w:val="7DB14637"/>
    <w:rsid w:val="7DC51E91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_Style 7"/>
    <w:basedOn w:val="1"/>
    <w:next w:val="12"/>
    <w:qFormat/>
    <w:uiPriority w:val="34"/>
    <w:pPr>
      <w:ind w:firstLine="420" w:firstLineChars="200"/>
    </w:p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2538</Words>
  <Characters>3027</Characters>
  <Lines>0</Lines>
  <Paragraphs>0</Paragraphs>
  <TotalTime>0</TotalTime>
  <ScaleCrop>false</ScaleCrop>
  <LinksUpToDate>false</LinksUpToDate>
  <CharactersWithSpaces>3089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2025-09-23T09:04:23Z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9DE8D224F80A406C8FA3DE733250ECA4_11</vt:lpwstr>
  </property>
  <property fmtid="{D5CDD505-2E9C-101B-9397-08002B2CF9AE}" pid="4" name="KSOTemplateDocerSaveRecord">
    <vt:lpwstr>eyJoZGlkIjoiODVjOGM0MDkxYzIwNWQzMTBkNDEyMmI3MTFhY2U4OTgifQ==</vt:lpwstr>
  </property>
</Properties>
</file>