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版本号：XAZTBZFCG-2025-02320250826001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文明校园创建环境文化“一环、两轴”建设项目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XAZTBZFCG-2025-023</w:t>
      </w:r>
      <w:r>
        <w:br/>
      </w:r>
      <w:r>
        <w:br/>
      </w:r>
      <w:r>
        <w:br/>
      </w:r>
    </w:p>
    <w:p>
      <w:pPr>
        <w:pStyle w:val="null3"/>
        <w:jc w:val="center"/>
        <w:outlineLvl w:val="2"/>
      </w:pPr>
      <w:r>
        <w:rPr>
          <w:rFonts w:ascii="仿宋_GB2312" w:hAnsi="仿宋_GB2312" w:cs="仿宋_GB2312" w:eastAsia="仿宋_GB2312"/>
          <w:sz w:val="28"/>
          <w:b/>
        </w:rPr>
        <w:t>西安铁路职业技术学院</w:t>
      </w:r>
    </w:p>
    <w:p>
      <w:pPr>
        <w:pStyle w:val="null3"/>
        <w:jc w:val="center"/>
        <w:outlineLvl w:val="2"/>
      </w:pPr>
      <w:r>
        <w:rPr>
          <w:rFonts w:ascii="仿宋_GB2312" w:hAnsi="仿宋_GB2312" w:cs="仿宋_GB2312" w:eastAsia="仿宋_GB2312"/>
          <w:sz w:val="28"/>
          <w:b/>
        </w:rPr>
        <w:t>陕西国铁经营服务有限公司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陕西国铁经营服务有限公司</w:t>
      </w:r>
      <w:r>
        <w:rPr>
          <w:rFonts w:ascii="仿宋_GB2312" w:hAnsi="仿宋_GB2312" w:cs="仿宋_GB2312" w:eastAsia="仿宋_GB2312"/>
        </w:rPr>
        <w:t>（以下简称“代理机构”）受</w:t>
      </w:r>
      <w:r>
        <w:rPr>
          <w:rFonts w:ascii="仿宋_GB2312" w:hAnsi="仿宋_GB2312" w:cs="仿宋_GB2312" w:eastAsia="仿宋_GB2312"/>
        </w:rPr>
        <w:t>西安铁路职业技术学院</w:t>
      </w:r>
      <w:r>
        <w:rPr>
          <w:rFonts w:ascii="仿宋_GB2312" w:hAnsi="仿宋_GB2312" w:cs="仿宋_GB2312" w:eastAsia="仿宋_GB2312"/>
        </w:rPr>
        <w:t>委托，拟对</w:t>
      </w:r>
      <w:r>
        <w:rPr>
          <w:rFonts w:ascii="仿宋_GB2312" w:hAnsi="仿宋_GB2312" w:cs="仿宋_GB2312" w:eastAsia="仿宋_GB2312"/>
        </w:rPr>
        <w:t>文明校园创建环境文化“一环、两轴”建设项目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XAZTBZFCG-2025-023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文明校园创建环境文化“一环、两轴”建设项目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为加强校园环境文化建设，进一步优化学院港务校区“一环两轴四区八景”建设规划，根据学院发展和“全国文明校园”提升巩固需求，对校园环境文化设施进行系统性升级改造需要，包括以下方面。一是学院东门LED大屏至今已使用多年，设备老化、故障频繁，维修成本攀升，屏幕技术水平老旧，无法满足正常使用需要，需升级改造；二是港务校区各教学楼LED滚动屏也存在上述情况，维修成本高且难以达到使用效果，需升级改造；三是学院一站式学生社区成功入选首批全国高校示范“一站式”学生社区，为进一步凸显品牌效应，需在学生社区主干道建设形象门头造型；四是在牵引动力学院一楼大厅建设“铁马精神”文化展厅，宣传二级学院专业特色与院部文化。</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西安铁路职业技术学院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西安市国际港务区港务大道396号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惠敬文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88092228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陕西国铁经营服务有限公司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西安市碑林区友谊东路与兴庆西路十字西北角裙楼二楼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陈彦名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15229267500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采购包1：987,599.00元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说明：名称：西安市财政局预算单位实有资金财政代管账户 开户银行：中国建设银行股份有限公司西安莲湖路支行 银行账号：61001711100052518874-203033 纳税人识别号：12610100437202545W 地址、电话：西安市灞桥区港务大道396号 029-88092201</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向采购代理机构交纳招标代理服务费。采购代理服务费的收取参见国家计委颁布的《招标代理服务费收费管理暂行办法》（计价格[2002]1980号）中货物类的收费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西安铁路职业技术学院</w:t>
      </w:r>
      <w:r>
        <w:rPr>
          <w:rFonts w:ascii="仿宋_GB2312" w:hAnsi="仿宋_GB2312" w:cs="仿宋_GB2312" w:eastAsia="仿宋_GB2312"/>
        </w:rPr>
        <w:t>和</w:t>
      </w:r>
      <w:r>
        <w:rPr>
          <w:rFonts w:ascii="仿宋_GB2312" w:hAnsi="仿宋_GB2312" w:cs="仿宋_GB2312" w:eastAsia="仿宋_GB2312"/>
        </w:rPr>
        <w:t>陕西国铁经营服务有限公司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西安铁路职业技术学院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陕西国铁经营服务有限公司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西安铁路职业技术学院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陕西国铁经营服务有限公司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陕西国铁经营服务有限公司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陕西国铁经营服务有限公司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陕西国铁经营服务有限公司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联系人：陈先生</w:t>
      </w:r>
    </w:p>
    <w:p>
      <w:pPr>
        <w:pStyle w:val="null3"/>
      </w:pPr>
      <w:r>
        <w:rPr>
          <w:rFonts w:ascii="仿宋_GB2312" w:hAnsi="仿宋_GB2312" w:cs="仿宋_GB2312" w:eastAsia="仿宋_GB2312"/>
        </w:rPr>
        <w:t>联系电话：15229267500</w:t>
      </w:r>
    </w:p>
    <w:p>
      <w:pPr>
        <w:pStyle w:val="null3"/>
      </w:pPr>
      <w:r>
        <w:rPr>
          <w:rFonts w:ascii="仿宋_GB2312" w:hAnsi="仿宋_GB2312" w:cs="仿宋_GB2312" w:eastAsia="仿宋_GB2312"/>
        </w:rPr>
        <w:t>地址：西安市碑林区友谊东路与兴庆西路十字西北角裙楼二楼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加强校园环境文化建设，进一步优化学院港务校区“一环两轴四区八景”建设规划，根据学院发展和“全国文明校园”提升巩固需求，对校园环境文化设施进行系统性升级改造需要，包括以下方面。一是学院东门LED大屏至今已使用多年，设备老化、故障频繁，维修成本攀升，屏幕技术水平老旧，无法满足正常使用需要，需升级改造；二是港务校区各教学楼LED滚动屏也存在上述情况，维修成本高且难以达到使用效果，需升级改造；三是学院一站式学生社区成功入选首批全国高校示范“一站式”学生社区，为进一步凸显品牌效应，需在学生社区主干道建设形象门头造型；四是在牵引动力学院一楼大厅建设“铁马精神”文化展厅，宣传二级学院专业特色与院部文化。</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987,599.00</w:t>
      </w:r>
    </w:p>
    <w:p>
      <w:pPr>
        <w:pStyle w:val="null3"/>
      </w:pPr>
      <w:r>
        <w:rPr>
          <w:rFonts w:ascii="仿宋_GB2312" w:hAnsi="仿宋_GB2312" w:cs="仿宋_GB2312" w:eastAsia="仿宋_GB2312"/>
        </w:rPr>
        <w:t>采购包最高限价（元）: 987,599.00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文明校园创建环境文化“一环、两轴”建设项目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987,599.00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标的名称：文明校园创建环境文化“一环、两轴”建设项目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b/>
              </w:rPr>
              <w:t>一、项目概况</w:t>
            </w:r>
          </w:p>
          <w:p>
            <w:pPr>
              <w:pStyle w:val="null3"/>
              <w:ind w:firstLine="560"/>
              <w:jc w:val="both"/>
            </w:pPr>
            <w:r>
              <w:rPr>
                <w:rFonts w:ascii="仿宋_GB2312" w:hAnsi="仿宋_GB2312" w:cs="仿宋_GB2312" w:eastAsia="仿宋_GB2312"/>
                <w:sz w:val="28"/>
              </w:rPr>
              <w:t>为加强校园环境文化建设，进一步优化学院港务校区</w:t>
            </w:r>
            <w:r>
              <w:rPr>
                <w:rFonts w:ascii="仿宋_GB2312" w:hAnsi="仿宋_GB2312" w:cs="仿宋_GB2312" w:eastAsia="仿宋_GB2312"/>
                <w:sz w:val="28"/>
              </w:rPr>
              <w:t>“一环两轴四区八景”建设规划，根据学院发展和“全国文明校园”提升巩固需求，</w:t>
            </w:r>
            <w:r>
              <w:rPr>
                <w:rFonts w:ascii="仿宋_GB2312" w:hAnsi="仿宋_GB2312" w:cs="仿宋_GB2312" w:eastAsia="仿宋_GB2312"/>
                <w:sz w:val="28"/>
              </w:rPr>
              <w:t>对</w:t>
            </w:r>
            <w:r>
              <w:rPr>
                <w:rFonts w:ascii="仿宋_GB2312" w:hAnsi="仿宋_GB2312" w:cs="仿宋_GB2312" w:eastAsia="仿宋_GB2312"/>
                <w:sz w:val="28"/>
              </w:rPr>
              <w:t>校园环境文化设施</w:t>
            </w:r>
            <w:r>
              <w:rPr>
                <w:rFonts w:ascii="仿宋_GB2312" w:hAnsi="仿宋_GB2312" w:cs="仿宋_GB2312" w:eastAsia="仿宋_GB2312"/>
                <w:sz w:val="28"/>
              </w:rPr>
              <w:t>进行</w:t>
            </w:r>
            <w:r>
              <w:rPr>
                <w:rFonts w:ascii="仿宋_GB2312" w:hAnsi="仿宋_GB2312" w:cs="仿宋_GB2312" w:eastAsia="仿宋_GB2312"/>
                <w:sz w:val="28"/>
              </w:rPr>
              <w:t>系统性升级改造需要，</w:t>
            </w:r>
            <w:r>
              <w:rPr>
                <w:rFonts w:ascii="仿宋_GB2312" w:hAnsi="仿宋_GB2312" w:cs="仿宋_GB2312" w:eastAsia="仿宋_GB2312"/>
                <w:sz w:val="28"/>
              </w:rPr>
              <w:t>包括以下方面</w:t>
            </w:r>
            <w:r>
              <w:rPr>
                <w:rFonts w:ascii="仿宋_GB2312" w:hAnsi="仿宋_GB2312" w:cs="仿宋_GB2312" w:eastAsia="仿宋_GB2312"/>
                <w:sz w:val="28"/>
              </w:rPr>
              <w:t>。</w:t>
            </w:r>
            <w:r>
              <w:rPr>
                <w:rFonts w:ascii="仿宋_GB2312" w:hAnsi="仿宋_GB2312" w:cs="仿宋_GB2312" w:eastAsia="仿宋_GB2312"/>
                <w:sz w:val="28"/>
              </w:rPr>
              <w:t>一是学院</w:t>
            </w:r>
            <w:r>
              <w:rPr>
                <w:rFonts w:ascii="仿宋_GB2312" w:hAnsi="仿宋_GB2312" w:cs="仿宋_GB2312" w:eastAsia="仿宋_GB2312"/>
                <w:sz w:val="28"/>
              </w:rPr>
              <w:t>东门</w:t>
            </w:r>
            <w:r>
              <w:rPr>
                <w:rFonts w:ascii="仿宋_GB2312" w:hAnsi="仿宋_GB2312" w:cs="仿宋_GB2312" w:eastAsia="仿宋_GB2312"/>
                <w:sz w:val="28"/>
              </w:rPr>
              <w:t>LED大屏至今已使用多年，设备老化、故障频繁，维修成本攀升，屏幕技术水平老旧，无法满足</w:t>
            </w:r>
            <w:r>
              <w:rPr>
                <w:rFonts w:ascii="仿宋_GB2312" w:hAnsi="仿宋_GB2312" w:cs="仿宋_GB2312" w:eastAsia="仿宋_GB2312"/>
                <w:sz w:val="28"/>
              </w:rPr>
              <w:t>正常使用需要，需升级改造</w:t>
            </w:r>
            <w:r>
              <w:rPr>
                <w:rFonts w:ascii="仿宋_GB2312" w:hAnsi="仿宋_GB2312" w:cs="仿宋_GB2312" w:eastAsia="仿宋_GB2312"/>
                <w:sz w:val="28"/>
              </w:rPr>
              <w:t>；</w:t>
            </w:r>
            <w:r>
              <w:rPr>
                <w:rFonts w:ascii="仿宋_GB2312" w:hAnsi="仿宋_GB2312" w:cs="仿宋_GB2312" w:eastAsia="仿宋_GB2312"/>
                <w:sz w:val="28"/>
              </w:rPr>
              <w:t>二是港务校区</w:t>
            </w:r>
            <w:r>
              <w:rPr>
                <w:rFonts w:ascii="仿宋_GB2312" w:hAnsi="仿宋_GB2312" w:cs="仿宋_GB2312" w:eastAsia="仿宋_GB2312"/>
                <w:sz w:val="28"/>
              </w:rPr>
              <w:t>各教学楼</w:t>
            </w:r>
            <w:r>
              <w:rPr>
                <w:rFonts w:ascii="仿宋_GB2312" w:hAnsi="仿宋_GB2312" w:cs="仿宋_GB2312" w:eastAsia="仿宋_GB2312"/>
                <w:sz w:val="28"/>
              </w:rPr>
              <w:t>LED滚动屏也存在</w:t>
            </w:r>
            <w:r>
              <w:rPr>
                <w:rFonts w:ascii="仿宋_GB2312" w:hAnsi="仿宋_GB2312" w:cs="仿宋_GB2312" w:eastAsia="仿宋_GB2312"/>
                <w:sz w:val="28"/>
              </w:rPr>
              <w:t>上述</w:t>
            </w:r>
            <w:r>
              <w:rPr>
                <w:rFonts w:ascii="仿宋_GB2312" w:hAnsi="仿宋_GB2312" w:cs="仿宋_GB2312" w:eastAsia="仿宋_GB2312"/>
                <w:sz w:val="28"/>
              </w:rPr>
              <w:t>情况，维修成本高且难以达到使用效果，</w:t>
            </w:r>
            <w:r>
              <w:rPr>
                <w:rFonts w:ascii="仿宋_GB2312" w:hAnsi="仿宋_GB2312" w:cs="仿宋_GB2312" w:eastAsia="仿宋_GB2312"/>
                <w:sz w:val="28"/>
              </w:rPr>
              <w:t>需</w:t>
            </w:r>
            <w:r>
              <w:rPr>
                <w:rFonts w:ascii="仿宋_GB2312" w:hAnsi="仿宋_GB2312" w:cs="仿宋_GB2312" w:eastAsia="仿宋_GB2312"/>
                <w:sz w:val="28"/>
              </w:rPr>
              <w:t>升级</w:t>
            </w:r>
            <w:r>
              <w:rPr>
                <w:rFonts w:ascii="仿宋_GB2312" w:hAnsi="仿宋_GB2312" w:cs="仿宋_GB2312" w:eastAsia="仿宋_GB2312"/>
                <w:sz w:val="28"/>
              </w:rPr>
              <w:t>改造</w:t>
            </w:r>
            <w:r>
              <w:rPr>
                <w:rFonts w:ascii="仿宋_GB2312" w:hAnsi="仿宋_GB2312" w:cs="仿宋_GB2312" w:eastAsia="仿宋_GB2312"/>
                <w:sz w:val="28"/>
              </w:rPr>
              <w:t>；</w:t>
            </w:r>
            <w:r>
              <w:rPr>
                <w:rFonts w:ascii="仿宋_GB2312" w:hAnsi="仿宋_GB2312" w:cs="仿宋_GB2312" w:eastAsia="仿宋_GB2312"/>
                <w:sz w:val="28"/>
              </w:rPr>
              <w:t>三是</w:t>
            </w:r>
            <w:r>
              <w:rPr>
                <w:rFonts w:ascii="仿宋_GB2312" w:hAnsi="仿宋_GB2312" w:cs="仿宋_GB2312" w:eastAsia="仿宋_GB2312"/>
                <w:sz w:val="28"/>
              </w:rPr>
              <w:t>学院一站式学生社区成功入选首批全国高校示范</w:t>
            </w:r>
            <w:r>
              <w:rPr>
                <w:rFonts w:ascii="仿宋_GB2312" w:hAnsi="仿宋_GB2312" w:cs="仿宋_GB2312" w:eastAsia="仿宋_GB2312"/>
                <w:sz w:val="28"/>
              </w:rPr>
              <w:t>“一站式”学生社区，为进一步凸显品牌效应，</w:t>
            </w:r>
            <w:r>
              <w:rPr>
                <w:rFonts w:ascii="仿宋_GB2312" w:hAnsi="仿宋_GB2312" w:cs="仿宋_GB2312" w:eastAsia="仿宋_GB2312"/>
                <w:sz w:val="28"/>
              </w:rPr>
              <w:t>需</w:t>
            </w:r>
            <w:r>
              <w:rPr>
                <w:rFonts w:ascii="仿宋_GB2312" w:hAnsi="仿宋_GB2312" w:cs="仿宋_GB2312" w:eastAsia="仿宋_GB2312"/>
                <w:sz w:val="28"/>
              </w:rPr>
              <w:t>在学生社区主干道建设</w:t>
            </w:r>
            <w:r>
              <w:rPr>
                <w:rFonts w:ascii="仿宋_GB2312" w:hAnsi="仿宋_GB2312" w:cs="仿宋_GB2312" w:eastAsia="仿宋_GB2312"/>
                <w:sz w:val="28"/>
              </w:rPr>
              <w:t>形象门头造型</w:t>
            </w:r>
            <w:r>
              <w:rPr>
                <w:rFonts w:ascii="仿宋_GB2312" w:hAnsi="仿宋_GB2312" w:cs="仿宋_GB2312" w:eastAsia="仿宋_GB2312"/>
                <w:sz w:val="28"/>
              </w:rPr>
              <w:t>；</w:t>
            </w:r>
            <w:r>
              <w:rPr>
                <w:rFonts w:ascii="仿宋_GB2312" w:hAnsi="仿宋_GB2312" w:cs="仿宋_GB2312" w:eastAsia="仿宋_GB2312"/>
                <w:sz w:val="28"/>
              </w:rPr>
              <w:t>四是在</w:t>
            </w:r>
            <w:r>
              <w:rPr>
                <w:rFonts w:ascii="仿宋_GB2312" w:hAnsi="仿宋_GB2312" w:cs="仿宋_GB2312" w:eastAsia="仿宋_GB2312"/>
                <w:sz w:val="28"/>
              </w:rPr>
              <w:t>牵引动力学院一楼大厅建设</w:t>
            </w:r>
            <w:r>
              <w:rPr>
                <w:rFonts w:ascii="仿宋_GB2312" w:hAnsi="仿宋_GB2312" w:cs="仿宋_GB2312" w:eastAsia="仿宋_GB2312"/>
                <w:sz w:val="28"/>
              </w:rPr>
              <w:t>“铁马精神”文化</w:t>
            </w:r>
            <w:r>
              <w:rPr>
                <w:rFonts w:ascii="仿宋_GB2312" w:hAnsi="仿宋_GB2312" w:cs="仿宋_GB2312" w:eastAsia="仿宋_GB2312"/>
                <w:sz w:val="28"/>
              </w:rPr>
              <w:t>展厅</w:t>
            </w:r>
            <w:r>
              <w:rPr>
                <w:rFonts w:ascii="仿宋_GB2312" w:hAnsi="仿宋_GB2312" w:cs="仿宋_GB2312" w:eastAsia="仿宋_GB2312"/>
                <w:sz w:val="28"/>
              </w:rPr>
              <w:t>，</w:t>
            </w:r>
            <w:r>
              <w:rPr>
                <w:rFonts w:ascii="仿宋_GB2312" w:hAnsi="仿宋_GB2312" w:cs="仿宋_GB2312" w:eastAsia="仿宋_GB2312"/>
                <w:sz w:val="28"/>
              </w:rPr>
              <w:t>宣传二级学院专业特色与院部文化</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b/>
              </w:rPr>
              <w:t>二、采购内容</w:t>
            </w:r>
            <w:r>
              <w:rPr>
                <w:rFonts w:ascii="仿宋_GB2312" w:hAnsi="仿宋_GB2312" w:cs="仿宋_GB2312" w:eastAsia="仿宋_GB2312"/>
                <w:sz w:val="28"/>
                <w:b/>
              </w:rPr>
              <w:t>（包括采购品目</w:t>
            </w:r>
            <w:r>
              <w:rPr>
                <w:rFonts w:ascii="仿宋_GB2312" w:hAnsi="仿宋_GB2312" w:cs="仿宋_GB2312" w:eastAsia="仿宋_GB2312"/>
                <w:sz w:val="28"/>
                <w:b/>
              </w:rPr>
              <w:t>、规格和数量）</w:t>
            </w:r>
          </w:p>
          <w:p>
            <w:pPr>
              <w:pStyle w:val="null3"/>
              <w:ind w:firstLine="560"/>
              <w:jc w:val="both"/>
            </w:pPr>
            <w:r>
              <w:rPr>
                <w:rFonts w:ascii="仿宋_GB2312" w:hAnsi="仿宋_GB2312" w:cs="仿宋_GB2312" w:eastAsia="仿宋_GB2312"/>
                <w:sz w:val="28"/>
              </w:rPr>
              <w:t>（一）户外</w:t>
            </w:r>
            <w:r>
              <w:rPr>
                <w:rFonts w:ascii="仿宋_GB2312" w:hAnsi="仿宋_GB2312" w:cs="仿宋_GB2312" w:eastAsia="仿宋_GB2312"/>
                <w:sz w:val="28"/>
              </w:rPr>
              <w:t>LED大屏1处，含屏体、双立柱、屏体钢架结构、配套设备，包括</w:t>
            </w:r>
            <w:r>
              <w:rPr>
                <w:rFonts w:ascii="仿宋_GB2312" w:hAnsi="仿宋_GB2312" w:cs="仿宋_GB2312" w:eastAsia="仿宋_GB2312"/>
                <w:sz w:val="28"/>
              </w:rPr>
              <w:t>原大屏拆除运输装卸至学校指定位置</w:t>
            </w:r>
            <w:r>
              <w:rPr>
                <w:rFonts w:ascii="仿宋_GB2312" w:hAnsi="仿宋_GB2312" w:cs="仿宋_GB2312" w:eastAsia="仿宋_GB2312"/>
                <w:sz w:val="28"/>
              </w:rPr>
              <w:t>、各类线缆</w:t>
            </w:r>
            <w:r>
              <w:rPr>
                <w:rFonts w:ascii="仿宋_GB2312" w:hAnsi="仿宋_GB2312" w:cs="仿宋_GB2312" w:eastAsia="仿宋_GB2312"/>
                <w:sz w:val="28"/>
              </w:rPr>
              <w:t>含主电缆</w:t>
            </w:r>
            <w:r>
              <w:rPr>
                <w:rFonts w:ascii="仿宋_GB2312" w:hAnsi="仿宋_GB2312" w:cs="仿宋_GB2312" w:eastAsia="仿宋_GB2312"/>
                <w:sz w:val="28"/>
              </w:rPr>
              <w:t>、控制设备、计算机（满足信创要求）、散热空调、</w:t>
            </w:r>
            <w:r>
              <w:rPr>
                <w:rFonts w:ascii="仿宋_GB2312" w:hAnsi="仿宋_GB2312" w:cs="仿宋_GB2312" w:eastAsia="仿宋_GB2312"/>
                <w:sz w:val="28"/>
              </w:rPr>
              <w:t>功放</w:t>
            </w:r>
            <w:r>
              <w:rPr>
                <w:rFonts w:ascii="仿宋_GB2312" w:hAnsi="仿宋_GB2312" w:cs="仿宋_GB2312" w:eastAsia="仿宋_GB2312"/>
                <w:sz w:val="28"/>
              </w:rPr>
              <w:t>音响等，及屏体安装、调试和工程施工，包括基础施工、线缆铺设、绿植迁移、</w:t>
            </w:r>
            <w:r>
              <w:rPr>
                <w:rFonts w:ascii="仿宋_GB2312" w:hAnsi="仿宋_GB2312" w:cs="仿宋_GB2312" w:eastAsia="仿宋_GB2312"/>
                <w:sz w:val="28"/>
              </w:rPr>
              <w:t>花坛地面修复</w:t>
            </w:r>
            <w:r>
              <w:rPr>
                <w:rFonts w:ascii="仿宋_GB2312" w:hAnsi="仿宋_GB2312" w:cs="仿宋_GB2312" w:eastAsia="仿宋_GB2312"/>
                <w:sz w:val="28"/>
              </w:rPr>
              <w:t>、控制室翻新等。</w:t>
            </w:r>
          </w:p>
          <w:p>
            <w:pPr>
              <w:pStyle w:val="null3"/>
              <w:ind w:firstLine="560"/>
              <w:jc w:val="both"/>
            </w:pPr>
            <w:r>
              <w:rPr>
                <w:rFonts w:ascii="仿宋_GB2312" w:hAnsi="仿宋_GB2312" w:cs="仿宋_GB2312" w:eastAsia="仿宋_GB2312"/>
                <w:sz w:val="28"/>
              </w:rPr>
              <w:t>（二）教学楼</w:t>
            </w:r>
            <w:r>
              <w:rPr>
                <w:rFonts w:ascii="仿宋_GB2312" w:hAnsi="仿宋_GB2312" w:cs="仿宋_GB2312" w:eastAsia="仿宋_GB2312"/>
                <w:sz w:val="28"/>
              </w:rPr>
              <w:t>LED滚动屏3处，含屏体、框架、线缆、控制设备及安装等。</w:t>
            </w:r>
          </w:p>
          <w:p>
            <w:pPr>
              <w:pStyle w:val="null3"/>
              <w:ind w:firstLine="560"/>
              <w:jc w:val="both"/>
            </w:pPr>
            <w:r>
              <w:rPr>
                <w:rFonts w:ascii="仿宋_GB2312" w:hAnsi="仿宋_GB2312" w:cs="仿宋_GB2312" w:eastAsia="仿宋_GB2312"/>
                <w:sz w:val="28"/>
              </w:rPr>
              <w:t>（三）牵引动力学院一楼</w:t>
            </w:r>
            <w:r>
              <w:rPr>
                <w:rFonts w:ascii="仿宋_GB2312" w:hAnsi="仿宋_GB2312" w:cs="仿宋_GB2312" w:eastAsia="仿宋_GB2312"/>
                <w:sz w:val="28"/>
              </w:rPr>
              <w:t>“铁马精神”文化展厅：含墙面基础施工、装饰面板、设计安装、照明等。</w:t>
            </w:r>
          </w:p>
          <w:p>
            <w:pPr>
              <w:pStyle w:val="null3"/>
              <w:ind w:firstLine="560"/>
              <w:jc w:val="both"/>
            </w:pPr>
            <w:r>
              <w:rPr>
                <w:rFonts w:ascii="仿宋_GB2312" w:hAnsi="仿宋_GB2312" w:cs="仿宋_GB2312" w:eastAsia="仿宋_GB2312"/>
                <w:sz w:val="28"/>
              </w:rPr>
              <w:t>（四）学生社区门头造型：含基础施工、铁艺制作、设计安装等。</w:t>
            </w:r>
          </w:p>
          <w:p>
            <w:pPr>
              <w:pStyle w:val="null3"/>
              <w:ind w:firstLine="560"/>
              <w:jc w:val="both"/>
            </w:pPr>
            <w:r>
              <w:rPr>
                <w:rFonts w:ascii="仿宋_GB2312" w:hAnsi="仿宋_GB2312" w:cs="仿宋_GB2312" w:eastAsia="仿宋_GB2312"/>
                <w:sz w:val="28"/>
                <w:b/>
              </w:rPr>
              <w:t>三、技术要求（包括对产品的认证、检验报告等）</w:t>
            </w:r>
          </w:p>
          <w:p>
            <w:pPr>
              <w:pStyle w:val="null3"/>
              <w:ind w:firstLine="560"/>
              <w:jc w:val="both"/>
            </w:pPr>
            <w:r>
              <w:rPr>
                <w:rFonts w:ascii="仿宋_GB2312" w:hAnsi="仿宋_GB2312" w:cs="仿宋_GB2312" w:eastAsia="仿宋_GB2312"/>
                <w:sz w:val="28"/>
                <w:b/>
              </w:rPr>
              <w:t>响应单位须满足以下全部技术及参数要求。</w:t>
            </w:r>
          </w:p>
          <w:p>
            <w:pPr>
              <w:pStyle w:val="null3"/>
              <w:ind w:firstLine="560"/>
              <w:jc w:val="both"/>
            </w:pPr>
            <w:r>
              <w:rPr>
                <w:rFonts w:ascii="仿宋_GB2312" w:hAnsi="仿宋_GB2312" w:cs="仿宋_GB2312" w:eastAsia="仿宋_GB2312"/>
                <w:sz w:val="28"/>
                <w:b/>
              </w:rPr>
              <w:t>1.户外大屏：</w:t>
            </w:r>
          </w:p>
          <w:p>
            <w:pPr>
              <w:pStyle w:val="null3"/>
              <w:ind w:firstLine="840"/>
              <w:jc w:val="both"/>
            </w:pPr>
            <w:r>
              <w:rPr>
                <w:rFonts w:ascii="仿宋_GB2312" w:hAnsi="仿宋_GB2312" w:cs="仿宋_GB2312" w:eastAsia="仿宋_GB2312"/>
                <w:sz w:val="28"/>
              </w:rPr>
              <w:t>1.</w:t>
            </w:r>
            <w:r>
              <w:rPr>
                <w:rFonts w:ascii="仿宋_GB2312" w:hAnsi="仿宋_GB2312" w:cs="仿宋_GB2312" w:eastAsia="仿宋_GB2312"/>
                <w:sz w:val="28"/>
              </w:rPr>
              <w:t>1、屏幕分辨率≥2880*1600，像素间距：≤4mm</w:t>
            </w:r>
          </w:p>
          <w:p>
            <w:pPr>
              <w:pStyle w:val="null3"/>
              <w:ind w:firstLine="840"/>
              <w:jc w:val="both"/>
            </w:pPr>
            <w:r>
              <w:rPr>
                <w:rFonts w:ascii="仿宋_GB2312" w:hAnsi="仿宋_GB2312" w:cs="仿宋_GB2312" w:eastAsia="仿宋_GB2312"/>
                <w:sz w:val="28"/>
              </w:rPr>
              <w:t>1.</w:t>
            </w:r>
            <w:r>
              <w:rPr>
                <w:rFonts w:ascii="仿宋_GB2312" w:hAnsi="仿宋_GB2312" w:cs="仿宋_GB2312" w:eastAsia="仿宋_GB2312"/>
                <w:sz w:val="28"/>
              </w:rPr>
              <w:t>2、像素间距：≤4mm；模组尺寸：320*160（mm）；模组分辨率：≥80*40点；像素密度：≥62500点/ m²</w:t>
            </w:r>
            <w:r>
              <w:rPr>
                <w:rFonts w:ascii="仿宋_GB2312" w:hAnsi="仿宋_GB2312" w:cs="仿宋_GB2312" w:eastAsia="仿宋_GB2312"/>
                <w:sz w:val="28"/>
              </w:rPr>
              <w:t>；</w:t>
            </w:r>
          </w:p>
          <w:p>
            <w:pPr>
              <w:pStyle w:val="null3"/>
              <w:ind w:firstLine="840"/>
              <w:jc w:val="both"/>
            </w:pPr>
            <w:r>
              <w:rPr>
                <w:rFonts w:ascii="仿宋_GB2312" w:hAnsi="仿宋_GB2312" w:cs="仿宋_GB2312" w:eastAsia="仿宋_GB2312"/>
                <w:sz w:val="28"/>
              </w:rPr>
              <w:t>1.</w:t>
            </w:r>
            <w:r>
              <w:rPr>
                <w:rFonts w:ascii="仿宋_GB2312" w:hAnsi="仿宋_GB2312" w:cs="仿宋_GB2312" w:eastAsia="仿宋_GB2312"/>
                <w:sz w:val="28"/>
              </w:rPr>
              <w:t>3、对比度：≥10000∶1；刷新率：≥3800Hz；亮度均匀性≥99%；色度均匀性±0.002 (Cx, Cy之内)；最大亮度≥5500nits，支持0</w:t>
            </w:r>
            <w:r>
              <w:rPr>
                <w:rFonts w:ascii="仿宋_GB2312" w:hAnsi="仿宋_GB2312" w:cs="仿宋_GB2312" w:eastAsia="仿宋_GB2312"/>
                <w:sz w:val="28"/>
              </w:rPr>
              <w:t>%～</w:t>
            </w:r>
            <w:r>
              <w:rPr>
                <w:rFonts w:ascii="仿宋_GB2312" w:hAnsi="仿宋_GB2312" w:cs="仿宋_GB2312" w:eastAsia="仿宋_GB2312"/>
                <w:sz w:val="28"/>
              </w:rPr>
              <w:t>100%无极可调</w:t>
            </w:r>
            <w:r>
              <w:rPr>
                <w:rFonts w:ascii="仿宋_GB2312" w:hAnsi="仿宋_GB2312" w:cs="仿宋_GB2312" w:eastAsia="仿宋_GB2312"/>
                <w:sz w:val="28"/>
                <w:b/>
              </w:rPr>
              <w:t>（提供封面具备</w:t>
            </w:r>
            <w:r>
              <w:rPr>
                <w:rFonts w:ascii="仿宋_GB2312" w:hAnsi="仿宋_GB2312" w:cs="仿宋_GB2312" w:eastAsia="仿宋_GB2312"/>
                <w:sz w:val="28"/>
                <w:b/>
              </w:rPr>
              <w:t>CMA、CNAS标识的第三方检测机构出具的检测报告复印件并盖公章）</w:t>
            </w:r>
            <w:r>
              <w:rPr>
                <w:rFonts w:ascii="仿宋_GB2312" w:hAnsi="仿宋_GB2312" w:cs="仿宋_GB2312" w:eastAsia="仿宋_GB2312"/>
                <w:sz w:val="28"/>
                <w:b/>
              </w:rPr>
              <w:t>；</w:t>
            </w:r>
          </w:p>
          <w:p>
            <w:pPr>
              <w:pStyle w:val="null3"/>
              <w:ind w:firstLine="840"/>
              <w:jc w:val="both"/>
            </w:pPr>
            <w:r>
              <w:rPr>
                <w:rFonts w:ascii="仿宋_GB2312" w:hAnsi="仿宋_GB2312" w:cs="仿宋_GB2312" w:eastAsia="仿宋_GB2312"/>
                <w:sz w:val="28"/>
              </w:rPr>
              <w:t>1.</w:t>
            </w:r>
            <w:r>
              <w:rPr>
                <w:rFonts w:ascii="仿宋_GB2312" w:hAnsi="仿宋_GB2312" w:cs="仿宋_GB2312" w:eastAsia="仿宋_GB2312"/>
                <w:sz w:val="28"/>
              </w:rPr>
              <w:t>4、平均功耗≤400W/㎡，峰值功耗≤800W/㎡</w:t>
            </w:r>
            <w:r>
              <w:rPr>
                <w:rFonts w:ascii="仿宋_GB2312" w:hAnsi="仿宋_GB2312" w:cs="仿宋_GB2312" w:eastAsia="仿宋_GB2312"/>
                <w:sz w:val="28"/>
                <w:b/>
              </w:rPr>
              <w:t>（提供封面具备</w:t>
            </w:r>
            <w:r>
              <w:rPr>
                <w:rFonts w:ascii="仿宋_GB2312" w:hAnsi="仿宋_GB2312" w:cs="仿宋_GB2312" w:eastAsia="仿宋_GB2312"/>
                <w:sz w:val="28"/>
                <w:b/>
              </w:rPr>
              <w:t>CMA、CNAS标识的第三方检测机构出具的检测报告复印件并盖公章）</w:t>
            </w:r>
            <w:r>
              <w:rPr>
                <w:rFonts w:ascii="仿宋_GB2312" w:hAnsi="仿宋_GB2312" w:cs="仿宋_GB2312" w:eastAsia="仿宋_GB2312"/>
              </w:rPr>
              <w:t xml:space="preserve"> </w:t>
            </w:r>
            <w:r>
              <w:rPr>
                <w:rFonts w:ascii="仿宋_GB2312" w:hAnsi="仿宋_GB2312" w:cs="仿宋_GB2312" w:eastAsia="仿宋_GB2312"/>
                <w:sz w:val="28"/>
              </w:rPr>
              <w:t>；</w:t>
            </w:r>
          </w:p>
          <w:p>
            <w:pPr>
              <w:pStyle w:val="null3"/>
              <w:ind w:firstLine="840"/>
              <w:jc w:val="both"/>
            </w:pPr>
            <w:r>
              <w:rPr>
                <w:rFonts w:ascii="仿宋_GB2312" w:hAnsi="仿宋_GB2312" w:cs="仿宋_GB2312" w:eastAsia="仿宋_GB2312"/>
                <w:sz w:val="28"/>
              </w:rPr>
              <w:t>1.</w:t>
            </w:r>
            <w:r>
              <w:rPr>
                <w:rFonts w:ascii="仿宋_GB2312" w:hAnsi="仿宋_GB2312" w:cs="仿宋_GB2312" w:eastAsia="仿宋_GB2312"/>
                <w:sz w:val="28"/>
              </w:rPr>
              <w:t>5、灰度等级：≥14bit，且支持在不同亮度情况下任意设置</w:t>
            </w:r>
            <w:r>
              <w:rPr>
                <w:rFonts w:ascii="仿宋_GB2312" w:hAnsi="仿宋_GB2312" w:cs="仿宋_GB2312" w:eastAsia="仿宋_GB2312"/>
                <w:sz w:val="28"/>
              </w:rPr>
              <w:t>；</w:t>
            </w:r>
          </w:p>
          <w:p>
            <w:pPr>
              <w:pStyle w:val="null3"/>
              <w:ind w:firstLine="840"/>
              <w:jc w:val="both"/>
            </w:pPr>
            <w:r>
              <w:rPr>
                <w:rFonts w:ascii="仿宋_GB2312" w:hAnsi="仿宋_GB2312" w:cs="仿宋_GB2312" w:eastAsia="仿宋_GB2312"/>
                <w:sz w:val="28"/>
              </w:rPr>
              <w:t>1.</w:t>
            </w:r>
            <w:r>
              <w:rPr>
                <w:rFonts w:ascii="仿宋_GB2312" w:hAnsi="仿宋_GB2312" w:cs="仿宋_GB2312" w:eastAsia="仿宋_GB2312"/>
                <w:sz w:val="28"/>
              </w:rPr>
              <w:t>6、屏体色温：不小于1000K</w:t>
            </w:r>
            <w:r>
              <w:rPr>
                <w:rFonts w:ascii="仿宋_GB2312" w:hAnsi="仿宋_GB2312" w:cs="仿宋_GB2312" w:eastAsia="仿宋_GB2312"/>
                <w:sz w:val="28"/>
              </w:rPr>
              <w:t>～</w:t>
            </w:r>
            <w:r>
              <w:rPr>
                <w:rFonts w:ascii="仿宋_GB2312" w:hAnsi="仿宋_GB2312" w:cs="仿宋_GB2312" w:eastAsia="仿宋_GB2312"/>
                <w:sz w:val="28"/>
              </w:rPr>
              <w:t>11000K的范围可调</w:t>
            </w:r>
            <w:r>
              <w:rPr>
                <w:rFonts w:ascii="仿宋_GB2312" w:hAnsi="仿宋_GB2312" w:cs="仿宋_GB2312" w:eastAsia="仿宋_GB2312"/>
                <w:sz w:val="28"/>
                <w:b/>
              </w:rPr>
              <w:t>（提供封面具备</w:t>
            </w:r>
            <w:r>
              <w:rPr>
                <w:rFonts w:ascii="仿宋_GB2312" w:hAnsi="仿宋_GB2312" w:cs="仿宋_GB2312" w:eastAsia="仿宋_GB2312"/>
                <w:sz w:val="28"/>
                <w:b/>
              </w:rPr>
              <w:t>CMA、CNAS标识的第三方检测机构出具的检测报告复印件并盖公章）</w:t>
            </w:r>
            <w:r>
              <w:rPr>
                <w:rFonts w:ascii="仿宋_GB2312" w:hAnsi="仿宋_GB2312" w:cs="仿宋_GB2312" w:eastAsia="仿宋_GB2312"/>
                <w:sz w:val="28"/>
                <w:b/>
              </w:rPr>
              <w:t>；</w:t>
            </w:r>
          </w:p>
          <w:p>
            <w:pPr>
              <w:pStyle w:val="null3"/>
              <w:ind w:firstLine="840"/>
              <w:jc w:val="both"/>
            </w:pPr>
            <w:r>
              <w:rPr>
                <w:rFonts w:ascii="仿宋_GB2312" w:hAnsi="仿宋_GB2312" w:cs="仿宋_GB2312" w:eastAsia="仿宋_GB2312"/>
                <w:sz w:val="28"/>
              </w:rPr>
              <w:t>1.</w:t>
            </w:r>
            <w:r>
              <w:rPr>
                <w:rFonts w:ascii="仿宋_GB2312" w:hAnsi="仿宋_GB2312" w:cs="仿宋_GB2312" w:eastAsia="仿宋_GB2312"/>
                <w:sz w:val="28"/>
              </w:rPr>
              <w:t>7、整屏平整度：≤0.2mm/㎡</w:t>
            </w:r>
            <w:r>
              <w:rPr>
                <w:rFonts w:ascii="仿宋_GB2312" w:hAnsi="仿宋_GB2312" w:cs="仿宋_GB2312" w:eastAsia="仿宋_GB2312"/>
                <w:sz w:val="28"/>
                <w:b/>
              </w:rPr>
              <w:t>（提供封面具备</w:t>
            </w:r>
            <w:r>
              <w:rPr>
                <w:rFonts w:ascii="仿宋_GB2312" w:hAnsi="仿宋_GB2312" w:cs="仿宋_GB2312" w:eastAsia="仿宋_GB2312"/>
                <w:sz w:val="28"/>
                <w:b/>
              </w:rPr>
              <w:t>CMA、CNAS标识的第三方检测机构出具的检测报告复印件并盖公章）</w:t>
            </w:r>
            <w:r>
              <w:rPr>
                <w:rFonts w:ascii="仿宋_GB2312" w:hAnsi="仿宋_GB2312" w:cs="仿宋_GB2312" w:eastAsia="仿宋_GB2312"/>
                <w:sz w:val="28"/>
                <w:b/>
              </w:rPr>
              <w:t>；</w:t>
            </w:r>
          </w:p>
          <w:p>
            <w:pPr>
              <w:pStyle w:val="null3"/>
              <w:ind w:firstLine="840"/>
              <w:jc w:val="both"/>
            </w:pPr>
            <w:r>
              <w:rPr>
                <w:rFonts w:ascii="仿宋_GB2312" w:hAnsi="仿宋_GB2312" w:cs="仿宋_GB2312" w:eastAsia="仿宋_GB2312"/>
                <w:sz w:val="28"/>
              </w:rPr>
              <w:t>1.</w:t>
            </w:r>
            <w:r>
              <w:rPr>
                <w:rFonts w:ascii="仿宋_GB2312" w:hAnsi="仿宋_GB2312" w:cs="仿宋_GB2312" w:eastAsia="仿宋_GB2312"/>
                <w:sz w:val="28"/>
              </w:rPr>
              <w:t>8、工作环境：支持-20℃~60℃环境温度下正常运行；支持10%</w:t>
            </w:r>
            <w:r>
              <w:rPr>
                <w:rFonts w:ascii="仿宋_GB2312" w:hAnsi="仿宋_GB2312" w:cs="仿宋_GB2312" w:eastAsia="仿宋_GB2312"/>
                <w:sz w:val="28"/>
              </w:rPr>
              <w:t>～</w:t>
            </w:r>
            <w:r>
              <w:rPr>
                <w:rFonts w:ascii="仿宋_GB2312" w:hAnsi="仿宋_GB2312" w:cs="仿宋_GB2312" w:eastAsia="仿宋_GB2312"/>
                <w:sz w:val="28"/>
              </w:rPr>
              <w:t>85%环境湿度下正常运行无凝露</w:t>
            </w:r>
            <w:r>
              <w:rPr>
                <w:rFonts w:ascii="仿宋_GB2312" w:hAnsi="仿宋_GB2312" w:cs="仿宋_GB2312" w:eastAsia="仿宋_GB2312"/>
                <w:sz w:val="28"/>
                <w:b/>
              </w:rPr>
              <w:t>（提供封面具备</w:t>
            </w:r>
            <w:r>
              <w:rPr>
                <w:rFonts w:ascii="仿宋_GB2312" w:hAnsi="仿宋_GB2312" w:cs="仿宋_GB2312" w:eastAsia="仿宋_GB2312"/>
                <w:sz w:val="28"/>
                <w:b/>
              </w:rPr>
              <w:t>CMA、CNAS标识的第三方检测机构出具的检测报告复印件并盖公章）</w:t>
            </w:r>
            <w:r>
              <w:rPr>
                <w:rFonts w:ascii="仿宋_GB2312" w:hAnsi="仿宋_GB2312" w:cs="仿宋_GB2312" w:eastAsia="仿宋_GB2312"/>
              </w:rPr>
              <w:t xml:space="preserve">  </w:t>
            </w:r>
            <w:r>
              <w:rPr>
                <w:rFonts w:ascii="仿宋_GB2312" w:hAnsi="仿宋_GB2312" w:cs="仿宋_GB2312" w:eastAsia="仿宋_GB2312"/>
                <w:sz w:val="28"/>
              </w:rPr>
              <w:t>；</w:t>
            </w:r>
          </w:p>
          <w:p>
            <w:pPr>
              <w:pStyle w:val="null3"/>
              <w:ind w:firstLine="840"/>
              <w:jc w:val="both"/>
            </w:pPr>
            <w:r>
              <w:rPr>
                <w:rFonts w:ascii="仿宋_GB2312" w:hAnsi="仿宋_GB2312" w:cs="仿宋_GB2312" w:eastAsia="仿宋_GB2312"/>
                <w:sz w:val="28"/>
              </w:rPr>
              <w:t>1.</w:t>
            </w:r>
            <w:r>
              <w:rPr>
                <w:rFonts w:ascii="仿宋_GB2312" w:hAnsi="仿宋_GB2312" w:cs="仿宋_GB2312" w:eastAsia="仿宋_GB2312"/>
                <w:sz w:val="28"/>
              </w:rPr>
              <w:t>9、盲点率：≤0.0001</w:t>
            </w:r>
            <w:r>
              <w:rPr>
                <w:rFonts w:ascii="仿宋_GB2312" w:hAnsi="仿宋_GB2312" w:cs="仿宋_GB2312" w:eastAsia="仿宋_GB2312"/>
                <w:sz w:val="28"/>
                <w:b/>
              </w:rPr>
              <w:t>（提供封面具备</w:t>
            </w:r>
            <w:r>
              <w:rPr>
                <w:rFonts w:ascii="仿宋_GB2312" w:hAnsi="仿宋_GB2312" w:cs="仿宋_GB2312" w:eastAsia="仿宋_GB2312"/>
                <w:sz w:val="28"/>
                <w:b/>
              </w:rPr>
              <w:t>CMA、CNAS标识的第三方检测机构出具的检测报告复印件并盖公章）</w:t>
            </w:r>
            <w:r>
              <w:rPr>
                <w:rFonts w:ascii="仿宋_GB2312" w:hAnsi="仿宋_GB2312" w:cs="仿宋_GB2312" w:eastAsia="仿宋_GB2312"/>
                <w:sz w:val="28"/>
                <w:b/>
              </w:rPr>
              <w:t>；</w:t>
            </w:r>
          </w:p>
          <w:p>
            <w:pPr>
              <w:pStyle w:val="null3"/>
              <w:ind w:firstLine="840"/>
              <w:jc w:val="both"/>
            </w:pPr>
            <w:r>
              <w:rPr>
                <w:rFonts w:ascii="仿宋_GB2312" w:hAnsi="仿宋_GB2312" w:cs="仿宋_GB2312" w:eastAsia="仿宋_GB2312"/>
                <w:sz w:val="28"/>
              </w:rPr>
              <w:t>1.</w:t>
            </w:r>
            <w:r>
              <w:rPr>
                <w:rFonts w:ascii="仿宋_GB2312" w:hAnsi="仿宋_GB2312" w:cs="仿宋_GB2312" w:eastAsia="仿宋_GB2312"/>
                <w:sz w:val="28"/>
              </w:rPr>
              <w:t>10、颜色处理位数：≥16bit</w:t>
            </w:r>
            <w:r>
              <w:rPr>
                <w:rFonts w:ascii="仿宋_GB2312" w:hAnsi="仿宋_GB2312" w:cs="仿宋_GB2312" w:eastAsia="仿宋_GB2312"/>
                <w:sz w:val="28"/>
                <w:b/>
              </w:rPr>
              <w:t>（提供封面具备</w:t>
            </w:r>
            <w:r>
              <w:rPr>
                <w:rFonts w:ascii="仿宋_GB2312" w:hAnsi="仿宋_GB2312" w:cs="仿宋_GB2312" w:eastAsia="仿宋_GB2312"/>
                <w:sz w:val="28"/>
                <w:b/>
              </w:rPr>
              <w:t>CMA、CNAS标识的第三方检测机构出具的检测报告复印件并盖公章）</w:t>
            </w:r>
            <w:r>
              <w:rPr>
                <w:rFonts w:ascii="仿宋_GB2312" w:hAnsi="仿宋_GB2312" w:cs="仿宋_GB2312" w:eastAsia="仿宋_GB2312"/>
              </w:rPr>
              <w:t xml:space="preserve"> </w:t>
            </w:r>
            <w:r>
              <w:rPr>
                <w:rFonts w:ascii="仿宋_GB2312" w:hAnsi="仿宋_GB2312" w:cs="仿宋_GB2312" w:eastAsia="仿宋_GB2312"/>
                <w:sz w:val="28"/>
              </w:rPr>
              <w:t>；</w:t>
            </w:r>
          </w:p>
          <w:p>
            <w:pPr>
              <w:pStyle w:val="null3"/>
              <w:ind w:firstLine="840"/>
              <w:jc w:val="both"/>
            </w:pPr>
            <w:r>
              <w:rPr>
                <w:rFonts w:ascii="仿宋_GB2312" w:hAnsi="仿宋_GB2312" w:cs="仿宋_GB2312" w:eastAsia="仿宋_GB2312"/>
                <w:sz w:val="28"/>
              </w:rPr>
              <w:t>1.</w:t>
            </w:r>
            <w:r>
              <w:rPr>
                <w:rFonts w:ascii="仿宋_GB2312" w:hAnsi="仿宋_GB2312" w:cs="仿宋_GB2312" w:eastAsia="仿宋_GB2312"/>
                <w:sz w:val="28"/>
              </w:rPr>
              <w:t>11、发光模块一致为哑光面色，反光有效系数在≤5%，显示屏杂点&lt;1/100000</w:t>
            </w:r>
            <w:r>
              <w:rPr>
                <w:rFonts w:ascii="仿宋_GB2312" w:hAnsi="仿宋_GB2312" w:cs="仿宋_GB2312" w:eastAsia="仿宋_GB2312"/>
                <w:sz w:val="28"/>
                <w:b/>
              </w:rPr>
              <w:t>（提供封面具备</w:t>
            </w:r>
            <w:r>
              <w:rPr>
                <w:rFonts w:ascii="仿宋_GB2312" w:hAnsi="仿宋_GB2312" w:cs="仿宋_GB2312" w:eastAsia="仿宋_GB2312"/>
                <w:sz w:val="28"/>
                <w:b/>
              </w:rPr>
              <w:t>CMA、CNAS标识的第三方检测机构出具的检测报告复印件并盖公章）</w:t>
            </w:r>
            <w:r>
              <w:rPr>
                <w:rFonts w:ascii="仿宋_GB2312" w:hAnsi="仿宋_GB2312" w:cs="仿宋_GB2312" w:eastAsia="仿宋_GB2312"/>
              </w:rPr>
              <w:t xml:space="preserve">  </w:t>
            </w:r>
            <w:r>
              <w:rPr>
                <w:rFonts w:ascii="仿宋_GB2312" w:hAnsi="仿宋_GB2312" w:cs="仿宋_GB2312" w:eastAsia="仿宋_GB2312"/>
                <w:sz w:val="28"/>
              </w:rPr>
              <w:t>；</w:t>
            </w:r>
          </w:p>
          <w:p>
            <w:pPr>
              <w:pStyle w:val="null3"/>
              <w:ind w:firstLine="840"/>
              <w:jc w:val="both"/>
            </w:pPr>
            <w:r>
              <w:rPr>
                <w:rFonts w:ascii="仿宋_GB2312" w:hAnsi="仿宋_GB2312" w:cs="仿宋_GB2312" w:eastAsia="仿宋_GB2312"/>
                <w:sz w:val="28"/>
              </w:rPr>
              <w:t>1.</w:t>
            </w:r>
            <w:r>
              <w:rPr>
                <w:rFonts w:ascii="仿宋_GB2312" w:hAnsi="仿宋_GB2312" w:cs="仿宋_GB2312" w:eastAsia="仿宋_GB2312"/>
                <w:sz w:val="28"/>
              </w:rPr>
              <w:t>12、控制系统的信号发送/转接/接收卡支持环路冗余备份，信号支持双回路热备份自动转换</w:t>
            </w:r>
            <w:r>
              <w:rPr>
                <w:rFonts w:ascii="仿宋_GB2312" w:hAnsi="仿宋_GB2312" w:cs="仿宋_GB2312" w:eastAsia="仿宋_GB2312"/>
                <w:sz w:val="28"/>
                <w:b/>
              </w:rPr>
              <w:t>（提供封面具备</w:t>
            </w:r>
            <w:r>
              <w:rPr>
                <w:rFonts w:ascii="仿宋_GB2312" w:hAnsi="仿宋_GB2312" w:cs="仿宋_GB2312" w:eastAsia="仿宋_GB2312"/>
                <w:sz w:val="28"/>
                <w:b/>
              </w:rPr>
              <w:t>CMA、CNAS标识的第三方检测机构出具的检测报告复印件并盖公章）</w:t>
            </w:r>
            <w:r>
              <w:rPr>
                <w:rFonts w:ascii="仿宋_GB2312" w:hAnsi="仿宋_GB2312" w:cs="仿宋_GB2312" w:eastAsia="仿宋_GB2312"/>
              </w:rPr>
              <w:t xml:space="preserve">  </w:t>
            </w:r>
            <w:r>
              <w:rPr>
                <w:rFonts w:ascii="仿宋_GB2312" w:hAnsi="仿宋_GB2312" w:cs="仿宋_GB2312" w:eastAsia="仿宋_GB2312"/>
                <w:sz w:val="28"/>
              </w:rPr>
              <w:t>；</w:t>
            </w:r>
          </w:p>
          <w:p>
            <w:pPr>
              <w:pStyle w:val="null3"/>
              <w:ind w:firstLine="840"/>
              <w:jc w:val="both"/>
            </w:pPr>
            <w:r>
              <w:rPr>
                <w:rFonts w:ascii="仿宋_GB2312" w:hAnsi="仿宋_GB2312" w:cs="仿宋_GB2312" w:eastAsia="仿宋_GB2312"/>
                <w:sz w:val="28"/>
              </w:rPr>
              <w:t>1.</w:t>
            </w:r>
            <w:r>
              <w:rPr>
                <w:rFonts w:ascii="仿宋_GB2312" w:hAnsi="仿宋_GB2312" w:cs="仿宋_GB2312" w:eastAsia="仿宋_GB2312"/>
                <w:sz w:val="28"/>
              </w:rPr>
              <w:t>13、支持N+1、N+2电源冗余备份，在某一电源出现故障后，冗余电源可自动切换，使屏体可以继续正常工作</w:t>
            </w:r>
            <w:r>
              <w:rPr>
                <w:rFonts w:ascii="仿宋_GB2312" w:hAnsi="仿宋_GB2312" w:cs="仿宋_GB2312" w:eastAsia="仿宋_GB2312"/>
                <w:sz w:val="28"/>
                <w:b/>
              </w:rPr>
              <w:t>（提供封面具备</w:t>
            </w:r>
            <w:r>
              <w:rPr>
                <w:rFonts w:ascii="仿宋_GB2312" w:hAnsi="仿宋_GB2312" w:cs="仿宋_GB2312" w:eastAsia="仿宋_GB2312"/>
                <w:sz w:val="28"/>
                <w:b/>
              </w:rPr>
              <w:t>CMA、CNAS标识的第三方检测机构出具的检测报告复印件并盖公章）</w:t>
            </w:r>
            <w:r>
              <w:rPr>
                <w:rFonts w:ascii="仿宋_GB2312" w:hAnsi="仿宋_GB2312" w:cs="仿宋_GB2312" w:eastAsia="仿宋_GB2312"/>
                <w:sz w:val="28"/>
                <w:b/>
              </w:rPr>
              <w:t>；</w:t>
            </w:r>
          </w:p>
          <w:p>
            <w:pPr>
              <w:pStyle w:val="null3"/>
              <w:ind w:firstLine="840"/>
              <w:jc w:val="both"/>
            </w:pPr>
            <w:r>
              <w:rPr>
                <w:rFonts w:ascii="仿宋_GB2312" w:hAnsi="仿宋_GB2312" w:cs="仿宋_GB2312" w:eastAsia="仿宋_GB2312"/>
                <w:sz w:val="28"/>
              </w:rPr>
              <w:t>1.</w:t>
            </w:r>
            <w:r>
              <w:rPr>
                <w:rFonts w:ascii="仿宋_GB2312" w:hAnsi="仿宋_GB2312" w:cs="仿宋_GB2312" w:eastAsia="仿宋_GB2312"/>
                <w:sz w:val="28"/>
              </w:rPr>
              <w:t>14、LED显示屏具有防静电、抗震动、防电磁干扰、抗雷击等功能，具有电源过压、过流、断电保护、</w:t>
            </w:r>
            <w:r>
              <w:rPr>
                <w:rFonts w:ascii="仿宋_GB2312" w:hAnsi="仿宋_GB2312" w:cs="仿宋_GB2312" w:eastAsia="仿宋_GB2312"/>
                <w:sz w:val="28"/>
              </w:rPr>
              <w:t>分步</w:t>
            </w:r>
            <w:r>
              <w:rPr>
                <w:rFonts w:ascii="仿宋_GB2312" w:hAnsi="仿宋_GB2312" w:cs="仿宋_GB2312" w:eastAsia="仿宋_GB2312"/>
                <w:sz w:val="28"/>
              </w:rPr>
              <w:t>上电措施，具有实时监控温度、故障报警功能</w:t>
            </w:r>
            <w:r>
              <w:rPr>
                <w:rFonts w:ascii="仿宋_GB2312" w:hAnsi="仿宋_GB2312" w:cs="仿宋_GB2312" w:eastAsia="仿宋_GB2312"/>
                <w:sz w:val="28"/>
                <w:b/>
              </w:rPr>
              <w:t>（提供封面具备</w:t>
            </w:r>
            <w:r>
              <w:rPr>
                <w:rFonts w:ascii="仿宋_GB2312" w:hAnsi="仿宋_GB2312" w:cs="仿宋_GB2312" w:eastAsia="仿宋_GB2312"/>
                <w:sz w:val="28"/>
                <w:b/>
              </w:rPr>
              <w:t xml:space="preserve">CMA、CNAS标识的第三方检测机构出具的检测报告复印件并盖公章） </w:t>
            </w:r>
            <w:r>
              <w:rPr>
                <w:rFonts w:ascii="仿宋_GB2312" w:hAnsi="仿宋_GB2312" w:cs="仿宋_GB2312" w:eastAsia="仿宋_GB2312"/>
                <w:sz w:val="28"/>
                <w:b/>
              </w:rPr>
              <w:t>；</w:t>
            </w:r>
          </w:p>
          <w:p>
            <w:pPr>
              <w:pStyle w:val="null3"/>
              <w:ind w:firstLine="840"/>
              <w:jc w:val="both"/>
            </w:pPr>
            <w:r>
              <w:rPr>
                <w:rFonts w:ascii="仿宋_GB2312" w:hAnsi="仿宋_GB2312" w:cs="仿宋_GB2312" w:eastAsia="仿宋_GB2312"/>
                <w:sz w:val="28"/>
              </w:rPr>
              <w:t>1.</w:t>
            </w:r>
            <w:r>
              <w:rPr>
                <w:rFonts w:ascii="仿宋_GB2312" w:hAnsi="仿宋_GB2312" w:cs="仿宋_GB2312" w:eastAsia="仿宋_GB2312"/>
                <w:sz w:val="28"/>
              </w:rPr>
              <w:t>15、支持7x24小时无间断工作，MTBF≥100000小时</w:t>
            </w:r>
            <w:r>
              <w:rPr>
                <w:rFonts w:ascii="仿宋_GB2312" w:hAnsi="仿宋_GB2312" w:cs="仿宋_GB2312" w:eastAsia="仿宋_GB2312"/>
                <w:sz w:val="28"/>
                <w:b/>
              </w:rPr>
              <w:t>（提供封面具备</w:t>
            </w:r>
            <w:r>
              <w:rPr>
                <w:rFonts w:ascii="仿宋_GB2312" w:hAnsi="仿宋_GB2312" w:cs="仿宋_GB2312" w:eastAsia="仿宋_GB2312"/>
                <w:sz w:val="28"/>
                <w:b/>
              </w:rPr>
              <w:t xml:space="preserve">CMA、CNAS标识的第三方检测机构出具的检测报告复印件并盖公章） </w:t>
            </w:r>
            <w:r>
              <w:rPr>
                <w:rFonts w:ascii="仿宋_GB2312" w:hAnsi="仿宋_GB2312" w:cs="仿宋_GB2312" w:eastAsia="仿宋_GB2312"/>
                <w:sz w:val="28"/>
                <w:b/>
              </w:rPr>
              <w:t>；</w:t>
            </w:r>
          </w:p>
          <w:p>
            <w:pPr>
              <w:pStyle w:val="null3"/>
              <w:ind w:firstLine="840"/>
              <w:jc w:val="both"/>
            </w:pPr>
            <w:r>
              <w:rPr>
                <w:rFonts w:ascii="仿宋_GB2312" w:hAnsi="仿宋_GB2312" w:cs="仿宋_GB2312" w:eastAsia="仿宋_GB2312"/>
                <w:sz w:val="28"/>
              </w:rPr>
              <w:t>1.</w:t>
            </w:r>
            <w:r>
              <w:rPr>
                <w:rFonts w:ascii="仿宋_GB2312" w:hAnsi="仿宋_GB2312" w:cs="仿宋_GB2312" w:eastAsia="仿宋_GB2312"/>
                <w:sz w:val="28"/>
              </w:rPr>
              <w:t>16、采用完全静音设计，屏体无风扇自然散热，支持前/后维护</w:t>
            </w:r>
            <w:r>
              <w:rPr>
                <w:rFonts w:ascii="仿宋_GB2312" w:hAnsi="仿宋_GB2312" w:cs="仿宋_GB2312" w:eastAsia="仿宋_GB2312"/>
                <w:sz w:val="28"/>
                <w:b/>
              </w:rPr>
              <w:t>（提供封面具备</w:t>
            </w:r>
            <w:r>
              <w:rPr>
                <w:rFonts w:ascii="仿宋_GB2312" w:hAnsi="仿宋_GB2312" w:cs="仿宋_GB2312" w:eastAsia="仿宋_GB2312"/>
                <w:sz w:val="28"/>
                <w:b/>
              </w:rPr>
              <w:t>CMA、CNAS标识的第三方检测机构出具的检测报告复印件并盖公章）</w:t>
            </w:r>
            <w:r>
              <w:rPr>
                <w:rFonts w:ascii="仿宋_GB2312" w:hAnsi="仿宋_GB2312" w:cs="仿宋_GB2312" w:eastAsia="仿宋_GB2312"/>
              </w:rPr>
              <w:t xml:space="preserve"> </w:t>
            </w:r>
            <w:r>
              <w:rPr>
                <w:rFonts w:ascii="仿宋_GB2312" w:hAnsi="仿宋_GB2312" w:cs="仿宋_GB2312" w:eastAsia="仿宋_GB2312"/>
                <w:sz w:val="28"/>
              </w:rPr>
              <w:t>；</w:t>
            </w:r>
          </w:p>
          <w:p>
            <w:pPr>
              <w:pStyle w:val="null3"/>
              <w:ind w:firstLine="840"/>
              <w:jc w:val="both"/>
            </w:pPr>
            <w:r>
              <w:rPr>
                <w:rFonts w:ascii="仿宋_GB2312" w:hAnsi="仿宋_GB2312" w:cs="仿宋_GB2312" w:eastAsia="仿宋_GB2312"/>
                <w:sz w:val="28"/>
              </w:rPr>
              <w:t>1.</w:t>
            </w:r>
            <w:r>
              <w:rPr>
                <w:rFonts w:ascii="仿宋_GB2312" w:hAnsi="仿宋_GB2312" w:cs="仿宋_GB2312" w:eastAsia="仿宋_GB2312"/>
                <w:sz w:val="28"/>
              </w:rPr>
              <w:t>17、支持模组间暗线隐亮消除功能；支持单点检测逐点校正功能，单点亮度校正，单点颜色校正</w:t>
            </w:r>
            <w:r>
              <w:rPr>
                <w:rFonts w:ascii="仿宋_GB2312" w:hAnsi="仿宋_GB2312" w:cs="仿宋_GB2312" w:eastAsia="仿宋_GB2312"/>
                <w:sz w:val="28"/>
                <w:b/>
              </w:rPr>
              <w:t>（提供封面具备</w:t>
            </w:r>
            <w:r>
              <w:rPr>
                <w:rFonts w:ascii="仿宋_GB2312" w:hAnsi="仿宋_GB2312" w:cs="仿宋_GB2312" w:eastAsia="仿宋_GB2312"/>
                <w:sz w:val="28"/>
                <w:b/>
              </w:rPr>
              <w:t>CMA、CNAS标识的第三方检测机构出具的检测报告复印件并盖公章）</w:t>
            </w:r>
            <w:r>
              <w:rPr>
                <w:rFonts w:ascii="仿宋_GB2312" w:hAnsi="仿宋_GB2312" w:cs="仿宋_GB2312" w:eastAsia="仿宋_GB2312"/>
                <w:sz w:val="28"/>
                <w:b/>
              </w:rPr>
              <w:t>。</w:t>
            </w:r>
          </w:p>
          <w:p>
            <w:pPr>
              <w:pStyle w:val="null3"/>
              <w:ind w:firstLine="560"/>
              <w:jc w:val="both"/>
            </w:pPr>
            <w:r>
              <w:rPr>
                <w:rFonts w:ascii="仿宋_GB2312" w:hAnsi="仿宋_GB2312" w:cs="仿宋_GB2312" w:eastAsia="仿宋_GB2312"/>
                <w:sz w:val="28"/>
                <w:b/>
              </w:rPr>
              <w:t>2.功放(1台)</w:t>
            </w:r>
          </w:p>
          <w:p>
            <w:pPr>
              <w:pStyle w:val="null3"/>
              <w:ind w:firstLine="840"/>
              <w:jc w:val="both"/>
            </w:pPr>
            <w:r>
              <w:rPr>
                <w:rFonts w:ascii="仿宋_GB2312" w:hAnsi="仿宋_GB2312" w:cs="仿宋_GB2312" w:eastAsia="仿宋_GB2312"/>
                <w:sz w:val="28"/>
              </w:rPr>
              <w:t>2.1铝合金外壳，铝合金上下盖，防水定压音柱</w:t>
            </w:r>
          </w:p>
          <w:p>
            <w:pPr>
              <w:pStyle w:val="null3"/>
              <w:ind w:firstLine="840"/>
              <w:jc w:val="both"/>
            </w:pPr>
            <w:r>
              <w:rPr>
                <w:rFonts w:ascii="仿宋_GB2312" w:hAnsi="仿宋_GB2312" w:cs="仿宋_GB2312" w:eastAsia="仿宋_GB2312"/>
                <w:sz w:val="28"/>
              </w:rPr>
              <w:t>2.2额定功率(100V):≥80W</w:t>
            </w:r>
          </w:p>
          <w:p>
            <w:pPr>
              <w:pStyle w:val="null3"/>
              <w:ind w:firstLine="840"/>
              <w:jc w:val="both"/>
            </w:pPr>
            <w:r>
              <w:rPr>
                <w:rFonts w:ascii="仿宋_GB2312" w:hAnsi="仿宋_GB2312" w:cs="仿宋_GB2312" w:eastAsia="仿宋_GB2312"/>
                <w:sz w:val="28"/>
              </w:rPr>
              <w:t>2.3输入：100V</w:t>
            </w:r>
          </w:p>
          <w:p>
            <w:pPr>
              <w:pStyle w:val="null3"/>
              <w:ind w:firstLine="840"/>
              <w:jc w:val="both"/>
            </w:pPr>
            <w:r>
              <w:rPr>
                <w:rFonts w:ascii="仿宋_GB2312" w:hAnsi="仿宋_GB2312" w:cs="仿宋_GB2312" w:eastAsia="仿宋_GB2312"/>
                <w:sz w:val="28"/>
              </w:rPr>
              <w:t>2.4灵敏度：≥95dB</w:t>
            </w:r>
          </w:p>
          <w:p>
            <w:pPr>
              <w:pStyle w:val="null3"/>
              <w:ind w:firstLine="840"/>
              <w:jc w:val="both"/>
            </w:pPr>
            <w:r>
              <w:rPr>
                <w:rFonts w:ascii="仿宋_GB2312" w:hAnsi="仿宋_GB2312" w:cs="仿宋_GB2312" w:eastAsia="仿宋_GB2312"/>
                <w:sz w:val="28"/>
              </w:rPr>
              <w:t>2.5频率响应：100Hz-18KHz</w:t>
            </w:r>
          </w:p>
          <w:p>
            <w:pPr>
              <w:pStyle w:val="null3"/>
              <w:ind w:firstLine="840"/>
              <w:jc w:val="both"/>
            </w:pPr>
            <w:r>
              <w:rPr>
                <w:rFonts w:ascii="仿宋_GB2312" w:hAnsi="仿宋_GB2312" w:cs="仿宋_GB2312" w:eastAsia="仿宋_GB2312"/>
                <w:sz w:val="28"/>
              </w:rPr>
              <w:t>2.6喇叭单元：6.5"*3  + 1"*1</w:t>
            </w:r>
          </w:p>
          <w:p>
            <w:pPr>
              <w:pStyle w:val="null3"/>
              <w:ind w:firstLine="840"/>
              <w:jc w:val="both"/>
            </w:pPr>
            <w:r>
              <w:rPr>
                <w:rFonts w:ascii="仿宋_GB2312" w:hAnsi="仿宋_GB2312" w:cs="仿宋_GB2312" w:eastAsia="仿宋_GB2312"/>
                <w:sz w:val="28"/>
              </w:rPr>
              <w:t>2.7防护等级：≥IP44</w:t>
            </w:r>
          </w:p>
          <w:p>
            <w:pPr>
              <w:pStyle w:val="null3"/>
              <w:ind w:firstLine="560"/>
              <w:jc w:val="both"/>
            </w:pPr>
            <w:r>
              <w:rPr>
                <w:rFonts w:ascii="仿宋_GB2312" w:hAnsi="仿宋_GB2312" w:cs="仿宋_GB2312" w:eastAsia="仿宋_GB2312"/>
                <w:sz w:val="28"/>
                <w:b/>
              </w:rPr>
              <w:t>3.音响（2台）</w:t>
            </w:r>
          </w:p>
          <w:p>
            <w:pPr>
              <w:pStyle w:val="null3"/>
              <w:ind w:firstLine="840"/>
              <w:jc w:val="both"/>
            </w:pPr>
            <w:r>
              <w:rPr>
                <w:rFonts w:ascii="仿宋_GB2312" w:hAnsi="仿宋_GB2312" w:cs="仿宋_GB2312" w:eastAsia="仿宋_GB2312"/>
                <w:sz w:val="28"/>
              </w:rPr>
              <w:t>3.1音响功率：≥300W</w:t>
            </w:r>
          </w:p>
          <w:p>
            <w:pPr>
              <w:pStyle w:val="null3"/>
              <w:ind w:firstLine="840"/>
              <w:jc w:val="both"/>
            </w:pPr>
            <w:r>
              <w:rPr>
                <w:rFonts w:ascii="仿宋_GB2312" w:hAnsi="仿宋_GB2312" w:cs="仿宋_GB2312" w:eastAsia="仿宋_GB2312"/>
                <w:sz w:val="28"/>
              </w:rPr>
              <w:t>3.2定压输出：70V100V</w:t>
            </w:r>
          </w:p>
          <w:p>
            <w:pPr>
              <w:pStyle w:val="null3"/>
              <w:ind w:firstLine="840"/>
              <w:jc w:val="both"/>
            </w:pPr>
            <w:r>
              <w:rPr>
                <w:rFonts w:ascii="仿宋_GB2312" w:hAnsi="仿宋_GB2312" w:cs="仿宋_GB2312" w:eastAsia="仿宋_GB2312"/>
                <w:sz w:val="28"/>
              </w:rPr>
              <w:t>3.3频率响应：80Hz-16KHz</w:t>
            </w:r>
          </w:p>
          <w:p>
            <w:pPr>
              <w:pStyle w:val="null3"/>
              <w:ind w:firstLine="840"/>
              <w:jc w:val="both"/>
            </w:pPr>
            <w:r>
              <w:rPr>
                <w:rFonts w:ascii="仿宋_GB2312" w:hAnsi="仿宋_GB2312" w:cs="仿宋_GB2312" w:eastAsia="仿宋_GB2312"/>
                <w:sz w:val="28"/>
              </w:rPr>
              <w:t>3.4信噪比：&gt;85dB</w:t>
            </w:r>
          </w:p>
          <w:p>
            <w:pPr>
              <w:pStyle w:val="null3"/>
              <w:ind w:firstLine="840"/>
              <w:jc w:val="both"/>
            </w:pPr>
            <w:r>
              <w:rPr>
                <w:rFonts w:ascii="仿宋_GB2312" w:hAnsi="仿宋_GB2312" w:cs="仿宋_GB2312" w:eastAsia="仿宋_GB2312"/>
                <w:sz w:val="28"/>
              </w:rPr>
              <w:t>3.5MIC输入：-45dB&gt;10kohms MAX-30DB</w:t>
            </w:r>
          </w:p>
          <w:p>
            <w:pPr>
              <w:pStyle w:val="null3"/>
              <w:ind w:firstLine="840"/>
              <w:jc w:val="both"/>
            </w:pPr>
            <w:r>
              <w:rPr>
                <w:rFonts w:ascii="仿宋_GB2312" w:hAnsi="仿宋_GB2312" w:cs="仿宋_GB2312" w:eastAsia="仿宋_GB2312"/>
                <w:sz w:val="28"/>
              </w:rPr>
              <w:t>3.6线路输入：-10db210kohms MAX+80dBu</w:t>
            </w:r>
          </w:p>
          <w:p>
            <w:pPr>
              <w:pStyle w:val="null3"/>
              <w:ind w:firstLine="840"/>
              <w:jc w:val="both"/>
            </w:pPr>
            <w:r>
              <w:rPr>
                <w:rFonts w:ascii="仿宋_GB2312" w:hAnsi="仿宋_GB2312" w:cs="仿宋_GB2312" w:eastAsia="仿宋_GB2312"/>
                <w:sz w:val="28"/>
              </w:rPr>
              <w:t>3.7总失真率：≤05% (AT1KHz)</w:t>
            </w:r>
          </w:p>
          <w:p>
            <w:pPr>
              <w:pStyle w:val="null3"/>
              <w:ind w:firstLine="840"/>
              <w:jc w:val="both"/>
            </w:pPr>
            <w:r>
              <w:rPr>
                <w:rFonts w:ascii="仿宋_GB2312" w:hAnsi="仿宋_GB2312" w:cs="仿宋_GB2312" w:eastAsia="仿宋_GB2312"/>
                <w:sz w:val="28"/>
              </w:rPr>
              <w:t>3.8电源电压： AC220V-240V  50～60Hz</w:t>
            </w:r>
          </w:p>
          <w:p>
            <w:pPr>
              <w:pStyle w:val="null3"/>
              <w:ind w:firstLine="560"/>
              <w:jc w:val="both"/>
            </w:pPr>
            <w:r>
              <w:rPr>
                <w:rFonts w:ascii="仿宋_GB2312" w:hAnsi="仿宋_GB2312" w:cs="仿宋_GB2312" w:eastAsia="仿宋_GB2312"/>
                <w:sz w:val="28"/>
                <w:b/>
              </w:rPr>
              <w:t>4.电脑（1台）</w:t>
            </w:r>
          </w:p>
          <w:p>
            <w:pPr>
              <w:pStyle w:val="null3"/>
              <w:ind w:firstLine="840"/>
              <w:jc w:val="both"/>
            </w:pPr>
            <w:r>
              <w:rPr>
                <w:rFonts w:ascii="仿宋_GB2312" w:hAnsi="仿宋_GB2312" w:cs="仿宋_GB2312" w:eastAsia="仿宋_GB2312"/>
                <w:sz w:val="28"/>
              </w:rPr>
              <w:t>4.1.处理器：处理器国产X86架构处理器，核心数≥8核，主频≥2.7GHz，二级缓存≥8MB；</w:t>
            </w:r>
          </w:p>
          <w:p>
            <w:pPr>
              <w:pStyle w:val="null3"/>
              <w:ind w:firstLine="840"/>
              <w:jc w:val="both"/>
            </w:pPr>
            <w:r>
              <w:rPr>
                <w:rFonts w:ascii="仿宋_GB2312" w:hAnsi="仿宋_GB2312" w:cs="仿宋_GB2312" w:eastAsia="仿宋_GB2312"/>
                <w:sz w:val="28"/>
              </w:rPr>
              <w:t>4.2.内存：配置8GB DDR4 UDIMM内存，配置≥2个内存插槽；</w:t>
            </w:r>
          </w:p>
          <w:p>
            <w:pPr>
              <w:pStyle w:val="null3"/>
              <w:ind w:firstLine="840"/>
              <w:jc w:val="both"/>
            </w:pPr>
            <w:r>
              <w:rPr>
                <w:rFonts w:ascii="仿宋_GB2312" w:hAnsi="仿宋_GB2312" w:cs="仿宋_GB2312" w:eastAsia="仿宋_GB2312"/>
                <w:sz w:val="28"/>
              </w:rPr>
              <w:t>4.3.硬盘：≥512GB M.2接口NVME协议SSD；支持HDD机械硬盘；</w:t>
            </w:r>
          </w:p>
          <w:p>
            <w:pPr>
              <w:pStyle w:val="null3"/>
              <w:ind w:firstLine="840"/>
              <w:jc w:val="both"/>
            </w:pPr>
            <w:r>
              <w:rPr>
                <w:rFonts w:ascii="仿宋_GB2312" w:hAnsi="仿宋_GB2312" w:cs="仿宋_GB2312" w:eastAsia="仿宋_GB2312"/>
                <w:sz w:val="28"/>
              </w:rPr>
              <w:t>4.4.显卡：集成显卡，另可以支持独立显卡；</w:t>
            </w:r>
          </w:p>
          <w:p>
            <w:pPr>
              <w:pStyle w:val="null3"/>
              <w:ind w:firstLine="840"/>
              <w:jc w:val="both"/>
            </w:pPr>
            <w:r>
              <w:rPr>
                <w:rFonts w:ascii="仿宋_GB2312" w:hAnsi="仿宋_GB2312" w:cs="仿宋_GB2312" w:eastAsia="仿宋_GB2312"/>
                <w:sz w:val="28"/>
              </w:rPr>
              <w:t>4.5.电源：电源功率≥180W，非80PLUS电源；</w:t>
            </w:r>
          </w:p>
          <w:p>
            <w:pPr>
              <w:pStyle w:val="null3"/>
              <w:ind w:firstLine="840"/>
              <w:jc w:val="both"/>
            </w:pPr>
            <w:r>
              <w:rPr>
                <w:rFonts w:ascii="仿宋_GB2312" w:hAnsi="仿宋_GB2312" w:cs="仿宋_GB2312" w:eastAsia="仿宋_GB2312"/>
                <w:sz w:val="28"/>
              </w:rPr>
              <w:t>4.6.网络 ：1个RJ45 10/100/1000自适应以太网口；</w:t>
            </w:r>
          </w:p>
          <w:p>
            <w:pPr>
              <w:pStyle w:val="null3"/>
              <w:ind w:firstLine="840"/>
              <w:jc w:val="both"/>
            </w:pPr>
            <w:r>
              <w:rPr>
                <w:rFonts w:ascii="仿宋_GB2312" w:hAnsi="仿宋_GB2312" w:cs="仿宋_GB2312" w:eastAsia="仿宋_GB2312"/>
                <w:sz w:val="28"/>
              </w:rPr>
              <w:t>4.7.接口扩展 ： ≥3个PCIE扩展插槽；接口：前置USB3.0接口≥4个；后置USB3.0接口≥2个，USB2.0接口≥2个；HDMI*1、VGA*1；音频接口：麦克风1个，耳机1个；后端3个Audio音频接口；</w:t>
            </w:r>
          </w:p>
          <w:p>
            <w:pPr>
              <w:pStyle w:val="null3"/>
              <w:ind w:firstLine="840"/>
              <w:jc w:val="both"/>
            </w:pPr>
            <w:r>
              <w:rPr>
                <w:rFonts w:ascii="仿宋_GB2312" w:hAnsi="仿宋_GB2312" w:cs="仿宋_GB2312" w:eastAsia="仿宋_GB2312"/>
                <w:sz w:val="28"/>
              </w:rPr>
              <w:t>4.8.数据安全： BIOS级USB屏蔽及智能USB数据保护：USB支持BIOS下接口开关，针对存储设备支持USB接口切换禁止访问模式/只读模式。</w:t>
            </w:r>
          </w:p>
          <w:p>
            <w:pPr>
              <w:pStyle w:val="null3"/>
              <w:ind w:firstLine="560"/>
              <w:jc w:val="both"/>
            </w:pPr>
            <w:r>
              <w:rPr>
                <w:rFonts w:ascii="仿宋_GB2312" w:hAnsi="仿宋_GB2312" w:cs="仿宋_GB2312" w:eastAsia="仿宋_GB2312"/>
                <w:sz w:val="28"/>
                <w:b/>
              </w:rPr>
              <w:t>5.空调（2台）</w:t>
            </w:r>
          </w:p>
          <w:p>
            <w:pPr>
              <w:pStyle w:val="null3"/>
              <w:ind w:firstLine="840"/>
              <w:jc w:val="both"/>
            </w:pPr>
            <w:r>
              <w:rPr>
                <w:rFonts w:ascii="仿宋_GB2312" w:hAnsi="仿宋_GB2312" w:cs="仿宋_GB2312" w:eastAsia="仿宋_GB2312"/>
                <w:sz w:val="28"/>
              </w:rPr>
              <w:t>5</w:t>
            </w:r>
            <w:r>
              <w:rPr>
                <w:rFonts w:ascii="仿宋_GB2312" w:hAnsi="仿宋_GB2312" w:cs="仿宋_GB2312" w:eastAsia="仿宋_GB2312"/>
                <w:sz w:val="28"/>
              </w:rPr>
              <w:t>.1额定制冷量≥7220W</w:t>
            </w:r>
          </w:p>
          <w:p>
            <w:pPr>
              <w:pStyle w:val="null3"/>
              <w:ind w:firstLine="840"/>
              <w:jc w:val="both"/>
            </w:pPr>
            <w:r>
              <w:rPr>
                <w:rFonts w:ascii="仿宋_GB2312" w:hAnsi="仿宋_GB2312" w:cs="仿宋_GB2312" w:eastAsia="仿宋_GB2312"/>
                <w:sz w:val="28"/>
              </w:rPr>
              <w:t>5</w:t>
            </w:r>
            <w:r>
              <w:rPr>
                <w:rFonts w:ascii="仿宋_GB2312" w:hAnsi="仿宋_GB2312" w:cs="仿宋_GB2312" w:eastAsia="仿宋_GB2312"/>
                <w:sz w:val="28"/>
              </w:rPr>
              <w:t>.2额定制冷功率≥19</w:t>
            </w:r>
            <w:r>
              <w:rPr>
                <w:rFonts w:ascii="仿宋_GB2312" w:hAnsi="仿宋_GB2312" w:cs="仿宋_GB2312" w:eastAsia="仿宋_GB2312"/>
                <w:sz w:val="28"/>
              </w:rPr>
              <w:t>5</w:t>
            </w:r>
            <w:r>
              <w:rPr>
                <w:rFonts w:ascii="仿宋_GB2312" w:hAnsi="仿宋_GB2312" w:cs="仿宋_GB2312" w:eastAsia="仿宋_GB2312"/>
                <w:sz w:val="28"/>
              </w:rPr>
              <w:t>0W</w:t>
            </w:r>
          </w:p>
          <w:p>
            <w:pPr>
              <w:pStyle w:val="null3"/>
              <w:ind w:firstLine="840"/>
              <w:jc w:val="both"/>
            </w:pPr>
            <w:r>
              <w:rPr>
                <w:rFonts w:ascii="仿宋_GB2312" w:hAnsi="仿宋_GB2312" w:cs="仿宋_GB2312" w:eastAsia="仿宋_GB2312"/>
                <w:sz w:val="28"/>
              </w:rPr>
              <w:t>5</w:t>
            </w:r>
            <w:r>
              <w:rPr>
                <w:rFonts w:ascii="仿宋_GB2312" w:hAnsi="仿宋_GB2312" w:cs="仿宋_GB2312" w:eastAsia="仿宋_GB2312"/>
                <w:sz w:val="28"/>
              </w:rPr>
              <w:t>.3额定制热量≥96</w:t>
            </w:r>
            <w:r>
              <w:rPr>
                <w:rFonts w:ascii="仿宋_GB2312" w:hAnsi="仿宋_GB2312" w:cs="仿宋_GB2312" w:eastAsia="仿宋_GB2312"/>
                <w:sz w:val="28"/>
              </w:rPr>
              <w:t>00</w:t>
            </w:r>
            <w:r>
              <w:rPr>
                <w:rFonts w:ascii="仿宋_GB2312" w:hAnsi="仿宋_GB2312" w:cs="仿宋_GB2312" w:eastAsia="仿宋_GB2312"/>
                <w:sz w:val="28"/>
              </w:rPr>
              <w:t>W</w:t>
            </w:r>
          </w:p>
          <w:p>
            <w:pPr>
              <w:pStyle w:val="null3"/>
              <w:ind w:firstLine="840"/>
              <w:jc w:val="both"/>
            </w:pPr>
            <w:r>
              <w:rPr>
                <w:rFonts w:ascii="仿宋_GB2312" w:hAnsi="仿宋_GB2312" w:cs="仿宋_GB2312" w:eastAsia="仿宋_GB2312"/>
                <w:sz w:val="28"/>
              </w:rPr>
              <w:t>5</w:t>
            </w:r>
            <w:r>
              <w:rPr>
                <w:rFonts w:ascii="仿宋_GB2312" w:hAnsi="仿宋_GB2312" w:cs="仿宋_GB2312" w:eastAsia="仿宋_GB2312"/>
                <w:sz w:val="28"/>
              </w:rPr>
              <w:t>.4额定制热功率≥2970W</w:t>
            </w:r>
          </w:p>
          <w:p>
            <w:pPr>
              <w:pStyle w:val="null3"/>
              <w:ind w:firstLine="840"/>
              <w:jc w:val="both"/>
            </w:pPr>
            <w:r>
              <w:rPr>
                <w:rFonts w:ascii="仿宋_GB2312" w:hAnsi="仿宋_GB2312" w:cs="仿宋_GB2312" w:eastAsia="仿宋_GB2312"/>
                <w:sz w:val="28"/>
              </w:rPr>
              <w:t>5</w:t>
            </w:r>
            <w:r>
              <w:rPr>
                <w:rFonts w:ascii="仿宋_GB2312" w:hAnsi="仿宋_GB2312" w:cs="仿宋_GB2312" w:eastAsia="仿宋_GB2312"/>
                <w:sz w:val="28"/>
              </w:rPr>
              <w:t>.5循环风量≥1</w:t>
            </w:r>
            <w:r>
              <w:rPr>
                <w:rFonts w:ascii="仿宋_GB2312" w:hAnsi="仿宋_GB2312" w:cs="仿宋_GB2312" w:eastAsia="仿宋_GB2312"/>
                <w:sz w:val="28"/>
              </w:rPr>
              <w:t>350</w:t>
            </w:r>
            <w:r>
              <w:rPr>
                <w:rFonts w:ascii="仿宋_GB2312" w:hAnsi="仿宋_GB2312" w:cs="仿宋_GB2312" w:eastAsia="仿宋_GB2312"/>
                <w:sz w:val="28"/>
              </w:rPr>
              <w:t>m3/h</w:t>
            </w:r>
          </w:p>
          <w:p>
            <w:pPr>
              <w:pStyle w:val="null3"/>
              <w:ind w:firstLine="840"/>
              <w:jc w:val="both"/>
            </w:pPr>
            <w:r>
              <w:rPr>
                <w:rFonts w:ascii="仿宋_GB2312" w:hAnsi="仿宋_GB2312" w:cs="仿宋_GB2312" w:eastAsia="仿宋_GB2312"/>
                <w:sz w:val="28"/>
              </w:rPr>
              <w:t>5</w:t>
            </w:r>
            <w:r>
              <w:rPr>
                <w:rFonts w:ascii="仿宋_GB2312" w:hAnsi="仿宋_GB2312" w:cs="仿宋_GB2312" w:eastAsia="仿宋_GB2312"/>
                <w:sz w:val="28"/>
              </w:rPr>
              <w:t>.6能效等级：一级</w:t>
            </w:r>
          </w:p>
          <w:p>
            <w:pPr>
              <w:pStyle w:val="null3"/>
              <w:ind w:firstLine="560"/>
              <w:jc w:val="both"/>
            </w:pPr>
            <w:r>
              <w:rPr>
                <w:rFonts w:ascii="仿宋_GB2312" w:hAnsi="仿宋_GB2312" w:cs="仿宋_GB2312" w:eastAsia="仿宋_GB2312"/>
                <w:sz w:val="28"/>
                <w:b/>
              </w:rPr>
              <w:t>6.控制室空调（1台）</w:t>
            </w:r>
          </w:p>
          <w:p>
            <w:pPr>
              <w:pStyle w:val="null3"/>
              <w:ind w:firstLine="840"/>
              <w:jc w:val="both"/>
            </w:pPr>
            <w:r>
              <w:rPr>
                <w:rFonts w:ascii="仿宋_GB2312" w:hAnsi="仿宋_GB2312" w:cs="仿宋_GB2312" w:eastAsia="仿宋_GB2312"/>
                <w:sz w:val="28"/>
              </w:rPr>
              <w:t>6.1额定制冷量≥7220W</w:t>
            </w:r>
          </w:p>
          <w:p>
            <w:pPr>
              <w:pStyle w:val="null3"/>
              <w:ind w:firstLine="840"/>
              <w:jc w:val="both"/>
            </w:pPr>
            <w:r>
              <w:rPr>
                <w:rFonts w:ascii="仿宋_GB2312" w:hAnsi="仿宋_GB2312" w:cs="仿宋_GB2312" w:eastAsia="仿宋_GB2312"/>
                <w:sz w:val="28"/>
              </w:rPr>
              <w:t>6.2额定制冷功率≥1950W</w:t>
            </w:r>
          </w:p>
          <w:p>
            <w:pPr>
              <w:pStyle w:val="null3"/>
              <w:ind w:firstLine="840"/>
              <w:jc w:val="both"/>
            </w:pPr>
            <w:r>
              <w:rPr>
                <w:rFonts w:ascii="仿宋_GB2312" w:hAnsi="仿宋_GB2312" w:cs="仿宋_GB2312" w:eastAsia="仿宋_GB2312"/>
                <w:sz w:val="28"/>
              </w:rPr>
              <w:t>6.3额定制热量≥9600W</w:t>
            </w:r>
          </w:p>
          <w:p>
            <w:pPr>
              <w:pStyle w:val="null3"/>
              <w:ind w:firstLine="840"/>
              <w:jc w:val="both"/>
            </w:pPr>
            <w:r>
              <w:rPr>
                <w:rFonts w:ascii="仿宋_GB2312" w:hAnsi="仿宋_GB2312" w:cs="仿宋_GB2312" w:eastAsia="仿宋_GB2312"/>
                <w:sz w:val="28"/>
              </w:rPr>
              <w:t>6.4额定制热功率≥2970W</w:t>
            </w:r>
          </w:p>
          <w:p>
            <w:pPr>
              <w:pStyle w:val="null3"/>
              <w:ind w:firstLine="840"/>
              <w:jc w:val="both"/>
            </w:pPr>
            <w:r>
              <w:rPr>
                <w:rFonts w:ascii="仿宋_GB2312" w:hAnsi="仿宋_GB2312" w:cs="仿宋_GB2312" w:eastAsia="仿宋_GB2312"/>
                <w:sz w:val="28"/>
              </w:rPr>
              <w:t>6.5循环风量≥1350m3/h</w:t>
            </w:r>
          </w:p>
          <w:p>
            <w:pPr>
              <w:pStyle w:val="null3"/>
              <w:ind w:firstLine="840"/>
              <w:jc w:val="both"/>
            </w:pPr>
            <w:r>
              <w:rPr>
                <w:rFonts w:ascii="仿宋_GB2312" w:hAnsi="仿宋_GB2312" w:cs="仿宋_GB2312" w:eastAsia="仿宋_GB2312"/>
                <w:sz w:val="28"/>
              </w:rPr>
              <w:t>6.6能效等级：一级</w:t>
            </w:r>
          </w:p>
          <w:p>
            <w:pPr>
              <w:pStyle w:val="null3"/>
              <w:ind w:firstLine="560"/>
              <w:jc w:val="both"/>
            </w:pPr>
            <w:r>
              <w:rPr>
                <w:rFonts w:ascii="仿宋_GB2312" w:hAnsi="仿宋_GB2312" w:cs="仿宋_GB2312" w:eastAsia="仿宋_GB2312"/>
                <w:sz w:val="28"/>
                <w:b/>
              </w:rPr>
              <w:t>（二）教学楼</w:t>
            </w:r>
            <w:r>
              <w:rPr>
                <w:rFonts w:ascii="仿宋_GB2312" w:hAnsi="仿宋_GB2312" w:cs="仿宋_GB2312" w:eastAsia="仿宋_GB2312"/>
                <w:sz w:val="28"/>
                <w:b/>
              </w:rPr>
              <w:t>LED滚动屏</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单处</w:t>
            </w:r>
            <w:r>
              <w:rPr>
                <w:rFonts w:ascii="仿宋_GB2312" w:hAnsi="仿宋_GB2312" w:cs="仿宋_GB2312" w:eastAsia="仿宋_GB2312"/>
                <w:sz w:val="28"/>
              </w:rPr>
              <w:t>屏幕尺寸：</w:t>
            </w:r>
            <w:r>
              <w:rPr>
                <w:rFonts w:ascii="仿宋_GB2312" w:hAnsi="仿宋_GB2312" w:cs="仿宋_GB2312" w:eastAsia="仿宋_GB2312"/>
                <w:sz w:val="28"/>
              </w:rPr>
              <w:t>≈0.8m*8m；</w:t>
            </w:r>
          </w:p>
          <w:p>
            <w:pPr>
              <w:pStyle w:val="null3"/>
              <w:ind w:firstLine="560"/>
              <w:jc w:val="both"/>
            </w:pPr>
            <w:r>
              <w:rPr>
                <w:rFonts w:ascii="仿宋_GB2312" w:hAnsi="仿宋_GB2312" w:cs="仿宋_GB2312" w:eastAsia="仿宋_GB2312"/>
                <w:sz w:val="28"/>
              </w:rPr>
              <w:t>2.屏幕分辨率：P10，像素点间距≤10mm，单元板分辨率≥512Dots；</w:t>
            </w:r>
          </w:p>
          <w:p>
            <w:pPr>
              <w:pStyle w:val="null3"/>
              <w:ind w:firstLine="560"/>
              <w:jc w:val="both"/>
            </w:pPr>
            <w:r>
              <w:rPr>
                <w:rFonts w:ascii="仿宋_GB2312" w:hAnsi="仿宋_GB2312" w:cs="仿宋_GB2312" w:eastAsia="仿宋_GB2312"/>
                <w:sz w:val="28"/>
              </w:rPr>
              <w:t>3.刷新率≥60Hz；</w:t>
            </w:r>
          </w:p>
          <w:p>
            <w:pPr>
              <w:pStyle w:val="null3"/>
              <w:ind w:firstLine="560"/>
              <w:jc w:val="both"/>
            </w:pPr>
            <w:r>
              <w:rPr>
                <w:rFonts w:ascii="仿宋_GB2312" w:hAnsi="仿宋_GB2312" w:cs="仿宋_GB2312" w:eastAsia="仿宋_GB2312"/>
                <w:sz w:val="28"/>
              </w:rPr>
              <w:t>4.像素构成：1R；</w:t>
            </w:r>
          </w:p>
          <w:p>
            <w:pPr>
              <w:pStyle w:val="null3"/>
              <w:ind w:firstLine="560"/>
              <w:jc w:val="both"/>
            </w:pPr>
            <w:r>
              <w:rPr>
                <w:rFonts w:ascii="仿宋_GB2312" w:hAnsi="仿宋_GB2312" w:cs="仿宋_GB2312" w:eastAsia="仿宋_GB2312"/>
                <w:sz w:val="28"/>
              </w:rPr>
              <w:t>5.驱动方式：恒流驱动；</w:t>
            </w:r>
          </w:p>
          <w:p>
            <w:pPr>
              <w:pStyle w:val="null3"/>
              <w:ind w:firstLine="560"/>
              <w:jc w:val="both"/>
            </w:pPr>
            <w:r>
              <w:rPr>
                <w:rFonts w:ascii="仿宋_GB2312" w:hAnsi="仿宋_GB2312" w:cs="仿宋_GB2312" w:eastAsia="仿宋_GB2312"/>
                <w:sz w:val="28"/>
              </w:rPr>
              <w:t>6.控制方式：同步控制系统、异步控制系统；</w:t>
            </w:r>
          </w:p>
          <w:p>
            <w:pPr>
              <w:pStyle w:val="null3"/>
              <w:ind w:firstLine="560"/>
              <w:jc w:val="both"/>
            </w:pPr>
            <w:r>
              <w:rPr>
                <w:rFonts w:ascii="仿宋_GB2312" w:hAnsi="仿宋_GB2312" w:cs="仿宋_GB2312" w:eastAsia="仿宋_GB2312"/>
                <w:sz w:val="28"/>
              </w:rPr>
              <w:t>7.维护方式：前后双向维护；</w:t>
            </w:r>
          </w:p>
          <w:p>
            <w:pPr>
              <w:pStyle w:val="null3"/>
              <w:ind w:firstLine="560"/>
              <w:jc w:val="both"/>
            </w:pPr>
            <w:r>
              <w:rPr>
                <w:rFonts w:ascii="仿宋_GB2312" w:hAnsi="仿宋_GB2312" w:cs="仿宋_GB2312" w:eastAsia="仿宋_GB2312"/>
                <w:sz w:val="28"/>
              </w:rPr>
              <w:t>8.整屏平整度≤0.07；模组平整度≤0.04；模组套件采用无螺丝工艺套件；模组结构为灯驱合一；</w:t>
            </w:r>
          </w:p>
          <w:p>
            <w:pPr>
              <w:pStyle w:val="null3"/>
              <w:ind w:firstLine="560"/>
              <w:jc w:val="both"/>
            </w:pPr>
            <w:r>
              <w:rPr>
                <w:rFonts w:ascii="仿宋_GB2312" w:hAnsi="仿宋_GB2312" w:cs="仿宋_GB2312" w:eastAsia="仿宋_GB2312"/>
                <w:sz w:val="28"/>
              </w:rPr>
              <w:t>9.反光率≤1%；白平衡亮度≥1600cd/m²；亮度调节：0%～100%亮度可调，屏幕亮度具有随环境照度的变化任意调整功能，亮度均匀性≥97%；</w:t>
            </w:r>
          </w:p>
          <w:p>
            <w:pPr>
              <w:pStyle w:val="null3"/>
              <w:ind w:firstLine="560"/>
              <w:jc w:val="both"/>
            </w:pPr>
            <w:r>
              <w:rPr>
                <w:rFonts w:ascii="仿宋_GB2312" w:hAnsi="仿宋_GB2312" w:cs="仿宋_GB2312" w:eastAsia="仿宋_GB2312"/>
                <w:sz w:val="28"/>
              </w:rPr>
              <w:t>10.对比度≥6000:1；灰度等级≥8bit；水平视角≥160°，垂直视角≥160°，峰值功耗≤400W/m²；平均功耗≤150W/m²；</w:t>
            </w:r>
          </w:p>
          <w:p>
            <w:pPr>
              <w:pStyle w:val="null3"/>
              <w:ind w:firstLine="560"/>
              <w:jc w:val="both"/>
            </w:pPr>
            <w:r>
              <w:rPr>
                <w:rFonts w:ascii="仿宋_GB2312" w:hAnsi="仿宋_GB2312" w:cs="仿宋_GB2312" w:eastAsia="仿宋_GB2312"/>
                <w:sz w:val="28"/>
              </w:rPr>
              <w:t>11.安全性和适应性：屏体内部所用排线需符合耐高温实验、耐压测试、折弯参数测试要求，耐燃等级符合VW-1/UL94V-0；</w:t>
            </w:r>
          </w:p>
          <w:p>
            <w:pPr>
              <w:pStyle w:val="null3"/>
              <w:ind w:firstLine="560"/>
              <w:jc w:val="both"/>
            </w:pPr>
            <w:r>
              <w:rPr>
                <w:rFonts w:ascii="仿宋_GB2312" w:hAnsi="仿宋_GB2312" w:cs="仿宋_GB2312" w:eastAsia="仿宋_GB2312"/>
                <w:sz w:val="28"/>
              </w:rPr>
              <w:t>12.具有SELV电路；供电电源：在4.2*（1±10%）VDC～4.5*（1±10%）VDC范围内能正常工作；输入电压：4.2±0.1V；在器具输入插座端与屏正面之间施加试验电压3kv/50Hz，保持1min，不应出现飞弧和击穿现象，产品能正常工作；</w:t>
            </w:r>
          </w:p>
          <w:p>
            <w:pPr>
              <w:pStyle w:val="null3"/>
              <w:ind w:firstLine="560"/>
              <w:jc w:val="both"/>
            </w:pPr>
            <w:r>
              <w:rPr>
                <w:rFonts w:ascii="仿宋_GB2312" w:hAnsi="仿宋_GB2312" w:cs="仿宋_GB2312" w:eastAsia="仿宋_GB2312"/>
                <w:sz w:val="28"/>
              </w:rPr>
              <w:t>13.防护性能：具有防静电、防电磁干扰、防腐蚀、防霉菌、防虫、防潮、抗震动、抗雷击等功能；具有电源过压、过流、断电保护、分布上电措施、防护等级达到IP65；</w:t>
            </w:r>
          </w:p>
          <w:p>
            <w:pPr>
              <w:pStyle w:val="null3"/>
              <w:ind w:firstLine="560"/>
              <w:jc w:val="both"/>
            </w:pPr>
            <w:r>
              <w:rPr>
                <w:rFonts w:ascii="仿宋_GB2312" w:hAnsi="仿宋_GB2312" w:cs="仿宋_GB2312" w:eastAsia="仿宋_GB2312"/>
                <w:sz w:val="28"/>
              </w:rPr>
              <w:t>14.支持手机、平板可视化控制LED大屏，切换播放内容，定制播放计划等；支持一键点屏技术，开机后自动识别系统连接，无需重置系统配置；支持手机添加LOGO、时间、日期、文字标语、滚动字幕；</w:t>
            </w:r>
          </w:p>
          <w:p>
            <w:pPr>
              <w:pStyle w:val="null3"/>
              <w:ind w:firstLine="560"/>
              <w:jc w:val="both"/>
            </w:pPr>
            <w:r>
              <w:rPr>
                <w:rFonts w:ascii="仿宋_GB2312" w:hAnsi="仿宋_GB2312" w:cs="仿宋_GB2312" w:eastAsia="仿宋_GB2312"/>
                <w:sz w:val="28"/>
              </w:rPr>
              <w:t>15.噪声：显示屏1m范围内，前后左右4个位置噪音小于1.4dB；所投LED显示屏观看舒适度需符合：人眼视觉舒适度(VICO)1级，基本无疲劳感；</w:t>
            </w:r>
          </w:p>
          <w:p>
            <w:pPr>
              <w:pStyle w:val="null3"/>
              <w:ind w:firstLine="560"/>
              <w:jc w:val="both"/>
            </w:pPr>
            <w:r>
              <w:rPr>
                <w:rFonts w:ascii="仿宋_GB2312" w:hAnsi="仿宋_GB2312" w:cs="仿宋_GB2312" w:eastAsia="仿宋_GB2312"/>
                <w:sz w:val="28"/>
              </w:rPr>
              <w:t>16.灯管：灯珠引脚无氧化，焊接正常，灯珠胶体正常，点亮正常；灯管抗静电(ESD)测试：HBM模式：ESD&gt;2000V，灯珠点亮无异常；灯管红墨水试验：纯红墨水常温浸泡24h，无渗透，灯管气密性良好；</w:t>
            </w:r>
          </w:p>
          <w:p>
            <w:pPr>
              <w:pStyle w:val="null3"/>
              <w:ind w:firstLine="560"/>
              <w:jc w:val="both"/>
            </w:pPr>
            <w:r>
              <w:rPr>
                <w:rFonts w:ascii="仿宋_GB2312" w:hAnsi="仿宋_GB2312" w:cs="仿宋_GB2312" w:eastAsia="仿宋_GB2312"/>
                <w:sz w:val="28"/>
              </w:rPr>
              <w:t>17.高、低温负荷工作：通过零下40℃和高温80℃的环境试验运行12h产品能正常工作；高、低温存储：LED显示屏须通过零下40℃和高温80℃的试验环境存放48h产品能正常工作；</w:t>
            </w:r>
          </w:p>
          <w:p>
            <w:pPr>
              <w:pStyle w:val="null3"/>
              <w:ind w:firstLine="560"/>
              <w:jc w:val="both"/>
            </w:pPr>
            <w:r>
              <w:rPr>
                <w:rFonts w:ascii="仿宋_GB2312" w:hAnsi="仿宋_GB2312" w:cs="仿宋_GB2312" w:eastAsia="仿宋_GB2312"/>
                <w:sz w:val="28"/>
              </w:rPr>
              <w:t>18.屏幕表面光反射率：照度=10Lux/5600K条件下，显示屏屏幕表面光反射率（单位面积反射亮度）＜3.0cd/m²。</w:t>
            </w:r>
          </w:p>
          <w:p>
            <w:pPr>
              <w:pStyle w:val="null3"/>
              <w:ind w:firstLine="560"/>
              <w:jc w:val="both"/>
            </w:pPr>
            <w:r>
              <w:rPr>
                <w:rFonts w:ascii="仿宋_GB2312" w:hAnsi="仿宋_GB2312" w:cs="仿宋_GB2312" w:eastAsia="仿宋_GB2312"/>
                <w:sz w:val="28"/>
                <w:b/>
              </w:rPr>
              <w:t>（三）牵引动力学院</w:t>
            </w:r>
            <w:r>
              <w:rPr>
                <w:rFonts w:ascii="仿宋_GB2312" w:hAnsi="仿宋_GB2312" w:cs="仿宋_GB2312" w:eastAsia="仿宋_GB2312"/>
                <w:sz w:val="28"/>
                <w:b/>
              </w:rPr>
              <w:t>“铁马精神”文化</w:t>
            </w:r>
            <w:r>
              <w:rPr>
                <w:rFonts w:ascii="仿宋_GB2312" w:hAnsi="仿宋_GB2312" w:cs="仿宋_GB2312" w:eastAsia="仿宋_GB2312"/>
                <w:sz w:val="28"/>
                <w:b/>
              </w:rPr>
              <w:t>展厅</w:t>
            </w:r>
            <w:r>
              <w:rPr>
                <w:rFonts w:ascii="仿宋_GB2312" w:hAnsi="仿宋_GB2312" w:cs="仿宋_GB2312" w:eastAsia="仿宋_GB2312"/>
                <w:sz w:val="28"/>
                <w:b/>
              </w:rPr>
              <w:t>建设</w:t>
            </w:r>
          </w:p>
          <w:p>
            <w:pPr>
              <w:pStyle w:val="null3"/>
              <w:ind w:firstLine="560"/>
              <w:jc w:val="both"/>
            </w:pPr>
            <w:r>
              <w:rPr>
                <w:rFonts w:ascii="仿宋_GB2312" w:hAnsi="仿宋_GB2312" w:cs="仿宋_GB2312" w:eastAsia="仿宋_GB2312"/>
                <w:sz w:val="28"/>
              </w:rPr>
              <w:t>1.区域说明</w:t>
            </w:r>
            <w:r>
              <w:rPr>
                <w:rFonts w:ascii="仿宋_GB2312" w:hAnsi="仿宋_GB2312" w:cs="仿宋_GB2312" w:eastAsia="仿宋_GB2312"/>
                <w:sz w:val="28"/>
              </w:rPr>
              <w:t>：</w:t>
            </w:r>
            <w:r>
              <w:rPr>
                <w:rFonts w:ascii="仿宋_GB2312" w:hAnsi="仿宋_GB2312" w:cs="仿宋_GB2312" w:eastAsia="仿宋_GB2312"/>
                <w:sz w:val="28"/>
              </w:rPr>
              <w:t>设计面积</w:t>
            </w:r>
            <w:r>
              <w:rPr>
                <w:rFonts w:ascii="仿宋_GB2312" w:hAnsi="仿宋_GB2312" w:cs="仿宋_GB2312" w:eastAsia="仿宋_GB2312"/>
                <w:sz w:val="28"/>
              </w:rPr>
              <w:t>约</w:t>
            </w:r>
            <w:r>
              <w:rPr>
                <w:rFonts w:ascii="仿宋_GB2312" w:hAnsi="仿宋_GB2312" w:cs="仿宋_GB2312" w:eastAsia="仿宋_GB2312"/>
                <w:sz w:val="28"/>
              </w:rPr>
              <w:t>450</w:t>
            </w:r>
            <w:r>
              <w:rPr>
                <w:rFonts w:ascii="仿宋_GB2312" w:hAnsi="仿宋_GB2312" w:cs="仿宋_GB2312" w:eastAsia="仿宋_GB2312"/>
                <w:sz w:val="28"/>
              </w:rPr>
              <w:t>㎡，</w:t>
            </w:r>
            <w:r>
              <w:rPr>
                <w:rFonts w:ascii="仿宋_GB2312" w:hAnsi="仿宋_GB2312" w:cs="仿宋_GB2312" w:eastAsia="仿宋_GB2312"/>
                <w:sz w:val="28"/>
              </w:rPr>
              <w:t>位于牵引动力学院一楼大厅</w:t>
            </w:r>
            <w:r>
              <w:rPr>
                <w:rFonts w:ascii="仿宋_GB2312" w:hAnsi="仿宋_GB2312" w:cs="仿宋_GB2312" w:eastAsia="仿宋_GB2312"/>
                <w:sz w:val="28"/>
              </w:rPr>
              <w:t>，该大厅挑高约</w:t>
            </w:r>
            <w:r>
              <w:rPr>
                <w:rFonts w:ascii="仿宋_GB2312" w:hAnsi="仿宋_GB2312" w:cs="仿宋_GB2312" w:eastAsia="仿宋_GB2312"/>
                <w:sz w:val="28"/>
              </w:rPr>
              <w:t>4.5</w:t>
            </w:r>
            <w:r>
              <w:rPr>
                <w:rFonts w:ascii="仿宋_GB2312" w:hAnsi="仿宋_GB2312" w:cs="仿宋_GB2312" w:eastAsia="仿宋_GB2312"/>
                <w:sz w:val="28"/>
              </w:rPr>
              <w:t>米，整体呈</w:t>
            </w:r>
            <w:r>
              <w:rPr>
                <w:rFonts w:ascii="仿宋_GB2312" w:hAnsi="仿宋_GB2312" w:cs="仿宋_GB2312" w:eastAsia="仿宋_GB2312"/>
                <w:sz w:val="28"/>
              </w:rPr>
              <w:t>“</w:t>
            </w:r>
            <w:r>
              <w:rPr>
                <w:rFonts w:ascii="仿宋_GB2312" w:hAnsi="仿宋_GB2312" w:cs="仿宋_GB2312" w:eastAsia="仿宋_GB2312"/>
                <w:sz w:val="28"/>
              </w:rPr>
              <w:t>凹</w:t>
            </w:r>
            <w:r>
              <w:rPr>
                <w:rFonts w:ascii="仿宋_GB2312" w:hAnsi="仿宋_GB2312" w:cs="仿宋_GB2312" w:eastAsia="仿宋_GB2312"/>
                <w:sz w:val="28"/>
              </w:rPr>
              <w:t>”型布局。</w:t>
            </w:r>
          </w:p>
          <w:p>
            <w:pPr>
              <w:pStyle w:val="null3"/>
              <w:ind w:firstLine="560"/>
              <w:jc w:val="both"/>
            </w:pPr>
            <w:r>
              <w:rPr>
                <w:rFonts w:ascii="仿宋_GB2312" w:hAnsi="仿宋_GB2312" w:cs="仿宋_GB2312" w:eastAsia="仿宋_GB2312"/>
                <w:sz w:val="28"/>
              </w:rPr>
              <w:t>2.设计要求</w:t>
            </w:r>
            <w:r>
              <w:rPr>
                <w:rFonts w:ascii="仿宋_GB2312" w:hAnsi="仿宋_GB2312" w:cs="仿宋_GB2312" w:eastAsia="仿宋_GB2312"/>
                <w:sz w:val="28"/>
              </w:rPr>
              <w:t>：</w:t>
            </w:r>
            <w:r>
              <w:rPr>
                <w:rFonts w:ascii="仿宋_GB2312" w:hAnsi="仿宋_GB2312" w:cs="仿宋_GB2312" w:eastAsia="仿宋_GB2312"/>
                <w:sz w:val="28"/>
              </w:rPr>
              <w:t>采用</w:t>
            </w:r>
            <w:r>
              <w:rPr>
                <w:rFonts w:ascii="仿宋_GB2312" w:hAnsi="仿宋_GB2312" w:cs="仿宋_GB2312" w:eastAsia="仿宋_GB2312"/>
                <w:sz w:val="28"/>
              </w:rPr>
              <w:t>“工业风 + 科技感”融合设计语言，</w:t>
            </w:r>
            <w:r>
              <w:rPr>
                <w:rFonts w:ascii="仿宋_GB2312" w:hAnsi="仿宋_GB2312" w:cs="仿宋_GB2312" w:eastAsia="仿宋_GB2312"/>
                <w:sz w:val="28"/>
              </w:rPr>
              <w:t>紧扣</w:t>
            </w:r>
            <w:r>
              <w:rPr>
                <w:rFonts w:ascii="仿宋_GB2312" w:hAnsi="仿宋_GB2312" w:cs="仿宋_GB2312" w:eastAsia="仿宋_GB2312"/>
                <w:sz w:val="28"/>
              </w:rPr>
              <w:t>“铁马精神”内核进行相应内容布局，形成规划说明及设计说明的整体思路，体现学院专业特色及精神价值。包括在色系应用及元素提炼方面，需与学院特色相关联，重在体现“铁马精神”的价值内涵。</w:t>
            </w:r>
          </w:p>
          <w:p>
            <w:pPr>
              <w:pStyle w:val="null3"/>
              <w:ind w:firstLine="560"/>
              <w:jc w:val="both"/>
            </w:pPr>
            <w:r>
              <w:rPr>
                <w:rFonts w:ascii="仿宋_GB2312" w:hAnsi="仿宋_GB2312" w:cs="仿宋_GB2312" w:eastAsia="仿宋_GB2312"/>
                <w:sz w:val="28"/>
              </w:rPr>
              <w:t>3.工艺要求：包含但不限于</w:t>
            </w:r>
            <w:r>
              <w:rPr>
                <w:rFonts w:ascii="仿宋_GB2312" w:hAnsi="仿宋_GB2312" w:cs="仿宋_GB2312" w:eastAsia="仿宋_GB2312"/>
                <w:sz w:val="28"/>
              </w:rPr>
              <w:t>基层处理、</w:t>
            </w:r>
            <w:r>
              <w:rPr>
                <w:rFonts w:ascii="仿宋_GB2312" w:hAnsi="仿宋_GB2312" w:cs="仿宋_GB2312" w:eastAsia="仿宋_GB2312"/>
                <w:sz w:val="28"/>
              </w:rPr>
              <w:t>宣绒布，</w:t>
            </w:r>
            <w:r>
              <w:rPr>
                <w:rFonts w:ascii="仿宋_GB2312" w:hAnsi="仿宋_GB2312" w:cs="仿宋_GB2312" w:eastAsia="仿宋_GB2312"/>
                <w:sz w:val="28"/>
              </w:rPr>
              <w:t>立体字雕刻</w:t>
            </w:r>
            <w:r>
              <w:rPr>
                <w:rFonts w:ascii="仿宋_GB2312" w:hAnsi="仿宋_GB2312" w:cs="仿宋_GB2312" w:eastAsia="仿宋_GB2312"/>
                <w:sz w:val="28"/>
              </w:rPr>
              <w:t>，</w:t>
            </w:r>
            <w:r>
              <w:rPr>
                <w:rFonts w:ascii="仿宋_GB2312" w:hAnsi="仿宋_GB2312" w:cs="仿宋_GB2312" w:eastAsia="仿宋_GB2312"/>
                <w:sz w:val="28"/>
              </w:rPr>
              <w:t>高密度</w:t>
            </w:r>
            <w:r>
              <w:rPr>
                <w:rFonts w:ascii="仿宋_GB2312" w:hAnsi="仿宋_GB2312" w:cs="仿宋_GB2312" w:eastAsia="仿宋_GB2312"/>
                <w:sz w:val="28"/>
              </w:rPr>
              <w:t>PVC</w:t>
            </w:r>
            <w:r>
              <w:rPr>
                <w:rFonts w:ascii="仿宋_GB2312" w:hAnsi="仿宋_GB2312" w:cs="仿宋_GB2312" w:eastAsia="仿宋_GB2312"/>
                <w:sz w:val="28"/>
              </w:rPr>
              <w:t>加</w:t>
            </w:r>
            <w:r>
              <w:rPr>
                <w:rFonts w:ascii="仿宋_GB2312" w:hAnsi="仿宋_GB2312" w:cs="仿宋_GB2312" w:eastAsia="仿宋_GB2312"/>
                <w:sz w:val="28"/>
              </w:rPr>
              <w:t>亚克力板</w:t>
            </w:r>
            <w:r>
              <w:rPr>
                <w:rFonts w:ascii="仿宋_GB2312" w:hAnsi="仿宋_GB2312" w:cs="仿宋_GB2312" w:eastAsia="仿宋_GB2312"/>
                <w:sz w:val="28"/>
              </w:rPr>
              <w:t>UV</w:t>
            </w:r>
            <w:r>
              <w:rPr>
                <w:rFonts w:ascii="仿宋_GB2312" w:hAnsi="仿宋_GB2312" w:cs="仿宋_GB2312" w:eastAsia="仿宋_GB2312"/>
                <w:sz w:val="28"/>
              </w:rPr>
              <w:t>装饰造型</w:t>
            </w:r>
            <w:r>
              <w:rPr>
                <w:rFonts w:ascii="仿宋_GB2312" w:hAnsi="仿宋_GB2312" w:cs="仿宋_GB2312" w:eastAsia="仿宋_GB2312"/>
                <w:sz w:val="28"/>
              </w:rPr>
              <w:t>，</w:t>
            </w:r>
            <w:r>
              <w:rPr>
                <w:rFonts w:ascii="仿宋_GB2312" w:hAnsi="仿宋_GB2312" w:cs="仿宋_GB2312" w:eastAsia="仿宋_GB2312"/>
                <w:sz w:val="28"/>
              </w:rPr>
              <w:t>磁吸塑贴片</w:t>
            </w:r>
            <w:r>
              <w:rPr>
                <w:rFonts w:ascii="仿宋_GB2312" w:hAnsi="仿宋_GB2312" w:cs="仿宋_GB2312" w:eastAsia="仿宋_GB2312"/>
                <w:sz w:val="28"/>
              </w:rPr>
              <w:t>，灯光设计等综合工艺</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4.响应单位需提供符合以上要求的完整设计方案。</w:t>
            </w:r>
          </w:p>
          <w:p>
            <w:pPr>
              <w:pStyle w:val="null3"/>
              <w:ind w:firstLine="560"/>
              <w:jc w:val="both"/>
            </w:pPr>
            <w:r>
              <w:rPr>
                <w:rFonts w:ascii="仿宋_GB2312" w:hAnsi="仿宋_GB2312" w:cs="仿宋_GB2312" w:eastAsia="仿宋_GB2312"/>
                <w:sz w:val="28"/>
                <w:b/>
              </w:rPr>
              <w:t>（四）学生社区门头造型</w:t>
            </w:r>
          </w:p>
          <w:p>
            <w:pPr>
              <w:pStyle w:val="null3"/>
              <w:ind w:firstLine="560"/>
              <w:jc w:val="both"/>
            </w:pPr>
            <w:r>
              <w:rPr>
                <w:rFonts w:ascii="仿宋_GB2312" w:hAnsi="仿宋_GB2312" w:cs="仿宋_GB2312" w:eastAsia="仿宋_GB2312"/>
                <w:sz w:val="28"/>
              </w:rPr>
              <w:t>1.区域说明</w:t>
            </w:r>
            <w:r>
              <w:rPr>
                <w:rFonts w:ascii="仿宋_GB2312" w:hAnsi="仿宋_GB2312" w:cs="仿宋_GB2312" w:eastAsia="仿宋_GB2312"/>
                <w:sz w:val="28"/>
              </w:rPr>
              <w:t>：</w:t>
            </w:r>
            <w:r>
              <w:rPr>
                <w:rFonts w:ascii="仿宋_GB2312" w:hAnsi="仿宋_GB2312" w:cs="仿宋_GB2312" w:eastAsia="仿宋_GB2312"/>
                <w:sz w:val="28"/>
              </w:rPr>
              <w:t>项目位于学生社区，</w:t>
            </w:r>
            <w:r>
              <w:rPr>
                <w:rFonts w:ascii="仿宋_GB2312" w:hAnsi="仿宋_GB2312" w:cs="仿宋_GB2312" w:eastAsia="仿宋_GB2312"/>
                <w:sz w:val="28"/>
              </w:rPr>
              <w:t>跨度不小于</w:t>
            </w:r>
            <w:r>
              <w:rPr>
                <w:rFonts w:ascii="仿宋_GB2312" w:hAnsi="仿宋_GB2312" w:cs="仿宋_GB2312" w:eastAsia="仿宋_GB2312"/>
                <w:sz w:val="28"/>
              </w:rPr>
              <w:t>8</w:t>
            </w:r>
            <w:r>
              <w:rPr>
                <w:rFonts w:ascii="仿宋_GB2312" w:hAnsi="仿宋_GB2312" w:cs="仿宋_GB2312" w:eastAsia="仿宋_GB2312"/>
                <w:sz w:val="28"/>
              </w:rPr>
              <w:t>m，净空符合消防标准；</w:t>
            </w:r>
          </w:p>
          <w:p>
            <w:pPr>
              <w:pStyle w:val="null3"/>
              <w:ind w:firstLine="560"/>
              <w:jc w:val="both"/>
            </w:pPr>
            <w:r>
              <w:rPr>
                <w:rFonts w:ascii="仿宋_GB2312" w:hAnsi="仿宋_GB2312" w:cs="仿宋_GB2312" w:eastAsia="仿宋_GB2312"/>
                <w:sz w:val="28"/>
              </w:rPr>
              <w:t>2.设计要求</w:t>
            </w:r>
            <w:r>
              <w:rPr>
                <w:rFonts w:ascii="仿宋_GB2312" w:hAnsi="仿宋_GB2312" w:cs="仿宋_GB2312" w:eastAsia="仿宋_GB2312"/>
                <w:sz w:val="28"/>
              </w:rPr>
              <w:t>：</w:t>
            </w:r>
            <w:r>
              <w:rPr>
                <w:rFonts w:ascii="仿宋_GB2312" w:hAnsi="仿宋_GB2312" w:cs="仿宋_GB2312" w:eastAsia="仿宋_GB2312"/>
                <w:sz w:val="28"/>
              </w:rPr>
              <w:t>造型设计需</w:t>
            </w:r>
            <w:r>
              <w:rPr>
                <w:rFonts w:ascii="仿宋_GB2312" w:hAnsi="仿宋_GB2312" w:cs="仿宋_GB2312" w:eastAsia="仿宋_GB2312"/>
                <w:sz w:val="28"/>
              </w:rPr>
              <w:t>深入</w:t>
            </w:r>
            <w:r>
              <w:rPr>
                <w:rFonts w:ascii="仿宋_GB2312" w:hAnsi="仿宋_GB2312" w:cs="仿宋_GB2312" w:eastAsia="仿宋_GB2312"/>
                <w:sz w:val="28"/>
              </w:rPr>
              <w:t>融入学校</w:t>
            </w:r>
            <w:r>
              <w:rPr>
                <w:rFonts w:ascii="仿宋_GB2312" w:hAnsi="仿宋_GB2312" w:cs="仿宋_GB2312" w:eastAsia="仿宋_GB2312"/>
                <w:sz w:val="28"/>
              </w:rPr>
              <w:t>元素</w:t>
            </w:r>
            <w:r>
              <w:rPr>
                <w:rFonts w:ascii="仿宋_GB2312" w:hAnsi="仿宋_GB2312" w:cs="仿宋_GB2312" w:eastAsia="仿宋_GB2312"/>
                <w:sz w:val="28"/>
              </w:rPr>
              <w:t>，整体风格需与校园</w:t>
            </w:r>
            <w:r>
              <w:rPr>
                <w:rFonts w:ascii="仿宋_GB2312" w:hAnsi="仿宋_GB2312" w:cs="仿宋_GB2312" w:eastAsia="仿宋_GB2312"/>
                <w:sz w:val="28"/>
              </w:rPr>
              <w:t>“一环两轴”文化体系协调，体现“全国高校示范‘一站式’学生社区”的品牌定位。</w:t>
            </w:r>
          </w:p>
          <w:p>
            <w:pPr>
              <w:pStyle w:val="null3"/>
              <w:ind w:firstLine="560"/>
              <w:jc w:val="both"/>
            </w:pPr>
            <w:r>
              <w:rPr>
                <w:rFonts w:ascii="仿宋_GB2312" w:hAnsi="仿宋_GB2312" w:cs="仿宋_GB2312" w:eastAsia="仿宋_GB2312"/>
                <w:sz w:val="28"/>
              </w:rPr>
              <w:t>3.工艺要求</w:t>
            </w:r>
            <w:r>
              <w:rPr>
                <w:rFonts w:ascii="仿宋_GB2312" w:hAnsi="仿宋_GB2312" w:cs="仿宋_GB2312" w:eastAsia="仿宋_GB2312"/>
                <w:sz w:val="28"/>
              </w:rPr>
              <w:t>：</w:t>
            </w:r>
            <w:r>
              <w:rPr>
                <w:rFonts w:ascii="仿宋_GB2312" w:hAnsi="仿宋_GB2312" w:cs="仿宋_GB2312" w:eastAsia="仿宋_GB2312"/>
                <w:sz w:val="28"/>
              </w:rPr>
              <w:t>整体钢结构主体，</w:t>
            </w:r>
            <w:r>
              <w:rPr>
                <w:rFonts w:ascii="仿宋_GB2312" w:hAnsi="仿宋_GB2312" w:cs="仿宋_GB2312" w:eastAsia="仿宋_GB2312"/>
                <w:sz w:val="28"/>
              </w:rPr>
              <w:t>镀锌板激光切割、折弯、造型烤漆、预埋安装、内置</w:t>
            </w:r>
            <w:r>
              <w:rPr>
                <w:rFonts w:ascii="仿宋_GB2312" w:hAnsi="仿宋_GB2312" w:cs="仿宋_GB2312" w:eastAsia="仿宋_GB2312"/>
                <w:sz w:val="28"/>
              </w:rPr>
              <w:t>LED光源及安装等；</w:t>
            </w:r>
          </w:p>
          <w:p>
            <w:pPr>
              <w:pStyle w:val="null3"/>
              <w:ind w:firstLine="560"/>
              <w:jc w:val="both"/>
            </w:pPr>
            <w:r>
              <w:rPr>
                <w:rFonts w:ascii="仿宋_GB2312" w:hAnsi="仿宋_GB2312" w:cs="仿宋_GB2312" w:eastAsia="仿宋_GB2312"/>
                <w:sz w:val="28"/>
              </w:rPr>
              <w:t>4.响应单位需提供符合以上要求的完整设计方案。</w:t>
            </w:r>
          </w:p>
          <w:p>
            <w:pPr>
              <w:pStyle w:val="null3"/>
              <w:ind w:firstLine="560"/>
              <w:jc w:val="both"/>
            </w:pPr>
            <w:r>
              <w:rPr>
                <w:rFonts w:ascii="仿宋_GB2312" w:hAnsi="仿宋_GB2312" w:cs="仿宋_GB2312" w:eastAsia="仿宋_GB2312"/>
                <w:sz w:val="28"/>
                <w:b/>
              </w:rPr>
              <w:t>四、服务要求</w:t>
            </w:r>
          </w:p>
          <w:p>
            <w:pPr>
              <w:pStyle w:val="null3"/>
              <w:ind w:firstLine="560"/>
              <w:jc w:val="both"/>
            </w:pPr>
            <w:r>
              <w:rPr>
                <w:rFonts w:ascii="仿宋_GB2312" w:hAnsi="仿宋_GB2312" w:cs="仿宋_GB2312" w:eastAsia="仿宋_GB2312"/>
                <w:sz w:val="28"/>
              </w:rPr>
              <w:t>1.整体项目符合国家、行业、地方</w:t>
            </w:r>
            <w:r>
              <w:rPr>
                <w:rFonts w:ascii="仿宋_GB2312" w:hAnsi="仿宋_GB2312" w:cs="仿宋_GB2312" w:eastAsia="仿宋_GB2312"/>
                <w:sz w:val="28"/>
              </w:rPr>
              <w:t>和采购方</w:t>
            </w:r>
            <w:r>
              <w:rPr>
                <w:rFonts w:ascii="仿宋_GB2312" w:hAnsi="仿宋_GB2312" w:cs="仿宋_GB2312" w:eastAsia="仿宋_GB2312"/>
                <w:sz w:val="28"/>
              </w:rPr>
              <w:t>的相关要求；</w:t>
            </w:r>
          </w:p>
          <w:p>
            <w:pPr>
              <w:pStyle w:val="null3"/>
              <w:ind w:firstLine="560"/>
              <w:jc w:val="both"/>
            </w:pPr>
            <w:r>
              <w:rPr>
                <w:rFonts w:ascii="仿宋_GB2312" w:hAnsi="仿宋_GB2312" w:cs="仿宋_GB2312" w:eastAsia="仿宋_GB2312"/>
                <w:sz w:val="28"/>
              </w:rPr>
              <w:t>2.供应商需有专业的策划团队、施工团队；</w:t>
            </w:r>
          </w:p>
          <w:p>
            <w:pPr>
              <w:pStyle w:val="null3"/>
              <w:ind w:firstLine="560"/>
              <w:jc w:val="both"/>
            </w:pPr>
            <w:r>
              <w:rPr>
                <w:rFonts w:ascii="仿宋_GB2312" w:hAnsi="仿宋_GB2312" w:cs="仿宋_GB2312" w:eastAsia="仿宋_GB2312"/>
                <w:sz w:val="28"/>
              </w:rPr>
              <w:t>3.供应商具有校园文化类型项目服务经验；</w:t>
            </w:r>
          </w:p>
          <w:p>
            <w:pPr>
              <w:pStyle w:val="null3"/>
              <w:ind w:firstLine="560"/>
              <w:jc w:val="both"/>
            </w:pPr>
            <w:r>
              <w:rPr>
                <w:rFonts w:ascii="仿宋_GB2312" w:hAnsi="仿宋_GB2312" w:cs="仿宋_GB2312" w:eastAsia="仿宋_GB2312"/>
                <w:sz w:val="28"/>
              </w:rPr>
              <w:t>4.供应商需有项目小组提供全程服务。</w:t>
            </w:r>
          </w:p>
          <w:p>
            <w:pPr>
              <w:pStyle w:val="null3"/>
              <w:ind w:firstLine="560"/>
              <w:jc w:val="both"/>
            </w:pPr>
            <w:r>
              <w:rPr>
                <w:rFonts w:ascii="仿宋_GB2312" w:hAnsi="仿宋_GB2312" w:cs="仿宋_GB2312" w:eastAsia="仿宋_GB2312"/>
                <w:sz w:val="28"/>
                <w:b/>
              </w:rPr>
              <w:t>五、</w:t>
            </w:r>
            <w:r>
              <w:rPr>
                <w:rFonts w:ascii="仿宋_GB2312" w:hAnsi="仿宋_GB2312" w:cs="仿宋_GB2312" w:eastAsia="仿宋_GB2312"/>
                <w:sz w:val="28"/>
                <w:b/>
              </w:rPr>
              <w:t>产品质保期</w:t>
            </w:r>
          </w:p>
          <w:p>
            <w:pPr>
              <w:pStyle w:val="null3"/>
              <w:ind w:firstLine="560"/>
              <w:jc w:val="both"/>
            </w:pPr>
            <w:r>
              <w:rPr>
                <w:rFonts w:ascii="仿宋_GB2312" w:hAnsi="仿宋_GB2312" w:cs="仿宋_GB2312" w:eastAsia="仿宋_GB2312"/>
                <w:sz w:val="28"/>
              </w:rPr>
              <w:t>1.质保期：所有产品及施工质量自验收合格之日起5年。</w:t>
            </w:r>
          </w:p>
          <w:p>
            <w:pPr>
              <w:pStyle w:val="null3"/>
              <w:ind w:firstLine="560"/>
              <w:jc w:val="both"/>
            </w:pPr>
            <w:r>
              <w:rPr>
                <w:rFonts w:ascii="仿宋_GB2312" w:hAnsi="仿宋_GB2312" w:cs="仿宋_GB2312" w:eastAsia="仿宋_GB2312"/>
                <w:sz w:val="28"/>
              </w:rPr>
              <w:t>2.质量要求：符合国家、行业、地方规定以及招标文件规定标准要求。</w:t>
            </w:r>
          </w:p>
          <w:p>
            <w:pPr>
              <w:pStyle w:val="null3"/>
              <w:ind w:firstLine="560"/>
              <w:jc w:val="both"/>
            </w:pPr>
            <w:r>
              <w:rPr>
                <w:rFonts w:ascii="仿宋_GB2312" w:hAnsi="仿宋_GB2312" w:cs="仿宋_GB2312" w:eastAsia="仿宋_GB2312"/>
                <w:sz w:val="28"/>
              </w:rPr>
              <w:t>3.服务内容：</w:t>
            </w:r>
          </w:p>
          <w:p>
            <w:pPr>
              <w:pStyle w:val="null3"/>
              <w:ind w:firstLine="560"/>
              <w:jc w:val="both"/>
            </w:pPr>
            <w:r>
              <w:rPr>
                <w:rFonts w:ascii="仿宋_GB2312" w:hAnsi="仿宋_GB2312" w:cs="仿宋_GB2312" w:eastAsia="仿宋_GB2312"/>
                <w:sz w:val="28"/>
              </w:rPr>
              <w:t>服务响应时间（质保期内）：即时响应（包括电话响应）；</w:t>
            </w:r>
            <w:r>
              <w:rPr>
                <w:rFonts w:ascii="仿宋_GB2312" w:hAnsi="仿宋_GB2312" w:cs="仿宋_GB2312" w:eastAsia="仿宋_GB2312"/>
                <w:sz w:val="28"/>
              </w:rPr>
              <w:t>12小时内到达现场（如电话响应无法解决）。修复时间（质保期内）48小时内解决；如在48小时内无法修复，则应采取应急措施，提供相同产品或不低于故障产品规格档次的备用产品供采购人使用，以确保正常使用。</w:t>
            </w:r>
          </w:p>
          <w:p>
            <w:pPr>
              <w:pStyle w:val="null3"/>
              <w:ind w:firstLine="560"/>
              <w:jc w:val="both"/>
            </w:pPr>
            <w:r>
              <w:rPr>
                <w:rFonts w:ascii="仿宋_GB2312" w:hAnsi="仿宋_GB2312" w:cs="仿宋_GB2312" w:eastAsia="仿宋_GB2312"/>
                <w:sz w:val="28"/>
              </w:rPr>
              <w:t>4.服务费用：</w:t>
            </w:r>
            <w:r>
              <w:rPr>
                <w:rFonts w:ascii="仿宋_GB2312" w:hAnsi="仿宋_GB2312" w:cs="仿宋_GB2312" w:eastAsia="仿宋_GB2312"/>
                <w:sz w:val="28"/>
              </w:rPr>
              <w:t>质保期内，</w:t>
            </w:r>
            <w:r>
              <w:rPr>
                <w:rFonts w:ascii="仿宋_GB2312" w:hAnsi="仿宋_GB2312" w:cs="仿宋_GB2312" w:eastAsia="仿宋_GB2312"/>
                <w:sz w:val="28"/>
              </w:rPr>
              <w:t>非人为故意损坏免费维修；超出质保期，按照市场价格维修。</w:t>
            </w:r>
          </w:p>
          <w:p>
            <w:pPr>
              <w:pStyle w:val="null3"/>
              <w:ind w:firstLine="560"/>
              <w:jc w:val="both"/>
            </w:pPr>
            <w:r>
              <w:rPr>
                <w:rFonts w:ascii="仿宋_GB2312" w:hAnsi="仿宋_GB2312" w:cs="仿宋_GB2312" w:eastAsia="仿宋_GB2312"/>
                <w:sz w:val="28"/>
                <w:b/>
              </w:rPr>
              <w:t>六、</w:t>
            </w:r>
            <w:r>
              <w:rPr>
                <w:rFonts w:ascii="仿宋_GB2312" w:hAnsi="仿宋_GB2312" w:cs="仿宋_GB2312" w:eastAsia="仿宋_GB2312"/>
                <w:sz w:val="28"/>
                <w:b/>
              </w:rPr>
              <w:t>商务要求</w:t>
            </w:r>
          </w:p>
          <w:p>
            <w:pPr>
              <w:pStyle w:val="null3"/>
              <w:ind w:firstLine="560"/>
              <w:jc w:val="both"/>
            </w:pPr>
            <w:r>
              <w:rPr>
                <w:rFonts w:ascii="仿宋_GB2312" w:hAnsi="仿宋_GB2312" w:cs="仿宋_GB2312" w:eastAsia="仿宋_GB2312"/>
                <w:sz w:val="28"/>
              </w:rPr>
              <w:t>商务条款则是当事人自己需要权衡和决策的问题，主要是与经济利益密切相关的交易标的、价格、付款条件等条款。</w:t>
            </w:r>
          </w:p>
          <w:p>
            <w:pPr>
              <w:pStyle w:val="null3"/>
              <w:ind w:firstLine="560"/>
              <w:jc w:val="both"/>
            </w:pPr>
            <w:r>
              <w:rPr>
                <w:rFonts w:ascii="仿宋_GB2312" w:hAnsi="仿宋_GB2312" w:cs="仿宋_GB2312" w:eastAsia="仿宋_GB2312"/>
                <w:sz w:val="28"/>
              </w:rPr>
              <w:t>1.交付期（含安装、调试、设计周期、工期）：合同签订后</w:t>
            </w:r>
            <w:r>
              <w:rPr>
                <w:rFonts w:ascii="仿宋_GB2312" w:hAnsi="仿宋_GB2312" w:cs="仿宋_GB2312" w:eastAsia="仿宋_GB2312"/>
                <w:sz w:val="28"/>
              </w:rPr>
              <w:t>30</w:t>
            </w:r>
            <w:r>
              <w:rPr>
                <w:rFonts w:ascii="仿宋_GB2312" w:hAnsi="仿宋_GB2312" w:cs="仿宋_GB2312" w:eastAsia="仿宋_GB2312"/>
                <w:sz w:val="28"/>
              </w:rPr>
              <w:t>日历日。</w:t>
            </w:r>
          </w:p>
          <w:p>
            <w:pPr>
              <w:pStyle w:val="null3"/>
              <w:ind w:firstLine="560"/>
              <w:jc w:val="both"/>
            </w:pPr>
            <w:r>
              <w:rPr>
                <w:rFonts w:ascii="仿宋_GB2312" w:hAnsi="仿宋_GB2312" w:cs="仿宋_GB2312" w:eastAsia="仿宋_GB2312"/>
                <w:sz w:val="28"/>
              </w:rPr>
              <w:t>2.交付地点：采购人指定地点。</w:t>
            </w:r>
          </w:p>
          <w:p>
            <w:pPr>
              <w:pStyle w:val="null3"/>
              <w:ind w:firstLine="560"/>
              <w:jc w:val="both"/>
            </w:pPr>
            <w:r>
              <w:rPr>
                <w:rFonts w:ascii="仿宋_GB2312" w:hAnsi="仿宋_GB2312" w:cs="仿宋_GB2312" w:eastAsia="仿宋_GB2312"/>
                <w:sz w:val="28"/>
              </w:rPr>
              <w:t>3.验收方式：供应商按采购方要求，布展设计完成并经采购人确认后，并到指定地点，完成安装调试及后续工作后由采购人依据国家、省、市现行法规、规范及标准及磋商文件的采购参数内容的标准进行验收。</w:t>
            </w:r>
          </w:p>
          <w:p>
            <w:pPr>
              <w:pStyle w:val="null3"/>
              <w:ind w:firstLine="560"/>
              <w:jc w:val="both"/>
            </w:pPr>
            <w:r>
              <w:rPr>
                <w:rFonts w:ascii="仿宋_GB2312" w:hAnsi="仿宋_GB2312" w:cs="仿宋_GB2312" w:eastAsia="仿宋_GB2312"/>
                <w:sz w:val="28"/>
              </w:rPr>
              <w:t>4.付款方式：</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合同签订后支付合同总价款的6</w:t>
            </w:r>
            <w:r>
              <w:rPr>
                <w:rFonts w:ascii="仿宋_GB2312" w:hAnsi="仿宋_GB2312" w:cs="仿宋_GB2312" w:eastAsia="仿宋_GB2312"/>
                <w:sz w:val="28"/>
              </w:rPr>
              <w:t>0%；</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）项目完工后，验收合格后，支付剩余的40%。</w:t>
            </w:r>
          </w:p>
          <w:p>
            <w:pPr>
              <w:pStyle w:val="null3"/>
              <w:ind w:firstLine="560"/>
              <w:jc w:val="both"/>
            </w:pPr>
            <w:r>
              <w:rPr>
                <w:rFonts w:ascii="仿宋_GB2312" w:hAnsi="仿宋_GB2312" w:cs="仿宋_GB2312" w:eastAsia="仿宋_GB2312"/>
                <w:sz w:val="28"/>
                <w:b/>
              </w:rPr>
              <w:t>六、其他</w:t>
            </w:r>
          </w:p>
          <w:p>
            <w:pPr>
              <w:pStyle w:val="null3"/>
              <w:ind w:firstLine="560"/>
              <w:jc w:val="both"/>
            </w:pPr>
            <w:r>
              <w:rPr>
                <w:rFonts w:ascii="仿宋_GB2312" w:hAnsi="仿宋_GB2312" w:cs="仿宋_GB2312" w:eastAsia="仿宋_GB2312"/>
                <w:sz w:val="28"/>
              </w:rPr>
              <w:t>（一）对供应商业绩的要求：</w:t>
            </w:r>
          </w:p>
          <w:p>
            <w:pPr>
              <w:pStyle w:val="null3"/>
              <w:ind w:firstLine="560"/>
              <w:jc w:val="both"/>
            </w:pPr>
            <w:r>
              <w:rPr>
                <w:rFonts w:ascii="仿宋_GB2312" w:hAnsi="仿宋_GB2312" w:cs="仿宋_GB2312" w:eastAsia="仿宋_GB2312"/>
                <w:sz w:val="28"/>
              </w:rPr>
              <w:t>近三年有类似项目业绩。</w:t>
            </w:r>
          </w:p>
          <w:p>
            <w:pPr>
              <w:pStyle w:val="null3"/>
              <w:numPr>
                <w:ilvl w:val="0"/>
                <w:numId w:val="1"/>
              </w:numPr>
              <w:jc w:val="both"/>
            </w:pPr>
            <w:r>
              <w:rPr>
                <w:rFonts w:ascii="仿宋_GB2312" w:hAnsi="仿宋_GB2312" w:cs="仿宋_GB2312" w:eastAsia="仿宋_GB2312"/>
                <w:sz w:val="28"/>
              </w:rPr>
              <w:t>质量验收标准或规范：</w:t>
            </w:r>
          </w:p>
          <w:p>
            <w:pPr>
              <w:pStyle w:val="null3"/>
              <w:ind w:firstLine="560"/>
              <w:jc w:val="both"/>
            </w:pPr>
            <w:r>
              <w:rPr>
                <w:rFonts w:ascii="仿宋_GB2312" w:hAnsi="仿宋_GB2312" w:cs="仿宋_GB2312" w:eastAsia="仿宋_GB2312"/>
                <w:sz w:val="28"/>
              </w:rPr>
              <w:t>质量达到</w:t>
            </w:r>
            <w:r>
              <w:rPr>
                <w:rFonts w:ascii="仿宋_GB2312" w:hAnsi="仿宋_GB2312" w:cs="仿宋_GB2312" w:eastAsia="仿宋_GB2312"/>
                <w:sz w:val="28"/>
              </w:rPr>
              <w:t>或超过</w:t>
            </w:r>
            <w:r>
              <w:rPr>
                <w:rFonts w:ascii="仿宋_GB2312" w:hAnsi="仿宋_GB2312" w:cs="仿宋_GB2312" w:eastAsia="仿宋_GB2312"/>
                <w:sz w:val="28"/>
              </w:rPr>
              <w:t>现行合格标准，符合国家、行业、地方规定以及招标文件规定标准要求。</w:t>
            </w:r>
          </w:p>
          <w:p>
            <w:pPr>
              <w:pStyle w:val="null3"/>
              <w:ind w:firstLine="560"/>
              <w:jc w:val="both"/>
            </w:pPr>
            <w:r>
              <w:rPr>
                <w:rFonts w:ascii="仿宋_GB2312" w:hAnsi="仿宋_GB2312" w:cs="仿宋_GB2312" w:eastAsia="仿宋_GB2312"/>
                <w:sz w:val="28"/>
                <w:b/>
              </w:rPr>
              <w:t>（</w:t>
            </w:r>
            <w:r>
              <w:rPr>
                <w:rFonts w:ascii="仿宋_GB2312" w:hAnsi="仿宋_GB2312" w:cs="仿宋_GB2312" w:eastAsia="仿宋_GB2312"/>
                <w:sz w:val="28"/>
                <w:b/>
              </w:rPr>
              <w:t>三</w:t>
            </w:r>
            <w:r>
              <w:rPr>
                <w:rFonts w:ascii="仿宋_GB2312" w:hAnsi="仿宋_GB2312" w:cs="仿宋_GB2312" w:eastAsia="仿宋_GB2312"/>
                <w:sz w:val="28"/>
                <w:b/>
              </w:rPr>
              <w:t>）违约责任</w:t>
            </w:r>
          </w:p>
          <w:p>
            <w:pPr>
              <w:pStyle w:val="null3"/>
              <w:ind w:firstLine="560"/>
              <w:jc w:val="both"/>
            </w:pPr>
            <w:r>
              <w:rPr>
                <w:rFonts w:ascii="仿宋_GB2312" w:hAnsi="仿宋_GB2312" w:cs="仿宋_GB2312" w:eastAsia="仿宋_GB2312"/>
                <w:sz w:val="28"/>
              </w:rPr>
              <w:t>1.依据《中华人民共和国合同法》《中华人民共和国招标投标法》《中华人民共和国政府采购法》的相关条款和合同约定，</w:t>
            </w:r>
            <w:r>
              <w:rPr>
                <w:rFonts w:ascii="仿宋_GB2312" w:hAnsi="仿宋_GB2312" w:cs="仿宋_GB2312" w:eastAsia="仿宋_GB2312"/>
                <w:sz w:val="28"/>
              </w:rPr>
              <w:t>承包方</w:t>
            </w:r>
            <w:r>
              <w:rPr>
                <w:rFonts w:ascii="仿宋_GB2312" w:hAnsi="仿宋_GB2312" w:cs="仿宋_GB2312" w:eastAsia="仿宋_GB2312"/>
                <w:sz w:val="28"/>
              </w:rPr>
              <w:t>未全面履行合同义务或者发生违约，采购</w:t>
            </w:r>
            <w:r>
              <w:rPr>
                <w:rFonts w:ascii="仿宋_GB2312" w:hAnsi="仿宋_GB2312" w:cs="仿宋_GB2312" w:eastAsia="仿宋_GB2312"/>
                <w:sz w:val="28"/>
              </w:rPr>
              <w:t>方</w:t>
            </w:r>
            <w:r>
              <w:rPr>
                <w:rFonts w:ascii="仿宋_GB2312" w:hAnsi="仿宋_GB2312" w:cs="仿宋_GB2312" w:eastAsia="仿宋_GB2312"/>
                <w:sz w:val="28"/>
              </w:rPr>
              <w:t>会同采购代理机构有权终止合同，依法向</w:t>
            </w:r>
            <w:r>
              <w:rPr>
                <w:rFonts w:ascii="仿宋_GB2312" w:hAnsi="仿宋_GB2312" w:cs="仿宋_GB2312" w:eastAsia="仿宋_GB2312"/>
                <w:sz w:val="28"/>
              </w:rPr>
              <w:t>承包方</w:t>
            </w:r>
            <w:r>
              <w:rPr>
                <w:rFonts w:ascii="仿宋_GB2312" w:hAnsi="仿宋_GB2312" w:cs="仿宋_GB2312" w:eastAsia="仿宋_GB2312"/>
                <w:sz w:val="28"/>
              </w:rPr>
              <w:t>进行经济索赔，并报请采购监督管理机关进行相应的行政处罚。采购方违约的，应当赔偿给成交单位造成的经济损失。</w:t>
            </w:r>
          </w:p>
          <w:p>
            <w:pPr>
              <w:pStyle w:val="null3"/>
              <w:ind w:firstLine="560"/>
              <w:jc w:val="both"/>
            </w:pPr>
            <w:r>
              <w:rPr>
                <w:rFonts w:ascii="仿宋_GB2312" w:hAnsi="仿宋_GB2312" w:cs="仿宋_GB2312" w:eastAsia="仿宋_GB2312"/>
                <w:sz w:val="28"/>
              </w:rPr>
              <w:t>2.禁止承包方提供假冒产品，以次充好，一经查实，采购方有权单方解除本合同，同时，承包方还须按合同总价款向采购方支付违约金，并赔偿由此给采购方造成的损失。</w:t>
            </w:r>
          </w:p>
          <w:p>
            <w:pPr>
              <w:pStyle w:val="null3"/>
              <w:ind w:firstLine="560"/>
              <w:jc w:val="both"/>
            </w:pPr>
            <w:r>
              <w:rPr>
                <w:rFonts w:ascii="仿宋_GB2312" w:hAnsi="仿宋_GB2312" w:cs="仿宋_GB2312" w:eastAsia="仿宋_GB2312"/>
                <w:sz w:val="28"/>
              </w:rPr>
              <w:t>3.承包方所供产品在正常使用中（使用不当除外），由于产品本身质量问题给采购方或第三方造成损失的，承包方应负责赔偿。承包方所供产品出现质量问题或造成损失的，须经相关部门进行鉴定时，承包方必须配合采购方。如采购方通知后，承包方不能到场或有效配合的，则视为全部责任为承包方。</w:t>
            </w:r>
          </w:p>
          <w:p>
            <w:pPr>
              <w:pStyle w:val="null3"/>
              <w:ind w:firstLine="560"/>
              <w:jc w:val="both"/>
            </w:pPr>
            <w:r>
              <w:rPr>
                <w:rFonts w:ascii="仿宋_GB2312" w:hAnsi="仿宋_GB2312" w:cs="仿宋_GB2312" w:eastAsia="仿宋_GB2312"/>
                <w:sz w:val="28"/>
              </w:rPr>
              <w:t>4.承包方施工期间，必须充分考虑保证人员的施工环境安全性、稳妥性，如因承包方疏忽造成的意外损伤，包括人员安全及物件安全，承包方承担全部责任。</w:t>
            </w:r>
          </w:p>
          <w:p>
            <w:pPr>
              <w:pStyle w:val="null3"/>
              <w:ind w:firstLine="560"/>
              <w:jc w:val="both"/>
            </w:pPr>
            <w:r>
              <w:rPr>
                <w:rFonts w:ascii="仿宋_GB2312" w:hAnsi="仿宋_GB2312" w:cs="仿宋_GB2312" w:eastAsia="仿宋_GB2312"/>
                <w:sz w:val="28"/>
              </w:rPr>
              <w:t>5.如采购方不能按照合同要求及时支付款项，并超期一个月仍未付款，应按银行同期活期存款利率支付给承包方利息。</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合同签订后30个日历日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合同签订后支付合同总价款的60%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验收合格后，支付剩余的40%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1、为顺利推进政府采购电子化交易平台试点应用工作，供应商需要在线提交所有通过电子化交易平台实施的政府采购项目的投标文件。确定成交单位后，成交单位须提供响应文件正本 壹 份、副本 壹套、电子版壹 套（U盘一套标明供应商名称），应与线上提交的响应文件保持一致。 2、定标环节采购人有权对投标文件承诺响应的内容进行复核，如有虚假响应，一经发现，取消成交资格并上报财政主管部门，列入政府采购黑名单。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资格响应表.docx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资格响应表.docx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资格响应表.docx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 xml:space="preserve"> 响应有效期</w:t>
            </w:r>
          </w:p>
        </w:tc>
        <w:tc>
          <w:tcPr>
            <w:tcW w:type="dxa" w:w="3322"/>
          </w:tcPr>
          <w:p>
            <w:pPr>
              <w:pStyle w:val="null3"/>
            </w:pPr>
            <w:r>
              <w:rPr>
                <w:rFonts w:ascii="仿宋_GB2312" w:hAnsi="仿宋_GB2312" w:cs="仿宋_GB2312" w:eastAsia="仿宋_GB2312"/>
              </w:rPr>
              <w:t>提交响应文件的截止之日起不少于90天</w:t>
            </w:r>
          </w:p>
        </w:tc>
        <w:tc>
          <w:tcPr>
            <w:tcW w:type="dxa" w:w="1661"/>
          </w:tcPr>
          <w:p>
            <w:pPr>
              <w:pStyle w:val="null3"/>
            </w:pPr>
            <w:r>
              <w:rPr>
                <w:rFonts w:ascii="仿宋_GB2312" w:hAnsi="仿宋_GB2312" w:cs="仿宋_GB2312" w:eastAsia="仿宋_GB2312"/>
              </w:rPr>
              <w:t>响应文件封面 商务应答表 资格响应表.docx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技术参数</w:t>
            </w:r>
          </w:p>
        </w:tc>
        <w:tc>
          <w:tcPr>
            <w:tcW w:type="dxa" w:w="3322"/>
          </w:tcPr>
          <w:p>
            <w:pPr>
              <w:pStyle w:val="null3"/>
            </w:pPr>
            <w:r>
              <w:rPr>
                <w:rFonts w:ascii="仿宋_GB2312" w:hAnsi="仿宋_GB2312" w:cs="仿宋_GB2312" w:eastAsia="仿宋_GB2312"/>
              </w:rPr>
              <w:t>必须满足采购需求中的所有技术参数，并按要求提供证明材料</w:t>
            </w:r>
          </w:p>
        </w:tc>
        <w:tc>
          <w:tcPr>
            <w:tcW w:type="dxa" w:w="1661"/>
          </w:tcPr>
          <w:p>
            <w:pPr>
              <w:pStyle w:val="null3"/>
            </w:pPr>
            <w:r>
              <w:rPr>
                <w:rFonts w:ascii="仿宋_GB2312" w:hAnsi="仿宋_GB2312" w:cs="仿宋_GB2312" w:eastAsia="仿宋_GB2312"/>
              </w:rPr>
              <w:t>响应文件封面 产品技术参数表 技术参数证明材料.docx 供应商认为有必要说明的其他问题.docx 资格响应表.docx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最高限价</w:t>
            </w:r>
          </w:p>
        </w:tc>
        <w:tc>
          <w:tcPr>
            <w:tcW w:type="dxa" w:w="3322"/>
          </w:tcPr>
          <w:p>
            <w:pPr>
              <w:pStyle w:val="null3"/>
            </w:pPr>
            <w:r>
              <w:rPr>
                <w:rFonts w:ascii="仿宋_GB2312" w:hAnsi="仿宋_GB2312" w:cs="仿宋_GB2312" w:eastAsia="仿宋_GB2312"/>
              </w:rPr>
              <w:t>投标报价是否超过预算或最高限价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w:t>
            </w:r>
          </w:p>
        </w:tc>
        <w:tc>
          <w:tcPr>
            <w:tcW w:type="dxa" w:w="3322"/>
          </w:tcPr>
          <w:p>
            <w:pPr>
              <w:pStyle w:val="null3"/>
            </w:pPr>
            <w:r>
              <w:rPr>
                <w:rFonts w:ascii="仿宋_GB2312" w:hAnsi="仿宋_GB2312" w:cs="仿宋_GB2312" w:eastAsia="仿宋_GB2312"/>
              </w:rPr>
              <w:t>与竞争性谈判文件商务要求条款不一致或增加 了采购 人难以接受的条款</w:t>
            </w:r>
          </w:p>
        </w:tc>
        <w:tc>
          <w:tcPr>
            <w:tcW w:type="dxa" w:w="1661"/>
          </w:tcPr>
          <w:p>
            <w:pPr>
              <w:pStyle w:val="null3"/>
            </w:pPr>
            <w:r>
              <w:rPr>
                <w:rFonts w:ascii="仿宋_GB2312" w:hAnsi="仿宋_GB2312" w:cs="仿宋_GB2312" w:eastAsia="仿宋_GB2312"/>
              </w:rPr>
              <w:t>响应文件封面 商务应答表 供应商认为有必要说明的其他问题.docx 资格响应表.docx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是否符合法律法规和竞争性谈判文件规定的其 他实质 性要求</w:t>
            </w:r>
          </w:p>
        </w:tc>
        <w:tc>
          <w:tcPr>
            <w:tcW w:type="dxa" w:w="1661"/>
          </w:tcPr>
          <w:p>
            <w:pPr>
              <w:pStyle w:val="null3"/>
            </w:pPr>
            <w:r>
              <w:rPr>
                <w:rFonts w:ascii="仿宋_GB2312" w:hAnsi="仿宋_GB2312" w:cs="仿宋_GB2312" w:eastAsia="仿宋_GB2312"/>
              </w:rPr>
              <w:t>响应文件封面 产品技术参数表 供应商认为有必要说明的其他问题.docx 资格响应表.docx 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详见附件：技术参数证明材料.docx</w:t>
      </w:r>
    </w:p>
    <w:p>
      <w:pPr>
        <w:pStyle w:val="null3"/>
        <w:ind w:firstLine="960"/>
      </w:pPr>
      <w:r>
        <w:rPr>
          <w:rFonts w:ascii="仿宋_GB2312" w:hAnsi="仿宋_GB2312" w:cs="仿宋_GB2312" w:eastAsia="仿宋_GB2312"/>
        </w:rPr>
        <w:t>详见附件：资格响应表.docx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详见附件：西安铁路职业技术学院文明校园创建环境文化“一环、两轴”建设项目供货合同.docx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