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BE098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bookmarkStart w:id="2" w:name="_GoBack"/>
      <w:bookmarkStart w:id="0" w:name="_Toc5533"/>
      <w:bookmarkStart w:id="1" w:name="_Toc5899"/>
      <w:r>
        <w:rPr>
          <w:rStyle w:val="7"/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/>
        </w:rPr>
        <w:t>费用组成明细表</w:t>
      </w:r>
      <w:bookmarkEnd w:id="0"/>
      <w:bookmarkEnd w:id="1"/>
    </w:p>
    <w:bookmarkEnd w:id="2"/>
    <w:p w14:paraId="372EC90B">
      <w:pPr>
        <w:pStyle w:val="8"/>
        <w:numPr>
          <w:ilvl w:val="0"/>
          <w:numId w:val="0"/>
        </w:numPr>
        <w:spacing w:line="360" w:lineRule="auto"/>
        <w:jc w:val="righ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单位:元（精确到小数点后两位）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7"/>
        <w:gridCol w:w="1449"/>
        <w:gridCol w:w="1497"/>
        <w:gridCol w:w="1066"/>
        <w:gridCol w:w="1143"/>
      </w:tblGrid>
      <w:tr w14:paraId="09343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975" w:type="pct"/>
            <w:vMerge w:val="restart"/>
            <w:tcBorders>
              <w:tl2br w:val="single" w:color="000000" w:sz="4" w:space="0"/>
            </w:tcBorders>
            <w:noWrap/>
          </w:tcPr>
          <w:p w14:paraId="1B0F05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报价内容</w:t>
            </w:r>
          </w:p>
          <w:p w14:paraId="71301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  <w:p w14:paraId="4DE7B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  <w:p w14:paraId="60FFE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汽车租用项目名称</w:t>
            </w:r>
          </w:p>
        </w:tc>
        <w:tc>
          <w:tcPr>
            <w:tcW w:w="1728" w:type="pct"/>
            <w:gridSpan w:val="2"/>
            <w:noWrap/>
            <w:vAlign w:val="center"/>
          </w:tcPr>
          <w:p w14:paraId="24E40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磋商报价</w:t>
            </w:r>
          </w:p>
        </w:tc>
        <w:tc>
          <w:tcPr>
            <w:tcW w:w="625" w:type="pct"/>
            <w:vMerge w:val="restart"/>
            <w:noWrap/>
            <w:vAlign w:val="center"/>
          </w:tcPr>
          <w:p w14:paraId="0F60DC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每超</w:t>
            </w:r>
          </w:p>
          <w:p w14:paraId="6E37A9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1h收费</w:t>
            </w:r>
          </w:p>
        </w:tc>
        <w:tc>
          <w:tcPr>
            <w:tcW w:w="670" w:type="pct"/>
            <w:vMerge w:val="restart"/>
            <w:noWrap/>
            <w:vAlign w:val="center"/>
          </w:tcPr>
          <w:p w14:paraId="53CAE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4CBC9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exact"/>
          <w:jc w:val="center"/>
        </w:trPr>
        <w:tc>
          <w:tcPr>
            <w:tcW w:w="1975" w:type="pct"/>
            <w:vMerge w:val="continue"/>
            <w:tcBorders>
              <w:tl2br w:val="single" w:color="000000" w:sz="4" w:space="0"/>
            </w:tcBorders>
            <w:noWrap/>
          </w:tcPr>
          <w:p w14:paraId="25D6E3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9" w:type="pct"/>
            <w:noWrap/>
            <w:vAlign w:val="center"/>
          </w:tcPr>
          <w:p w14:paraId="0FD024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8小时以内</w:t>
            </w:r>
          </w:p>
        </w:tc>
        <w:tc>
          <w:tcPr>
            <w:tcW w:w="878" w:type="pct"/>
            <w:noWrap/>
            <w:vAlign w:val="center"/>
          </w:tcPr>
          <w:p w14:paraId="16025A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  <w:p w14:paraId="28F7F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4小时以内</w:t>
            </w:r>
          </w:p>
          <w:p w14:paraId="0AE47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vMerge w:val="continue"/>
            <w:noWrap/>
            <w:vAlign w:val="center"/>
          </w:tcPr>
          <w:p w14:paraId="1AE20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vMerge w:val="continue"/>
            <w:noWrap/>
            <w:vAlign w:val="center"/>
          </w:tcPr>
          <w:p w14:paraId="25630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</w:p>
        </w:tc>
      </w:tr>
      <w:tr w14:paraId="0205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78FA73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9座</w:t>
            </w:r>
          </w:p>
        </w:tc>
        <w:tc>
          <w:tcPr>
            <w:tcW w:w="849" w:type="pct"/>
            <w:noWrap/>
            <w:vAlign w:val="center"/>
          </w:tcPr>
          <w:p w14:paraId="02953D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7557D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5C6BA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5ABA5F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A517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0F47FF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10-15座</w:t>
            </w:r>
          </w:p>
        </w:tc>
        <w:tc>
          <w:tcPr>
            <w:tcW w:w="849" w:type="pct"/>
            <w:noWrap/>
            <w:vAlign w:val="center"/>
          </w:tcPr>
          <w:p w14:paraId="380C3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3E709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16E6A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02E381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CA5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31F2E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16-20座</w:t>
            </w:r>
          </w:p>
        </w:tc>
        <w:tc>
          <w:tcPr>
            <w:tcW w:w="849" w:type="pct"/>
            <w:noWrap/>
            <w:vAlign w:val="center"/>
          </w:tcPr>
          <w:p w14:paraId="5B0FF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3CD22B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3EFDA6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5262E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B70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6C796D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20-30座</w:t>
            </w:r>
          </w:p>
        </w:tc>
        <w:tc>
          <w:tcPr>
            <w:tcW w:w="849" w:type="pct"/>
            <w:noWrap/>
            <w:vAlign w:val="center"/>
          </w:tcPr>
          <w:p w14:paraId="58C5B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15E81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0837A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187AD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09A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59D53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大巴30-39座</w:t>
            </w:r>
          </w:p>
        </w:tc>
        <w:tc>
          <w:tcPr>
            <w:tcW w:w="849" w:type="pct"/>
            <w:noWrap/>
            <w:vAlign w:val="center"/>
          </w:tcPr>
          <w:p w14:paraId="34EFB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228B93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4632A4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5D6A47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5592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3054F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大巴40-49座</w:t>
            </w:r>
          </w:p>
        </w:tc>
        <w:tc>
          <w:tcPr>
            <w:tcW w:w="849" w:type="pct"/>
            <w:noWrap/>
            <w:vAlign w:val="center"/>
          </w:tcPr>
          <w:p w14:paraId="18B6F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2C6CDE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50A654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104DB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BC6F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75" w:type="pct"/>
            <w:noWrap/>
            <w:vAlign w:val="center"/>
          </w:tcPr>
          <w:p w14:paraId="43262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大巴50-59座</w:t>
            </w:r>
          </w:p>
        </w:tc>
        <w:tc>
          <w:tcPr>
            <w:tcW w:w="849" w:type="pct"/>
            <w:noWrap/>
            <w:vAlign w:val="center"/>
          </w:tcPr>
          <w:p w14:paraId="7C7698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78" w:type="pct"/>
            <w:noWrap/>
            <w:vAlign w:val="center"/>
          </w:tcPr>
          <w:p w14:paraId="60D10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noWrap/>
            <w:vAlign w:val="center"/>
          </w:tcPr>
          <w:p w14:paraId="602B26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0" w:type="pct"/>
            <w:noWrap/>
            <w:vAlign w:val="center"/>
          </w:tcPr>
          <w:p w14:paraId="7279C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00" w:firstLineChars="15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911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975" w:type="pct"/>
            <w:noWrap/>
            <w:vAlign w:val="center"/>
          </w:tcPr>
          <w:p w14:paraId="58E57CEE">
            <w:pPr>
              <w:keepNext w:val="0"/>
              <w:keepLines w:val="0"/>
              <w:pageBreakBefore w:val="0"/>
              <w:tabs>
                <w:tab w:val="left" w:pos="945"/>
                <w:tab w:val="left" w:pos="1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eastAsia="zh-CN"/>
              </w:rPr>
              <w:t>综合单价（元）</w:t>
            </w:r>
          </w:p>
        </w:tc>
        <w:tc>
          <w:tcPr>
            <w:tcW w:w="3024" w:type="pct"/>
            <w:gridSpan w:val="4"/>
            <w:noWrap/>
            <w:vAlign w:val="center"/>
          </w:tcPr>
          <w:p w14:paraId="09046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5ED44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 xml:space="preserve">    </w:t>
            </w:r>
          </w:p>
        </w:tc>
      </w:tr>
      <w:tr w14:paraId="75C3C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exact"/>
          <w:jc w:val="center"/>
        </w:trPr>
        <w:tc>
          <w:tcPr>
            <w:tcW w:w="5000" w:type="pct"/>
            <w:gridSpan w:val="5"/>
            <w:noWrap/>
            <w:vAlign w:val="center"/>
          </w:tcPr>
          <w:p w14:paraId="775207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磋商报价包括停车费、路桥费、燃油费、司机服务费等完成接送人员所有费用。司机食宿自理。</w:t>
            </w:r>
          </w:p>
          <w:p w14:paraId="5A8E6A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602" w:firstLineChars="300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本次综合单价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8小时以内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所有车型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报价之和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+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4小时以内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所有车型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报价之和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+每超1h所有车型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报价之和。</w:t>
            </w:r>
          </w:p>
        </w:tc>
      </w:tr>
    </w:tbl>
    <w:p w14:paraId="6D401498">
      <w:pPr>
        <w:spacing w:line="360" w:lineRule="auto"/>
        <w:ind w:left="0" w:leftChars="0" w:right="0" w:rightChars="0" w:firstLine="0" w:firstLineChars="0"/>
        <w:jc w:val="both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</w:p>
    <w:p w14:paraId="01A0953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1C26F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1C50E2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34AD3A8E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436BE2E8">
      <w:pPr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17CBA"/>
    <w:rsid w:val="210D28F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陕西笃信招标有限公司</cp:lastModifiedBy>
  <dcterms:modified xsi:type="dcterms:W3CDTF">2025-08-25T09:34:32Z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C0E82B5195DF4D4B8028C9DEA10A7E4C_13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