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B54D5">
      <w:pPr>
        <w:pStyle w:val="7"/>
        <w:spacing w:line="360" w:lineRule="auto"/>
        <w:jc w:val="center"/>
        <w:outlineLvl w:val="1"/>
      </w:pPr>
      <w:bookmarkStart w:id="0" w:name="_GoBack"/>
      <w:bookmarkEnd w:id="0"/>
      <w:r>
        <w:rPr>
          <w:rFonts w:ascii="仿宋_GB2312" w:hAnsi="仿宋_GB2312" w:eastAsia="仿宋_GB2312" w:cs="仿宋_GB2312"/>
          <w:b/>
          <w:sz w:val="36"/>
        </w:rPr>
        <w:t>拟签订采购合同文本</w:t>
      </w:r>
    </w:p>
    <w:p w14:paraId="6E187CC8">
      <w:pPr>
        <w:tabs>
          <w:tab w:val="left" w:pos="720"/>
        </w:tabs>
        <w:autoSpaceDE w:val="0"/>
        <w:autoSpaceDN w:val="0"/>
        <w:spacing w:line="360" w:lineRule="auto"/>
        <w:ind w:right="19"/>
        <w:jc w:val="left"/>
        <w:rPr>
          <w:rFonts w:hint="eastAsia" w:ascii="仿宋" w:hAnsi="仿宋" w:eastAsia="仿宋" w:cs="仿宋"/>
          <w:b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u w:val="single"/>
          <w:lang w:val="en-US" w:eastAsia="zh-CN"/>
        </w:rPr>
        <w:t>甲    方:             （以下简称甲方）</w:t>
      </w:r>
    </w:p>
    <w:p w14:paraId="458F98B5">
      <w:pPr>
        <w:tabs>
          <w:tab w:val="left" w:pos="720"/>
        </w:tabs>
        <w:autoSpaceDE w:val="0"/>
        <w:autoSpaceDN w:val="0"/>
        <w:spacing w:line="360" w:lineRule="auto"/>
        <w:ind w:right="19"/>
        <w:jc w:val="left"/>
        <w:rPr>
          <w:rFonts w:hint="eastAsia" w:ascii="仿宋" w:hAnsi="仿宋" w:eastAsia="仿宋" w:cs="仿宋"/>
          <w:b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u w:val="single"/>
          <w:lang w:val="en-US" w:eastAsia="zh-CN"/>
        </w:rPr>
        <w:t xml:space="preserve">地    址：                           </w:t>
      </w:r>
    </w:p>
    <w:p w14:paraId="58F2B6D2">
      <w:pPr>
        <w:pStyle w:val="4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69B3A12E">
      <w:pPr>
        <w:tabs>
          <w:tab w:val="left" w:pos="720"/>
        </w:tabs>
        <w:autoSpaceDE w:val="0"/>
        <w:autoSpaceDN w:val="0"/>
        <w:spacing w:line="360" w:lineRule="auto"/>
        <w:ind w:right="19"/>
        <w:jc w:val="left"/>
        <w:rPr>
          <w:rFonts w:hint="eastAsia" w:ascii="仿宋" w:hAnsi="仿宋" w:eastAsia="仿宋" w:cs="仿宋"/>
          <w:b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u w:val="single"/>
          <w:lang w:val="en-US" w:eastAsia="zh-CN"/>
        </w:rPr>
        <w:t>乙    方：            （以下简称乙方）</w:t>
      </w:r>
    </w:p>
    <w:p w14:paraId="2BBDC612">
      <w:pPr>
        <w:tabs>
          <w:tab w:val="left" w:pos="720"/>
        </w:tabs>
        <w:autoSpaceDE w:val="0"/>
        <w:autoSpaceDN w:val="0"/>
        <w:spacing w:line="360" w:lineRule="auto"/>
        <w:ind w:right="19"/>
        <w:jc w:val="left"/>
        <w:rPr>
          <w:rFonts w:hint="eastAsia" w:ascii="仿宋" w:hAnsi="仿宋" w:eastAsia="仿宋" w:cs="仿宋"/>
          <w:b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u w:val="single"/>
          <w:lang w:val="en-US" w:eastAsia="zh-CN"/>
        </w:rPr>
        <w:t xml:space="preserve">地    址：                            </w:t>
      </w:r>
    </w:p>
    <w:p w14:paraId="748FC0DD">
      <w:pPr>
        <w:pStyle w:val="4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55AFF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甲乙双方根据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《中华人民共和国政府采购法》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《中华人民共和国民法典》等相关法律、法规，本着精诚合作、平等互利的原则，经友好协商，就相关项目活动合作事宜达成以下协议，由甲乙双方共同遵守。</w:t>
      </w:r>
    </w:p>
    <w:p w14:paraId="10E7D8EF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</w:rPr>
        <w:t>一、</w:t>
      </w: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  <w:lang w:val="en-US" w:eastAsia="zh-CN"/>
        </w:rPr>
        <w:t>合作</w:t>
      </w: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</w:rPr>
        <w:t>期限及内容：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甲方委托乙方于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日至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日期间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>完成政务服务宣传片和宣传展板制作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eastAsia="zh-CN"/>
        </w:rPr>
        <w:t>。</w:t>
      </w:r>
    </w:p>
    <w:p w14:paraId="37CB4DA1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</w:rPr>
        <w:t>二、</w:t>
      </w: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  <w:lang w:val="en-US" w:eastAsia="zh-CN"/>
        </w:rPr>
        <w:t>合作事项</w:t>
      </w: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</w:rPr>
        <w:t>形式及</w:t>
      </w: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  <w:lang w:val="en-US" w:eastAsia="zh-CN"/>
        </w:rPr>
        <w:t>发布</w:t>
      </w: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</w:rPr>
        <w:t>媒体：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 xml:space="preserve"> 合作形式为专题片拍摄制作及发布，发布媒体为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eastAsia="zh-CN"/>
        </w:rPr>
        <w:t>：</w:t>
      </w:r>
    </w:p>
    <w:p w14:paraId="5B3ACCD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          </w:t>
      </w:r>
    </w:p>
    <w:p w14:paraId="3AA6731E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</w:rPr>
        <w:t>三、</w:t>
      </w: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  <w:lang w:val="en-US" w:eastAsia="zh-CN"/>
        </w:rPr>
        <w:t>合作事项</w:t>
      </w: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</w:rPr>
        <w:t>规格：</w:t>
      </w:r>
    </w:p>
    <w:p w14:paraId="3203924C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政务服务宣传片规格1920x1080，高清MP4格式，总时长15分钟左右，可根据内容分为数个短片，通过电视媒介以及新媒体平台宣传推广。并制作相关展板。宣传片须在内容、构图、色彩等方面进行全方位掌控，做到主题明确，重点突出、案例经典、节奏明快、气势恢宏，吸引观众。</w:t>
      </w:r>
    </w:p>
    <w:p w14:paraId="2EE719DB">
      <w:pPr>
        <w:pStyle w:val="4"/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</w:rPr>
        <w:t>合同价款：</w:t>
      </w:r>
    </w:p>
    <w:p w14:paraId="266B3A6D">
      <w:pPr>
        <w:pStyle w:val="4"/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本合同总费用为人民币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 xml:space="preserve"> ¥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   万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元，大写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万元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>整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。</w:t>
      </w:r>
    </w:p>
    <w:p w14:paraId="4B39CE4E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  <w:lang w:val="en-US" w:eastAsia="zh-CN" w:bidi="ar-SA"/>
        </w:rPr>
        <w:t>五、付款方式：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 xml:space="preserve"> </w:t>
      </w:r>
    </w:p>
    <w:p w14:paraId="27332459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>本合同签订后，乙方提供初步脚本及拍摄计划，甲方审核通过后，于合同签订后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>个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>日历日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>内向乙方支付本合同总价款的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>0%，即人民币元 （如甲方未审核通过，则保留支付的权利直至整体实施方案通过审核）；乙方执行完宣传片制作并满足甲方的宣传要求，宣传片验收通过后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>个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>日历日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>内，甲方向乙方支付本合同总价款的50%，即人民币      元；乙方执行完合同约定的所有内容并通过甲方验收后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>个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>日历日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>内（验收合格标准：乙方按合同要求完成合作内容），甲方向乙方支付本合同总价款的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>0%，即人民币      元。</w:t>
      </w:r>
    </w:p>
    <w:p w14:paraId="18BE896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收款账户信息如下：</w:t>
      </w:r>
    </w:p>
    <w:p w14:paraId="2BB3F71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户  名：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               </w:t>
      </w:r>
    </w:p>
    <w:p w14:paraId="1DC4EC9E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帐  号：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               </w:t>
      </w:r>
    </w:p>
    <w:p w14:paraId="2A964F6B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开户行：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             </w:t>
      </w:r>
    </w:p>
    <w:p w14:paraId="22E5D40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纳税人识别号：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         </w:t>
      </w:r>
    </w:p>
    <w:p w14:paraId="46523277">
      <w:pPr>
        <w:pStyle w:val="2"/>
        <w:spacing w:line="360" w:lineRule="auto"/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地  址：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                </w:t>
      </w:r>
    </w:p>
    <w:p w14:paraId="14F2ACA4">
      <w:pPr>
        <w:pStyle w:val="3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2E00385A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  <w:lang w:val="en-US" w:eastAsia="zh-CN" w:bidi="ar-SA"/>
        </w:rPr>
        <w:t>六、本合同签订的信息播出时间表、网络平台版面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，如遇乙方调整等原因，乙方提前通知甲方，双方协商进行调整。</w:t>
      </w:r>
    </w:p>
    <w:p w14:paraId="29B09A80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  <w:lang w:val="en-US" w:eastAsia="zh-CN" w:bidi="ar-SA"/>
        </w:rPr>
        <w:t>七、对于乙方拍摄制作的视频内容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，乙方必须保证符合国家法律、法规及相关播出要求，如有违反，甲方有权要求乙方纠正或修改，并由乙方承担相应的法律责任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。</w:t>
      </w:r>
    </w:p>
    <w:p w14:paraId="60C05A32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  <w:lang w:val="en-US" w:eastAsia="zh-CN" w:bidi="ar-SA"/>
        </w:rPr>
        <w:t>八、违约责任：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如乙方未按合同约定提供发布服务，应按合同总价款的10%向甲方支付违约金；乙方应向甲方提供资料证明其已经完成本合同约定的工作内容，乙方未能按照本合同约定服务内容清单提供服务任一项的，视为验收不合格，乙方应按前述标准向甲方支付违约金。如因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甲方不按本合同规定付款，乙方有权停播甲方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eastAsia="zh-CN"/>
        </w:rPr>
        <w:t>专题片宣传片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；甲方的逾期付款按中国人民银行同期贷款利率支付乙方违约金。</w:t>
      </w:r>
    </w:p>
    <w:p w14:paraId="786073DC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  <w:lang w:val="en-US" w:eastAsia="zh-CN" w:bidi="ar-SA"/>
        </w:rPr>
        <w:t>九、争议解决：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本合同履行过程中，甲、乙双方发生争议可先行协商解决；协商不成的，可向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原告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所在地法院提起诉讼。</w:t>
      </w:r>
    </w:p>
    <w:p w14:paraId="793E635E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kern w:val="22"/>
          <w:sz w:val="24"/>
          <w:szCs w:val="24"/>
          <w:lang w:val="en-US" w:eastAsia="zh-CN" w:bidi="ar-SA"/>
        </w:rPr>
        <w:t>十、其它约定：</w:t>
      </w:r>
    </w:p>
    <w:p w14:paraId="156EABAB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1.如发生不可抗拒力，或因突发新闻事件、重要转播任务等因素致使</w:t>
      </w:r>
      <w:r>
        <w:rPr>
          <w:rFonts w:hint="eastAsia" w:ascii="仿宋" w:hAnsi="仿宋" w:eastAsia="仿宋" w:cs="仿宋"/>
          <w:b w:val="0"/>
          <w:bCs w:val="0"/>
          <w:color w:val="auto"/>
          <w:kern w:val="22"/>
          <w:sz w:val="24"/>
          <w:szCs w:val="24"/>
          <w:lang w:val="en-US" w:eastAsia="zh-CN" w:bidi="ar-SA"/>
        </w:rPr>
        <w:t>信息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无法按约定正常发布的，乙方不具违约责任，可由甲乙双方协商解决。</w:t>
      </w:r>
    </w:p>
    <w:p w14:paraId="31331EA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2.在</w:t>
      </w:r>
      <w:r>
        <w:rPr>
          <w:rFonts w:hint="eastAsia" w:ascii="仿宋" w:hAnsi="仿宋" w:eastAsia="仿宋" w:cs="仿宋"/>
          <w:b w:val="0"/>
          <w:bCs w:val="0"/>
          <w:color w:val="auto"/>
          <w:kern w:val="22"/>
          <w:sz w:val="24"/>
          <w:szCs w:val="24"/>
          <w:lang w:val="en-US" w:eastAsia="zh-CN" w:bidi="ar-SA"/>
        </w:rPr>
        <w:t>信息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发布过程中，如出现错播、漏播的情况，乙方应予以甲方“错一补一、漏一补一”的赔偿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按照本合同第八条约定的标准向甲方支付违约金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。</w:t>
      </w:r>
    </w:p>
    <w:p w14:paraId="0064360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本合同一式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 xml:space="preserve"> 陆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> 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份，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>  甲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  <w:lang w:val="en-US" w:eastAsia="zh-CN"/>
        </w:rPr>
        <w:t>乙双方各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u w:val="single"/>
        </w:rPr>
        <w:t xml:space="preserve">持叁份   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，合同自甲乙双方签字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并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盖章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之日起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生效。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双方签字盖章不在同一日的，以最后一方签字盖章的日期为生效日期。</w:t>
      </w:r>
    </w:p>
    <w:p w14:paraId="10E4E025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22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</w:rPr>
        <w:t>本合同未尽事宜，经双方协商后可另立合同条款作为补充协议，补充协议与本合同具有同等法律效力。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val="en-US" w:eastAsia="zh-CN"/>
        </w:rPr>
        <w:t>以下无正文</w:t>
      </w:r>
      <w:r>
        <w:rPr>
          <w:rFonts w:hint="eastAsia" w:ascii="仿宋" w:hAnsi="仿宋" w:eastAsia="仿宋" w:cs="仿宋"/>
          <w:color w:val="auto"/>
          <w:kern w:val="22"/>
          <w:sz w:val="24"/>
          <w:szCs w:val="24"/>
          <w:lang w:eastAsia="zh-CN"/>
        </w:rPr>
        <w:t>）</w:t>
      </w:r>
    </w:p>
    <w:tbl>
      <w:tblPr>
        <w:tblStyle w:val="5"/>
        <w:tblW w:w="95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4"/>
        <w:gridCol w:w="4666"/>
      </w:tblGrid>
      <w:tr w14:paraId="22DE0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1" w:hRule="atLeast"/>
          <w:jc w:val="center"/>
        </w:trPr>
        <w:tc>
          <w:tcPr>
            <w:tcW w:w="4894" w:type="dxa"/>
            <w:noWrap w:val="0"/>
            <w:vAlign w:val="center"/>
          </w:tcPr>
          <w:p w14:paraId="01BDEC8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甲方：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  <w:p w14:paraId="354C344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 xml:space="preserve">（盖章） </w:t>
            </w:r>
          </w:p>
        </w:tc>
        <w:tc>
          <w:tcPr>
            <w:tcW w:w="4666" w:type="dxa"/>
            <w:noWrap w:val="0"/>
            <w:vAlign w:val="center"/>
          </w:tcPr>
          <w:p w14:paraId="3E1254E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乙方：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  <w:p w14:paraId="48AA22F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（盖章）</w:t>
            </w:r>
          </w:p>
        </w:tc>
      </w:tr>
      <w:tr w14:paraId="70CA9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1" w:hRule="atLeast"/>
          <w:jc w:val="center"/>
        </w:trPr>
        <w:tc>
          <w:tcPr>
            <w:tcW w:w="4894" w:type="dxa"/>
            <w:noWrap w:val="0"/>
            <w:vAlign w:val="center"/>
          </w:tcPr>
          <w:p w14:paraId="4D5356C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法定代表人或委托代理人</w:t>
            </w:r>
          </w:p>
          <w:p w14:paraId="65F0A30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（签字）：</w:t>
            </w:r>
          </w:p>
        </w:tc>
        <w:tc>
          <w:tcPr>
            <w:tcW w:w="4666" w:type="dxa"/>
            <w:noWrap w:val="0"/>
            <w:vAlign w:val="center"/>
          </w:tcPr>
          <w:p w14:paraId="7C994F2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法定代表人或委托代理人</w:t>
            </w:r>
          </w:p>
          <w:p w14:paraId="5DC673D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>（签字）：</w:t>
            </w:r>
          </w:p>
        </w:tc>
      </w:tr>
      <w:tr w14:paraId="46A5AE38">
        <w:trPr>
          <w:cantSplit/>
          <w:trHeight w:val="20" w:hRule="atLeast"/>
          <w:jc w:val="center"/>
        </w:trPr>
        <w:tc>
          <w:tcPr>
            <w:tcW w:w="4894" w:type="dxa"/>
            <w:noWrap w:val="0"/>
            <w:vAlign w:val="center"/>
          </w:tcPr>
          <w:p w14:paraId="5F666C4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签订日期：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年  月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 xml:space="preserve"> 日</w:t>
            </w:r>
          </w:p>
        </w:tc>
        <w:tc>
          <w:tcPr>
            <w:tcW w:w="4666" w:type="dxa"/>
            <w:noWrap w:val="0"/>
            <w:vAlign w:val="center"/>
          </w:tcPr>
          <w:p w14:paraId="683AB61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签订日期：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 xml:space="preserve">年 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 xml:space="preserve"> 月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 xml:space="preserve">  日</w:t>
            </w:r>
          </w:p>
        </w:tc>
      </w:tr>
    </w:tbl>
    <w:p w14:paraId="3E4A0D1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65030"/>
    <w:rsid w:val="42C20E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等线" w:hAnsi="等线" w:eastAsia="等线" w:cs="等线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qFormat/>
    <w:uiPriority w:val="39"/>
    <w:pPr>
      <w:ind w:left="630"/>
      <w:jc w:val="left"/>
    </w:pPr>
    <w:rPr>
      <w:sz w:val="18"/>
      <w:szCs w:val="18"/>
    </w:rPr>
  </w:style>
  <w:style w:type="paragraph" w:styleId="4">
    <w:name w:val="Body Text"/>
    <w:basedOn w:val="1"/>
    <w:qFormat/>
    <w:uiPriority w:val="0"/>
    <w:pPr>
      <w:tabs>
        <w:tab w:val="left" w:pos="737"/>
      </w:tabs>
      <w:spacing w:after="120"/>
    </w:pPr>
    <w:rPr>
      <w:rFonts w:eastAsia="宋体"/>
      <w:sz w:val="21"/>
      <w:szCs w:val="24"/>
    </w:r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1295</Words>
  <Characters>1319</Characters>
  <Lines>0</Lines>
  <Paragraphs>0</Paragraphs>
  <TotalTime>0</TotalTime>
  <ScaleCrop>false</ScaleCrop>
  <LinksUpToDate>false</LinksUpToDate>
  <CharactersWithSpaces>1585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2025-08-26T07:28:20Z</dcterms:created>
  <dc:creator>admin</dc:creator>
  <cp:lastModifiedBy>雷子</cp:lastModifiedBy>
  <dcterms:modified xsi:type="dcterms:W3CDTF">2025-08-26T07:41:55Z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eyJoZGlkIjoiMjAzZDNlMGZiYTllZjk1ZGFiMTBjOTcxZWM5NmRhYTkiLCJ1c2VySWQiOiIyNzI1NzMxNTkifQ==</vt:lpwstr>
  </property>
  <property fmtid="{D5CDD505-2E9C-101B-9397-08002B2CF9AE}" pid="4" name="ICV">
    <vt:lpwstr>016B363ACB764582BBE2984034FBF787_13</vt:lpwstr>
  </property>
</Properties>
</file>