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F5B9B3">
      <w:pPr>
        <w:spacing w:line="640" w:lineRule="exact"/>
        <w:jc w:val="center"/>
        <w:rPr>
          <w:rFonts w:hint="eastAsia" w:ascii="宋体" w:hAnsi="宋体" w:cs="宋体"/>
          <w:b/>
          <w:bCs/>
          <w:color w:val="000000"/>
          <w:kern w:val="0"/>
          <w:sz w:val="28"/>
          <w:szCs w:val="28"/>
        </w:rPr>
      </w:pPr>
      <w:r>
        <w:rPr>
          <w:rFonts w:hint="eastAsia" w:ascii="宋体" w:hAnsi="宋体" w:cs="宋体"/>
          <w:b/>
          <w:bCs/>
          <w:color w:val="000000"/>
          <w:kern w:val="0"/>
          <w:sz w:val="28"/>
          <w:szCs w:val="28"/>
          <w:u w:val="single"/>
        </w:rPr>
        <w:t>西安市食品药品检验所中药标本储存展示项目采购合同</w:t>
      </w:r>
    </w:p>
    <w:p w14:paraId="7048F8FE">
      <w:pPr>
        <w:kinsoku w:val="0"/>
        <w:spacing w:before="156" w:beforeLines="50" w:line="360" w:lineRule="auto"/>
        <w:ind w:firstLine="480" w:firstLineChars="200"/>
        <w:rPr>
          <w:rFonts w:hint="eastAsia" w:ascii="宋体" w:hAnsi="宋体" w:cs="宋体"/>
          <w:sz w:val="24"/>
        </w:rPr>
      </w:pPr>
      <w:r>
        <w:rPr>
          <w:rFonts w:hint="eastAsia" w:ascii="宋体" w:hAnsi="宋体" w:cs="宋体"/>
          <w:color w:val="000000"/>
          <w:kern w:val="0"/>
          <w:sz w:val="24"/>
        </w:rPr>
        <w:t>“</w:t>
      </w:r>
      <w:r>
        <w:rPr>
          <w:rFonts w:hint="eastAsia" w:ascii="宋体" w:hAnsi="宋体" w:cs="宋体"/>
          <w:color w:val="000000"/>
          <w:kern w:val="0"/>
          <w:sz w:val="24"/>
          <w:u w:val="single"/>
        </w:rPr>
        <w:t>中药标本储存展示项目</w:t>
      </w:r>
      <w:r>
        <w:rPr>
          <w:rFonts w:hint="eastAsia" w:ascii="宋体" w:hAnsi="宋体" w:cs="宋体"/>
          <w:color w:val="000000"/>
          <w:kern w:val="0"/>
          <w:sz w:val="24"/>
        </w:rPr>
        <w:t>”项目(项目编号</w:t>
      </w:r>
      <w:r>
        <w:rPr>
          <w:rFonts w:hint="eastAsia" w:ascii="宋体" w:hAnsi="宋体" w:cs="宋体"/>
          <w:color w:val="000000"/>
          <w:kern w:val="0"/>
          <w:sz w:val="24"/>
          <w:u w:val="single"/>
        </w:rPr>
        <w:t>：ZX2025-08-07</w:t>
      </w:r>
      <w:r>
        <w:rPr>
          <w:rFonts w:hint="eastAsia" w:ascii="宋体" w:hAnsi="宋体" w:cs="宋体"/>
          <w:color w:val="000000"/>
          <w:kern w:val="0"/>
          <w:sz w:val="24"/>
        </w:rPr>
        <w:t>)，通过</w:t>
      </w:r>
      <w:r>
        <w:rPr>
          <w:rFonts w:hint="eastAsia" w:ascii="宋体" w:hAnsi="宋体" w:cs="宋体"/>
          <w:kern w:val="0"/>
          <w:sz w:val="24"/>
          <w:u w:val="single"/>
        </w:rPr>
        <w:t>公开招标</w:t>
      </w:r>
      <w:r>
        <w:rPr>
          <w:rFonts w:hint="eastAsia" w:ascii="宋体" w:hAnsi="宋体" w:cs="宋体"/>
          <w:color w:val="000000"/>
          <w:kern w:val="0"/>
          <w:sz w:val="24"/>
        </w:rPr>
        <w:t>采购。经评标委员会评审推荐，</w:t>
      </w:r>
      <w:r>
        <w:rPr>
          <w:rFonts w:hint="eastAsia" w:ascii="宋体" w:hAnsi="宋体" w:cs="宋体"/>
          <w:color w:val="000000"/>
          <w:kern w:val="0"/>
          <w:sz w:val="24"/>
          <w:u w:val="single"/>
        </w:rPr>
        <w:t>西安市食品药品检验所</w:t>
      </w:r>
      <w:r>
        <w:rPr>
          <w:rFonts w:hint="eastAsia" w:ascii="宋体" w:hAnsi="宋体" w:cs="宋体"/>
          <w:color w:val="000000"/>
          <w:kern w:val="0"/>
          <w:sz w:val="24"/>
        </w:rPr>
        <w:t>(以下简称“甲方”)确认</w:t>
      </w:r>
      <w:r>
        <w:rPr>
          <w:rFonts w:hint="eastAsia" w:ascii="宋体" w:hAnsi="宋体" w:cs="宋体"/>
          <w:color w:val="000000"/>
          <w:kern w:val="0"/>
          <w:sz w:val="24"/>
          <w:u w:val="single"/>
        </w:rPr>
        <w:t xml:space="preserve">          </w:t>
      </w:r>
      <w:r>
        <w:rPr>
          <w:rFonts w:hint="eastAsia" w:ascii="宋体" w:hAnsi="宋体" w:cs="宋体"/>
          <w:bCs/>
          <w:color w:val="000000"/>
          <w:kern w:val="0"/>
          <w:sz w:val="24"/>
        </w:rPr>
        <w:t>（</w:t>
      </w:r>
      <w:r>
        <w:rPr>
          <w:rFonts w:hint="eastAsia" w:ascii="宋体" w:hAnsi="宋体" w:cs="宋体"/>
          <w:color w:val="000000"/>
          <w:kern w:val="0"/>
          <w:sz w:val="24"/>
        </w:rPr>
        <w:t>以下简称“乙方”）为本项目中标人。</w:t>
      </w:r>
      <w:r>
        <w:rPr>
          <w:rFonts w:hint="eastAsia" w:ascii="宋体" w:hAnsi="宋体" w:cs="宋体"/>
          <w:color w:val="000000"/>
          <w:spacing w:val="-4"/>
          <w:kern w:val="0"/>
          <w:sz w:val="24"/>
        </w:rPr>
        <w:t>依据《中华人民共和国民法典》和《中华人民共和国政府采购法》、《中华人民共和国政府采购法实施条例》，</w:t>
      </w:r>
      <w:r>
        <w:rPr>
          <w:rFonts w:hint="eastAsia" w:ascii="宋体" w:hAnsi="宋体" w:cs="宋体"/>
          <w:sz w:val="24"/>
        </w:rPr>
        <w:t>甲、乙双方在平等自愿的基础上协商一致，达成如下合同条款：</w:t>
      </w:r>
    </w:p>
    <w:p w14:paraId="5DF55DE6">
      <w:pPr>
        <w:spacing w:line="360" w:lineRule="auto"/>
        <w:ind w:firstLine="482" w:firstLineChars="200"/>
        <w:rPr>
          <w:rFonts w:hint="eastAsia" w:ascii="宋体" w:hAnsi="宋体" w:cs="宋体"/>
          <w:sz w:val="24"/>
        </w:rPr>
      </w:pPr>
      <w:r>
        <w:rPr>
          <w:rFonts w:hint="eastAsia" w:ascii="宋体" w:hAnsi="宋体" w:cs="宋体"/>
          <w:b/>
          <w:bCs/>
          <w:sz w:val="24"/>
        </w:rPr>
        <w:t>一、合同标的物内容及数量、单价、金额（以投标文件正本和澄清表〈函〉为准）</w:t>
      </w:r>
    </w:p>
    <w:tbl>
      <w:tblPr>
        <w:tblStyle w:val="11"/>
        <w:tblW w:w="96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1245"/>
        <w:gridCol w:w="916"/>
        <w:gridCol w:w="1395"/>
        <w:gridCol w:w="876"/>
        <w:gridCol w:w="1365"/>
        <w:gridCol w:w="1363"/>
        <w:gridCol w:w="1375"/>
      </w:tblGrid>
      <w:tr w14:paraId="4D4CB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14:paraId="04B1D0FF">
            <w:pPr>
              <w:jc w:val="center"/>
              <w:rPr>
                <w:rFonts w:hint="eastAsia" w:ascii="宋体" w:hAnsi="宋体" w:cs="宋体"/>
                <w:sz w:val="24"/>
              </w:rPr>
            </w:pPr>
            <w:r>
              <w:rPr>
                <w:rFonts w:hint="eastAsia" w:ascii="宋体" w:hAnsi="宋体" w:cs="宋体"/>
                <w:sz w:val="24"/>
              </w:rPr>
              <w:t>序号</w:t>
            </w:r>
          </w:p>
        </w:tc>
        <w:tc>
          <w:tcPr>
            <w:tcW w:w="1245" w:type="dxa"/>
            <w:tcBorders>
              <w:top w:val="single" w:color="auto" w:sz="4" w:space="0"/>
              <w:left w:val="single" w:color="auto" w:sz="4" w:space="0"/>
              <w:bottom w:val="single" w:color="auto" w:sz="4" w:space="0"/>
              <w:right w:val="single" w:color="auto" w:sz="4" w:space="0"/>
            </w:tcBorders>
            <w:vAlign w:val="center"/>
          </w:tcPr>
          <w:p w14:paraId="127CCAC4">
            <w:pPr>
              <w:jc w:val="center"/>
              <w:rPr>
                <w:rFonts w:hint="eastAsia" w:ascii="宋体" w:hAnsi="宋体" w:cs="宋体"/>
                <w:sz w:val="24"/>
              </w:rPr>
            </w:pPr>
            <w:r>
              <w:rPr>
                <w:rFonts w:hint="eastAsia" w:ascii="宋体" w:hAnsi="宋体" w:cs="宋体"/>
                <w:sz w:val="24"/>
              </w:rPr>
              <w:t>产品名称</w:t>
            </w:r>
          </w:p>
        </w:tc>
        <w:tc>
          <w:tcPr>
            <w:tcW w:w="916" w:type="dxa"/>
            <w:tcBorders>
              <w:top w:val="single" w:color="auto" w:sz="4" w:space="0"/>
              <w:left w:val="single" w:color="auto" w:sz="4" w:space="0"/>
              <w:bottom w:val="single" w:color="auto" w:sz="4" w:space="0"/>
              <w:right w:val="single" w:color="auto" w:sz="4" w:space="0"/>
            </w:tcBorders>
            <w:vAlign w:val="center"/>
          </w:tcPr>
          <w:p w14:paraId="697BD607">
            <w:pPr>
              <w:jc w:val="center"/>
              <w:rPr>
                <w:rFonts w:hint="eastAsia" w:ascii="宋体" w:hAnsi="宋体" w:cs="宋体"/>
                <w:sz w:val="24"/>
              </w:rPr>
            </w:pPr>
            <w:r>
              <w:rPr>
                <w:rFonts w:hint="eastAsia" w:ascii="宋体" w:hAnsi="宋体" w:cs="宋体"/>
                <w:sz w:val="24"/>
              </w:rPr>
              <w:t>产地/生产厂家</w:t>
            </w:r>
          </w:p>
        </w:tc>
        <w:tc>
          <w:tcPr>
            <w:tcW w:w="1395" w:type="dxa"/>
            <w:tcBorders>
              <w:top w:val="single" w:color="auto" w:sz="4" w:space="0"/>
              <w:left w:val="single" w:color="auto" w:sz="4" w:space="0"/>
              <w:bottom w:val="single" w:color="auto" w:sz="4" w:space="0"/>
              <w:right w:val="single" w:color="auto" w:sz="4" w:space="0"/>
            </w:tcBorders>
            <w:vAlign w:val="center"/>
          </w:tcPr>
          <w:p w14:paraId="1872C3AD">
            <w:pPr>
              <w:jc w:val="center"/>
              <w:rPr>
                <w:rFonts w:hint="eastAsia" w:ascii="宋体" w:hAnsi="宋体" w:cs="宋体"/>
                <w:sz w:val="24"/>
              </w:rPr>
            </w:pPr>
            <w:r>
              <w:rPr>
                <w:rFonts w:hint="eastAsia" w:ascii="宋体" w:hAnsi="宋体" w:cs="宋体"/>
                <w:sz w:val="24"/>
              </w:rPr>
              <w:t>规格/型号</w:t>
            </w:r>
          </w:p>
        </w:tc>
        <w:tc>
          <w:tcPr>
            <w:tcW w:w="876" w:type="dxa"/>
            <w:tcBorders>
              <w:top w:val="single" w:color="auto" w:sz="4" w:space="0"/>
              <w:left w:val="single" w:color="auto" w:sz="4" w:space="0"/>
              <w:bottom w:val="single" w:color="auto" w:sz="4" w:space="0"/>
              <w:right w:val="single" w:color="auto" w:sz="4" w:space="0"/>
            </w:tcBorders>
            <w:vAlign w:val="center"/>
          </w:tcPr>
          <w:p w14:paraId="34B463C1">
            <w:pPr>
              <w:jc w:val="center"/>
              <w:rPr>
                <w:rFonts w:hint="eastAsia" w:ascii="宋体" w:hAnsi="宋体" w:cs="宋体"/>
                <w:sz w:val="24"/>
              </w:rPr>
            </w:pPr>
            <w:r>
              <w:rPr>
                <w:rFonts w:hint="eastAsia" w:ascii="宋体" w:hAnsi="宋体" w:cs="宋体"/>
                <w:sz w:val="24"/>
              </w:rPr>
              <w:t>数量</w:t>
            </w:r>
          </w:p>
        </w:tc>
        <w:tc>
          <w:tcPr>
            <w:tcW w:w="1365" w:type="dxa"/>
            <w:tcBorders>
              <w:top w:val="single" w:color="auto" w:sz="4" w:space="0"/>
              <w:left w:val="single" w:color="auto" w:sz="4" w:space="0"/>
              <w:bottom w:val="single" w:color="auto" w:sz="4" w:space="0"/>
              <w:right w:val="single" w:color="auto" w:sz="4" w:space="0"/>
            </w:tcBorders>
            <w:vAlign w:val="center"/>
          </w:tcPr>
          <w:p w14:paraId="081C0B37">
            <w:pPr>
              <w:jc w:val="center"/>
              <w:rPr>
                <w:rFonts w:hint="eastAsia" w:ascii="宋体" w:hAnsi="宋体" w:cs="宋体"/>
                <w:sz w:val="24"/>
              </w:rPr>
            </w:pPr>
            <w:r>
              <w:rPr>
                <w:rFonts w:hint="eastAsia" w:ascii="宋体" w:hAnsi="宋体" w:cs="宋体"/>
                <w:sz w:val="24"/>
              </w:rPr>
              <w:t>单价</w:t>
            </w:r>
          </w:p>
          <w:p w14:paraId="6C789F2B">
            <w:pPr>
              <w:jc w:val="center"/>
              <w:rPr>
                <w:rFonts w:hint="eastAsia" w:ascii="宋体" w:hAnsi="宋体" w:cs="宋体"/>
                <w:sz w:val="24"/>
              </w:rPr>
            </w:pPr>
            <w:r>
              <w:rPr>
                <w:rFonts w:hint="eastAsia" w:ascii="宋体" w:hAnsi="宋体" w:cs="宋体"/>
                <w:sz w:val="24"/>
              </w:rPr>
              <w:t>(万元)</w:t>
            </w:r>
          </w:p>
        </w:tc>
        <w:tc>
          <w:tcPr>
            <w:tcW w:w="1363" w:type="dxa"/>
            <w:tcBorders>
              <w:top w:val="single" w:color="auto" w:sz="4" w:space="0"/>
              <w:left w:val="single" w:color="auto" w:sz="4" w:space="0"/>
              <w:bottom w:val="single" w:color="auto" w:sz="4" w:space="0"/>
              <w:right w:val="single" w:color="auto" w:sz="4" w:space="0"/>
            </w:tcBorders>
            <w:vAlign w:val="center"/>
          </w:tcPr>
          <w:p w14:paraId="172B298E">
            <w:pPr>
              <w:jc w:val="center"/>
              <w:rPr>
                <w:rFonts w:hint="eastAsia" w:ascii="宋体" w:hAnsi="宋体" w:cs="宋体"/>
                <w:sz w:val="24"/>
              </w:rPr>
            </w:pPr>
            <w:r>
              <w:rPr>
                <w:rFonts w:hint="eastAsia" w:ascii="宋体" w:hAnsi="宋体" w:cs="宋体"/>
                <w:sz w:val="24"/>
              </w:rPr>
              <w:t>金额</w:t>
            </w:r>
          </w:p>
          <w:p w14:paraId="5001D11C">
            <w:pPr>
              <w:jc w:val="center"/>
              <w:rPr>
                <w:rFonts w:hint="eastAsia" w:ascii="宋体" w:hAnsi="宋体" w:cs="宋体"/>
                <w:sz w:val="24"/>
              </w:rPr>
            </w:pPr>
            <w:r>
              <w:rPr>
                <w:rFonts w:hint="eastAsia" w:ascii="宋体" w:hAnsi="宋体" w:cs="宋体"/>
                <w:sz w:val="24"/>
              </w:rPr>
              <w:t>(万元)</w:t>
            </w:r>
          </w:p>
        </w:tc>
        <w:tc>
          <w:tcPr>
            <w:tcW w:w="1375" w:type="dxa"/>
            <w:tcBorders>
              <w:top w:val="single" w:color="auto" w:sz="4" w:space="0"/>
              <w:left w:val="single" w:color="auto" w:sz="4" w:space="0"/>
              <w:bottom w:val="single" w:color="auto" w:sz="4" w:space="0"/>
              <w:right w:val="single" w:color="auto" w:sz="4" w:space="0"/>
            </w:tcBorders>
            <w:vAlign w:val="center"/>
          </w:tcPr>
          <w:p w14:paraId="330F14D2">
            <w:pPr>
              <w:jc w:val="center"/>
              <w:rPr>
                <w:rFonts w:hint="eastAsia" w:ascii="宋体" w:hAnsi="宋体" w:cs="宋体"/>
                <w:sz w:val="24"/>
              </w:rPr>
            </w:pPr>
            <w:r>
              <w:rPr>
                <w:rFonts w:hint="eastAsia" w:ascii="宋体" w:hAnsi="宋体" w:cs="宋体"/>
                <w:sz w:val="24"/>
              </w:rPr>
              <w:t>备注</w:t>
            </w:r>
          </w:p>
        </w:tc>
      </w:tr>
      <w:tr w14:paraId="56E36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14:paraId="1C936D5D">
            <w:pPr>
              <w:jc w:val="center"/>
              <w:rPr>
                <w:rFonts w:hint="eastAsia" w:ascii="宋体" w:hAnsi="宋体" w:cs="宋体"/>
                <w:sz w:val="24"/>
              </w:rPr>
            </w:pPr>
            <w:r>
              <w:rPr>
                <w:rFonts w:hint="eastAsia" w:ascii="宋体" w:hAnsi="宋体" w:cs="宋体"/>
                <w:sz w:val="24"/>
              </w:rPr>
              <w:t>1</w:t>
            </w:r>
          </w:p>
        </w:tc>
        <w:tc>
          <w:tcPr>
            <w:tcW w:w="1245" w:type="dxa"/>
            <w:tcBorders>
              <w:top w:val="single" w:color="auto" w:sz="4" w:space="0"/>
              <w:left w:val="single" w:color="auto" w:sz="4" w:space="0"/>
              <w:bottom w:val="single" w:color="auto" w:sz="4" w:space="0"/>
              <w:right w:val="single" w:color="auto" w:sz="4" w:space="0"/>
            </w:tcBorders>
            <w:vAlign w:val="bottom"/>
          </w:tcPr>
          <w:p w14:paraId="1FD1BA1E">
            <w:pPr>
              <w:ind w:firstLine="480" w:firstLineChars="200"/>
              <w:jc w:val="center"/>
              <w:rPr>
                <w:rFonts w:hint="eastAsia" w:ascii="宋体" w:hAnsi="宋体" w:cs="宋体"/>
                <w:sz w:val="24"/>
              </w:rPr>
            </w:pPr>
          </w:p>
        </w:tc>
        <w:tc>
          <w:tcPr>
            <w:tcW w:w="916" w:type="dxa"/>
            <w:tcBorders>
              <w:top w:val="single" w:color="auto" w:sz="4" w:space="0"/>
              <w:left w:val="single" w:color="auto" w:sz="4" w:space="0"/>
              <w:bottom w:val="single" w:color="auto" w:sz="4" w:space="0"/>
              <w:right w:val="single" w:color="auto" w:sz="4" w:space="0"/>
            </w:tcBorders>
            <w:vAlign w:val="bottom"/>
          </w:tcPr>
          <w:p w14:paraId="7DA2C973">
            <w:pPr>
              <w:ind w:firstLine="480" w:firstLineChars="200"/>
              <w:jc w:val="center"/>
              <w:rPr>
                <w:rFonts w:hint="eastAsia" w:ascii="宋体" w:hAnsi="宋体" w:cs="宋体"/>
                <w:sz w:val="24"/>
              </w:rPr>
            </w:pPr>
          </w:p>
        </w:tc>
        <w:tc>
          <w:tcPr>
            <w:tcW w:w="1395" w:type="dxa"/>
            <w:tcBorders>
              <w:top w:val="single" w:color="auto" w:sz="4" w:space="0"/>
              <w:left w:val="single" w:color="auto" w:sz="4" w:space="0"/>
              <w:bottom w:val="single" w:color="auto" w:sz="4" w:space="0"/>
              <w:right w:val="single" w:color="auto" w:sz="4" w:space="0"/>
            </w:tcBorders>
            <w:vAlign w:val="bottom"/>
          </w:tcPr>
          <w:p w14:paraId="59482463">
            <w:pPr>
              <w:ind w:firstLine="480" w:firstLineChars="200"/>
              <w:jc w:val="center"/>
              <w:rPr>
                <w:rFonts w:hint="eastAsia" w:ascii="宋体" w:hAnsi="宋体" w:cs="宋体"/>
                <w:sz w:val="24"/>
              </w:rPr>
            </w:pPr>
          </w:p>
        </w:tc>
        <w:tc>
          <w:tcPr>
            <w:tcW w:w="876" w:type="dxa"/>
            <w:tcBorders>
              <w:top w:val="single" w:color="auto" w:sz="4" w:space="0"/>
              <w:left w:val="single" w:color="auto" w:sz="4" w:space="0"/>
              <w:bottom w:val="single" w:color="auto" w:sz="4" w:space="0"/>
              <w:right w:val="single" w:color="auto" w:sz="4" w:space="0"/>
            </w:tcBorders>
            <w:vAlign w:val="bottom"/>
          </w:tcPr>
          <w:p w14:paraId="5ADBB62B">
            <w:pPr>
              <w:ind w:firstLine="480" w:firstLineChars="200"/>
              <w:jc w:val="center"/>
              <w:rPr>
                <w:rFonts w:hint="eastAsia" w:ascii="宋体" w:hAnsi="宋体" w:cs="宋体"/>
                <w:sz w:val="24"/>
              </w:rPr>
            </w:pPr>
          </w:p>
        </w:tc>
        <w:tc>
          <w:tcPr>
            <w:tcW w:w="1365" w:type="dxa"/>
            <w:tcBorders>
              <w:top w:val="single" w:color="auto" w:sz="4" w:space="0"/>
              <w:left w:val="single" w:color="auto" w:sz="4" w:space="0"/>
              <w:bottom w:val="single" w:color="auto" w:sz="4" w:space="0"/>
              <w:right w:val="single" w:color="auto" w:sz="4" w:space="0"/>
            </w:tcBorders>
            <w:vAlign w:val="bottom"/>
          </w:tcPr>
          <w:p w14:paraId="63FD6D0D">
            <w:pPr>
              <w:ind w:firstLine="480" w:firstLineChars="200"/>
              <w:jc w:val="center"/>
              <w:rPr>
                <w:rFonts w:hint="eastAsia" w:ascii="宋体" w:hAnsi="宋体" w:cs="宋体"/>
                <w:sz w:val="24"/>
              </w:rPr>
            </w:pPr>
          </w:p>
          <w:p w14:paraId="67F52E81">
            <w:pPr>
              <w:ind w:firstLine="480" w:firstLineChars="200"/>
              <w:jc w:val="center"/>
              <w:rPr>
                <w:rFonts w:hint="eastAsia" w:ascii="宋体" w:hAnsi="宋体" w:cs="宋体"/>
                <w:sz w:val="24"/>
              </w:rPr>
            </w:pPr>
          </w:p>
        </w:tc>
        <w:tc>
          <w:tcPr>
            <w:tcW w:w="1363" w:type="dxa"/>
            <w:tcBorders>
              <w:top w:val="single" w:color="auto" w:sz="4" w:space="0"/>
              <w:left w:val="single" w:color="auto" w:sz="4" w:space="0"/>
              <w:bottom w:val="single" w:color="auto" w:sz="4" w:space="0"/>
              <w:right w:val="single" w:color="auto" w:sz="4" w:space="0"/>
            </w:tcBorders>
            <w:vAlign w:val="bottom"/>
          </w:tcPr>
          <w:p w14:paraId="563C7753">
            <w:pPr>
              <w:ind w:firstLine="480" w:firstLineChars="200"/>
              <w:jc w:val="center"/>
              <w:rPr>
                <w:rFonts w:hint="eastAsia" w:ascii="宋体" w:hAnsi="宋体" w:cs="宋体"/>
                <w:sz w:val="24"/>
              </w:rPr>
            </w:pPr>
          </w:p>
          <w:p w14:paraId="68258AC4">
            <w:pPr>
              <w:ind w:firstLine="480" w:firstLineChars="200"/>
              <w:jc w:val="center"/>
              <w:rPr>
                <w:rFonts w:hint="eastAsia" w:ascii="宋体" w:hAnsi="宋体" w:cs="宋体"/>
                <w:sz w:val="24"/>
              </w:rPr>
            </w:pPr>
          </w:p>
        </w:tc>
        <w:tc>
          <w:tcPr>
            <w:tcW w:w="1375" w:type="dxa"/>
            <w:tcBorders>
              <w:top w:val="single" w:color="auto" w:sz="4" w:space="0"/>
              <w:left w:val="single" w:color="auto" w:sz="4" w:space="0"/>
              <w:bottom w:val="single" w:color="auto" w:sz="4" w:space="0"/>
              <w:right w:val="single" w:color="auto" w:sz="4" w:space="0"/>
            </w:tcBorders>
            <w:vAlign w:val="bottom"/>
          </w:tcPr>
          <w:p w14:paraId="2258F463">
            <w:pPr>
              <w:ind w:firstLine="480" w:firstLineChars="200"/>
              <w:jc w:val="center"/>
              <w:rPr>
                <w:rFonts w:hint="eastAsia" w:ascii="宋体" w:hAnsi="宋体" w:cs="宋体"/>
                <w:sz w:val="24"/>
              </w:rPr>
            </w:pPr>
          </w:p>
        </w:tc>
      </w:tr>
      <w:tr w14:paraId="557A6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14:paraId="3DD80063">
            <w:pPr>
              <w:jc w:val="center"/>
              <w:rPr>
                <w:rFonts w:hint="eastAsia" w:ascii="宋体" w:hAnsi="宋体" w:cs="宋体"/>
                <w:sz w:val="24"/>
              </w:rPr>
            </w:pPr>
            <w:r>
              <w:rPr>
                <w:rFonts w:hint="eastAsia" w:ascii="宋体" w:hAnsi="宋体" w:cs="宋体"/>
                <w:sz w:val="24"/>
              </w:rPr>
              <w:t>2</w:t>
            </w:r>
          </w:p>
        </w:tc>
        <w:tc>
          <w:tcPr>
            <w:tcW w:w="1245" w:type="dxa"/>
            <w:tcBorders>
              <w:top w:val="single" w:color="auto" w:sz="4" w:space="0"/>
              <w:left w:val="single" w:color="auto" w:sz="4" w:space="0"/>
              <w:bottom w:val="single" w:color="auto" w:sz="4" w:space="0"/>
              <w:right w:val="single" w:color="auto" w:sz="4" w:space="0"/>
            </w:tcBorders>
            <w:vAlign w:val="bottom"/>
          </w:tcPr>
          <w:p w14:paraId="7C02DBBC">
            <w:pPr>
              <w:ind w:firstLine="480" w:firstLineChars="200"/>
              <w:jc w:val="center"/>
              <w:rPr>
                <w:rFonts w:hint="eastAsia" w:ascii="宋体" w:hAnsi="宋体" w:cs="宋体"/>
                <w:sz w:val="24"/>
              </w:rPr>
            </w:pPr>
          </w:p>
        </w:tc>
        <w:tc>
          <w:tcPr>
            <w:tcW w:w="916" w:type="dxa"/>
            <w:tcBorders>
              <w:top w:val="single" w:color="auto" w:sz="4" w:space="0"/>
              <w:left w:val="single" w:color="auto" w:sz="4" w:space="0"/>
              <w:bottom w:val="single" w:color="auto" w:sz="4" w:space="0"/>
              <w:right w:val="single" w:color="auto" w:sz="4" w:space="0"/>
            </w:tcBorders>
            <w:vAlign w:val="bottom"/>
          </w:tcPr>
          <w:p w14:paraId="54FEBDB0">
            <w:pPr>
              <w:ind w:firstLine="480" w:firstLineChars="200"/>
              <w:jc w:val="center"/>
              <w:rPr>
                <w:rFonts w:hint="eastAsia" w:ascii="宋体" w:hAnsi="宋体" w:cs="宋体"/>
                <w:sz w:val="24"/>
              </w:rPr>
            </w:pPr>
          </w:p>
        </w:tc>
        <w:tc>
          <w:tcPr>
            <w:tcW w:w="1395" w:type="dxa"/>
            <w:tcBorders>
              <w:top w:val="single" w:color="auto" w:sz="4" w:space="0"/>
              <w:left w:val="single" w:color="auto" w:sz="4" w:space="0"/>
              <w:bottom w:val="single" w:color="auto" w:sz="4" w:space="0"/>
              <w:right w:val="single" w:color="auto" w:sz="4" w:space="0"/>
            </w:tcBorders>
            <w:vAlign w:val="bottom"/>
          </w:tcPr>
          <w:p w14:paraId="4F970A83">
            <w:pPr>
              <w:ind w:firstLine="480" w:firstLineChars="200"/>
              <w:jc w:val="center"/>
              <w:rPr>
                <w:rFonts w:hint="eastAsia" w:ascii="宋体" w:hAnsi="宋体" w:cs="宋体"/>
                <w:sz w:val="24"/>
              </w:rPr>
            </w:pPr>
          </w:p>
        </w:tc>
        <w:tc>
          <w:tcPr>
            <w:tcW w:w="876" w:type="dxa"/>
            <w:tcBorders>
              <w:top w:val="single" w:color="auto" w:sz="4" w:space="0"/>
              <w:left w:val="single" w:color="auto" w:sz="4" w:space="0"/>
              <w:bottom w:val="single" w:color="auto" w:sz="4" w:space="0"/>
              <w:right w:val="single" w:color="auto" w:sz="4" w:space="0"/>
            </w:tcBorders>
            <w:vAlign w:val="bottom"/>
          </w:tcPr>
          <w:p w14:paraId="35DD4230">
            <w:pPr>
              <w:ind w:firstLine="480" w:firstLineChars="200"/>
              <w:jc w:val="center"/>
              <w:rPr>
                <w:rFonts w:hint="eastAsia" w:ascii="宋体" w:hAnsi="宋体" w:cs="宋体"/>
                <w:sz w:val="24"/>
              </w:rPr>
            </w:pPr>
          </w:p>
        </w:tc>
        <w:tc>
          <w:tcPr>
            <w:tcW w:w="1365" w:type="dxa"/>
            <w:tcBorders>
              <w:top w:val="single" w:color="auto" w:sz="4" w:space="0"/>
              <w:left w:val="single" w:color="auto" w:sz="4" w:space="0"/>
              <w:bottom w:val="single" w:color="auto" w:sz="4" w:space="0"/>
              <w:right w:val="single" w:color="auto" w:sz="4" w:space="0"/>
            </w:tcBorders>
            <w:vAlign w:val="bottom"/>
          </w:tcPr>
          <w:p w14:paraId="4A973A74">
            <w:pPr>
              <w:ind w:firstLine="480" w:firstLineChars="200"/>
              <w:jc w:val="center"/>
              <w:rPr>
                <w:rFonts w:hint="eastAsia" w:ascii="宋体" w:hAnsi="宋体" w:cs="宋体"/>
                <w:sz w:val="24"/>
              </w:rPr>
            </w:pPr>
          </w:p>
        </w:tc>
        <w:tc>
          <w:tcPr>
            <w:tcW w:w="1363" w:type="dxa"/>
            <w:tcBorders>
              <w:top w:val="single" w:color="auto" w:sz="4" w:space="0"/>
              <w:left w:val="single" w:color="auto" w:sz="4" w:space="0"/>
              <w:bottom w:val="single" w:color="auto" w:sz="4" w:space="0"/>
              <w:right w:val="single" w:color="auto" w:sz="4" w:space="0"/>
            </w:tcBorders>
            <w:vAlign w:val="bottom"/>
          </w:tcPr>
          <w:p w14:paraId="0C9A1992">
            <w:pPr>
              <w:ind w:firstLine="480" w:firstLineChars="200"/>
              <w:jc w:val="center"/>
              <w:rPr>
                <w:rFonts w:hint="eastAsia" w:ascii="宋体" w:hAnsi="宋体" w:cs="宋体"/>
                <w:sz w:val="24"/>
              </w:rPr>
            </w:pPr>
          </w:p>
        </w:tc>
        <w:tc>
          <w:tcPr>
            <w:tcW w:w="1375" w:type="dxa"/>
            <w:tcBorders>
              <w:top w:val="single" w:color="auto" w:sz="4" w:space="0"/>
              <w:left w:val="single" w:color="auto" w:sz="4" w:space="0"/>
              <w:bottom w:val="single" w:color="auto" w:sz="4" w:space="0"/>
              <w:right w:val="single" w:color="auto" w:sz="4" w:space="0"/>
            </w:tcBorders>
            <w:vAlign w:val="bottom"/>
          </w:tcPr>
          <w:p w14:paraId="703A8640">
            <w:pPr>
              <w:ind w:firstLine="480" w:firstLineChars="200"/>
              <w:jc w:val="center"/>
              <w:rPr>
                <w:rFonts w:hint="eastAsia" w:ascii="宋体" w:hAnsi="宋体" w:cs="宋体"/>
                <w:sz w:val="24"/>
              </w:rPr>
            </w:pPr>
          </w:p>
        </w:tc>
      </w:tr>
      <w:tr w14:paraId="57C45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2340" w:type="dxa"/>
            <w:gridSpan w:val="2"/>
            <w:vMerge w:val="restart"/>
            <w:tcBorders>
              <w:top w:val="single" w:color="auto" w:sz="4" w:space="0"/>
              <w:left w:val="single" w:color="auto" w:sz="4" w:space="0"/>
              <w:right w:val="single" w:color="auto" w:sz="4" w:space="0"/>
            </w:tcBorders>
            <w:vAlign w:val="center"/>
          </w:tcPr>
          <w:p w14:paraId="3B5E455C">
            <w:pPr>
              <w:rPr>
                <w:rFonts w:hint="eastAsia" w:ascii="宋体" w:hAnsi="宋体" w:cs="宋体"/>
                <w:sz w:val="24"/>
              </w:rPr>
            </w:pPr>
            <w:r>
              <w:rPr>
                <w:rFonts w:hint="eastAsia" w:ascii="宋体" w:hAnsi="宋体" w:cs="宋体"/>
                <w:sz w:val="24"/>
              </w:rPr>
              <w:t>合计（上述所有价格均为含税价）</w:t>
            </w:r>
          </w:p>
        </w:tc>
        <w:tc>
          <w:tcPr>
            <w:tcW w:w="2311" w:type="dxa"/>
            <w:gridSpan w:val="2"/>
            <w:tcBorders>
              <w:top w:val="single" w:color="auto" w:sz="4" w:space="0"/>
              <w:left w:val="single" w:color="auto" w:sz="4" w:space="0"/>
              <w:right w:val="single" w:color="auto" w:sz="4" w:space="0"/>
            </w:tcBorders>
            <w:vAlign w:val="bottom"/>
          </w:tcPr>
          <w:p w14:paraId="17F4CC74">
            <w:pPr>
              <w:ind w:firstLine="480" w:firstLineChars="200"/>
              <w:jc w:val="center"/>
              <w:rPr>
                <w:rFonts w:hint="eastAsia" w:ascii="宋体" w:hAnsi="宋体" w:cs="宋体"/>
                <w:sz w:val="24"/>
              </w:rPr>
            </w:pPr>
            <w:r>
              <w:rPr>
                <w:rFonts w:hint="eastAsia" w:ascii="宋体" w:hAnsi="宋体" w:cs="宋体"/>
                <w:sz w:val="24"/>
              </w:rPr>
              <w:t>大写（人民币）</w:t>
            </w:r>
          </w:p>
        </w:tc>
        <w:tc>
          <w:tcPr>
            <w:tcW w:w="4979" w:type="dxa"/>
            <w:gridSpan w:val="4"/>
            <w:tcBorders>
              <w:top w:val="single" w:color="auto" w:sz="4" w:space="0"/>
              <w:left w:val="single" w:color="auto" w:sz="4" w:space="0"/>
              <w:bottom w:val="single" w:color="auto" w:sz="4" w:space="0"/>
              <w:right w:val="single" w:color="auto" w:sz="4" w:space="0"/>
            </w:tcBorders>
            <w:vAlign w:val="center"/>
          </w:tcPr>
          <w:p w14:paraId="34654576">
            <w:pPr>
              <w:ind w:firstLine="480" w:firstLineChars="200"/>
              <w:jc w:val="center"/>
              <w:rPr>
                <w:rFonts w:hint="eastAsia" w:ascii="宋体" w:hAnsi="宋体" w:cs="宋体"/>
                <w:sz w:val="24"/>
              </w:rPr>
            </w:pPr>
          </w:p>
        </w:tc>
      </w:tr>
      <w:tr w14:paraId="731BE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340" w:type="dxa"/>
            <w:gridSpan w:val="2"/>
            <w:vMerge w:val="continue"/>
            <w:tcBorders>
              <w:left w:val="single" w:color="auto" w:sz="4" w:space="0"/>
              <w:bottom w:val="single" w:color="auto" w:sz="4" w:space="0"/>
              <w:right w:val="single" w:color="auto" w:sz="4" w:space="0"/>
            </w:tcBorders>
            <w:vAlign w:val="center"/>
          </w:tcPr>
          <w:p w14:paraId="1563C9A3">
            <w:pPr>
              <w:ind w:firstLine="480" w:firstLineChars="200"/>
              <w:jc w:val="center"/>
              <w:rPr>
                <w:rFonts w:hint="eastAsia" w:ascii="宋体" w:hAnsi="宋体" w:cs="宋体"/>
                <w:sz w:val="24"/>
              </w:rPr>
            </w:pPr>
          </w:p>
        </w:tc>
        <w:tc>
          <w:tcPr>
            <w:tcW w:w="2311" w:type="dxa"/>
            <w:gridSpan w:val="2"/>
            <w:tcBorders>
              <w:left w:val="single" w:color="auto" w:sz="4" w:space="0"/>
              <w:bottom w:val="single" w:color="auto" w:sz="4" w:space="0"/>
              <w:right w:val="single" w:color="auto" w:sz="4" w:space="0"/>
            </w:tcBorders>
            <w:vAlign w:val="bottom"/>
          </w:tcPr>
          <w:p w14:paraId="56E41365">
            <w:pPr>
              <w:ind w:firstLine="480" w:firstLineChars="200"/>
              <w:jc w:val="center"/>
              <w:rPr>
                <w:rFonts w:hint="eastAsia" w:ascii="宋体" w:hAnsi="宋体" w:cs="宋体"/>
                <w:sz w:val="24"/>
              </w:rPr>
            </w:pPr>
            <w:r>
              <w:rPr>
                <w:rFonts w:hint="eastAsia" w:ascii="宋体" w:hAnsi="宋体" w:cs="宋体"/>
                <w:sz w:val="24"/>
              </w:rPr>
              <w:t>小写（人民币）</w:t>
            </w:r>
          </w:p>
        </w:tc>
        <w:tc>
          <w:tcPr>
            <w:tcW w:w="4979" w:type="dxa"/>
            <w:gridSpan w:val="4"/>
            <w:tcBorders>
              <w:top w:val="single" w:color="auto" w:sz="4" w:space="0"/>
              <w:left w:val="single" w:color="auto" w:sz="4" w:space="0"/>
              <w:bottom w:val="single" w:color="auto" w:sz="4" w:space="0"/>
              <w:right w:val="single" w:color="auto" w:sz="4" w:space="0"/>
            </w:tcBorders>
            <w:vAlign w:val="center"/>
          </w:tcPr>
          <w:p w14:paraId="39FE10AA">
            <w:pPr>
              <w:ind w:firstLine="480" w:firstLineChars="200"/>
              <w:jc w:val="center"/>
              <w:rPr>
                <w:rFonts w:hint="eastAsia" w:ascii="宋体" w:hAnsi="宋体" w:cs="宋体"/>
                <w:sz w:val="24"/>
              </w:rPr>
            </w:pPr>
          </w:p>
        </w:tc>
      </w:tr>
      <w:tr w14:paraId="0B3B1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095" w:type="dxa"/>
            <w:tcBorders>
              <w:top w:val="single" w:color="auto" w:sz="4" w:space="0"/>
              <w:left w:val="single" w:color="auto" w:sz="4" w:space="0"/>
              <w:bottom w:val="single" w:color="auto" w:sz="4" w:space="0"/>
              <w:right w:val="single" w:color="auto" w:sz="4" w:space="0"/>
            </w:tcBorders>
            <w:vAlign w:val="bottom"/>
          </w:tcPr>
          <w:p w14:paraId="353E643D">
            <w:pPr>
              <w:rPr>
                <w:rFonts w:hint="eastAsia" w:ascii="宋体" w:hAnsi="宋体" w:cs="宋体"/>
                <w:sz w:val="24"/>
              </w:rPr>
            </w:pPr>
            <w:r>
              <w:rPr>
                <w:rFonts w:hint="eastAsia" w:ascii="宋体" w:hAnsi="宋体" w:cs="宋体"/>
                <w:sz w:val="24"/>
              </w:rPr>
              <w:t>说明</w:t>
            </w:r>
          </w:p>
        </w:tc>
        <w:tc>
          <w:tcPr>
            <w:tcW w:w="8535" w:type="dxa"/>
            <w:gridSpan w:val="7"/>
            <w:tcBorders>
              <w:top w:val="single" w:color="auto" w:sz="4" w:space="0"/>
              <w:left w:val="single" w:color="auto" w:sz="4" w:space="0"/>
              <w:bottom w:val="single" w:color="auto" w:sz="4" w:space="0"/>
              <w:right w:val="single" w:color="auto" w:sz="4" w:space="0"/>
            </w:tcBorders>
            <w:vAlign w:val="bottom"/>
          </w:tcPr>
          <w:p w14:paraId="2C26F010">
            <w:pPr>
              <w:ind w:firstLine="480" w:firstLineChars="200"/>
              <w:rPr>
                <w:rFonts w:hint="eastAsia" w:ascii="宋体" w:hAnsi="宋体" w:cs="宋体"/>
                <w:sz w:val="24"/>
              </w:rPr>
            </w:pPr>
            <w:r>
              <w:rPr>
                <w:rFonts w:hint="eastAsia" w:ascii="宋体" w:hAnsi="宋体" w:cs="宋体"/>
                <w:sz w:val="24"/>
              </w:rPr>
              <w:t>技术指标、服务承诺、人员培训承诺等见附件。</w:t>
            </w:r>
          </w:p>
        </w:tc>
      </w:tr>
    </w:tbl>
    <w:p w14:paraId="54992412">
      <w:pPr>
        <w:spacing w:line="360" w:lineRule="auto"/>
        <w:ind w:firstLine="482" w:firstLineChars="200"/>
        <w:rPr>
          <w:rFonts w:hint="eastAsia" w:ascii="宋体" w:hAnsi="宋体" w:cs="宋体"/>
          <w:b/>
          <w:bCs/>
          <w:sz w:val="24"/>
        </w:rPr>
      </w:pPr>
      <w:r>
        <w:rPr>
          <w:rFonts w:hint="eastAsia" w:ascii="宋体" w:hAnsi="宋体" w:cs="宋体"/>
          <w:b/>
          <w:bCs/>
          <w:sz w:val="24"/>
        </w:rPr>
        <w:t>二、履约保证金</w:t>
      </w:r>
    </w:p>
    <w:p w14:paraId="3C332B5C">
      <w:pPr>
        <w:ind w:firstLine="480" w:firstLineChars="200"/>
        <w:rPr>
          <w:rFonts w:hint="eastAsia" w:ascii="宋体" w:hAnsi="宋体" w:cs="宋体"/>
          <w:sz w:val="24"/>
        </w:rPr>
      </w:pPr>
      <w:r>
        <w:rPr>
          <w:rFonts w:hint="eastAsia" w:ascii="宋体" w:hAnsi="宋体" w:cs="宋体"/>
          <w:sz w:val="24"/>
        </w:rPr>
        <w:t>本项目不需要缴纳履约保证金</w:t>
      </w:r>
      <w:r>
        <w:rPr>
          <w:rFonts w:hint="eastAsia" w:ascii="宋体" w:hAnsi="宋体" w:cs="宋体"/>
          <w:spacing w:val="-7"/>
          <w:sz w:val="24"/>
        </w:rPr>
        <w:t>。</w:t>
      </w:r>
    </w:p>
    <w:p w14:paraId="268D0019">
      <w:pPr>
        <w:spacing w:line="360" w:lineRule="auto"/>
        <w:ind w:firstLine="482" w:firstLineChars="200"/>
        <w:rPr>
          <w:rFonts w:hint="eastAsia" w:ascii="宋体" w:hAnsi="宋体" w:cs="宋体"/>
          <w:b/>
          <w:bCs/>
          <w:sz w:val="24"/>
        </w:rPr>
      </w:pPr>
      <w:r>
        <w:rPr>
          <w:rFonts w:hint="eastAsia" w:ascii="宋体" w:hAnsi="宋体" w:cs="宋体"/>
          <w:b/>
          <w:bCs/>
          <w:sz w:val="24"/>
        </w:rPr>
        <w:t>三、合同价款</w:t>
      </w:r>
    </w:p>
    <w:p w14:paraId="77604516">
      <w:pPr>
        <w:wordWrap w:val="0"/>
        <w:topLinePunct/>
        <w:spacing w:line="360" w:lineRule="auto"/>
        <w:ind w:firstLine="480" w:firstLineChars="200"/>
        <w:rPr>
          <w:rFonts w:hint="eastAsia" w:ascii="宋体" w:hAnsi="宋体" w:cs="宋体"/>
          <w:sz w:val="24"/>
        </w:rPr>
      </w:pPr>
      <w:r>
        <w:rPr>
          <w:rFonts w:hint="eastAsia" w:ascii="宋体" w:hAnsi="宋体" w:cs="宋体"/>
          <w:sz w:val="24"/>
        </w:rPr>
        <w:t>（一）合同总价款为人民币（大写）：</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w:t>
      </w:r>
    </w:p>
    <w:p w14:paraId="5DC3971F">
      <w:pPr>
        <w:spacing w:line="360" w:lineRule="auto"/>
        <w:ind w:firstLine="480" w:firstLineChars="200"/>
        <w:rPr>
          <w:rFonts w:hint="eastAsia" w:ascii="仿宋" w:hAnsi="仿宋" w:cs="仿宋"/>
          <w:sz w:val="24"/>
        </w:rPr>
      </w:pPr>
      <w:r>
        <w:rPr>
          <w:rFonts w:hint="eastAsia" w:ascii="仿宋" w:hAnsi="仿宋" w:cs="仿宋"/>
          <w:sz w:val="24"/>
        </w:rPr>
        <w:t>（二）合同总价包括：合同总价为一次性包死，</w:t>
      </w:r>
      <w:r>
        <w:rPr>
          <w:rFonts w:hint="eastAsia" w:ascii="仿宋" w:hAnsi="仿宋" w:cs="仿宋"/>
          <w:color w:val="000000"/>
          <w:sz w:val="24"/>
        </w:rPr>
        <w:t>包括所发生的运输费、税费、杂费（含保险）、商检费、搬运费、安装调试费、培训费等</w:t>
      </w:r>
      <w:r>
        <w:rPr>
          <w:rFonts w:hint="eastAsia" w:ascii="仿宋" w:hAnsi="仿宋" w:cs="仿宋"/>
          <w:sz w:val="24"/>
        </w:rPr>
        <w:t>一切费用。合同总价不可变更，不受市场价格或汇率变化的影响。除此之外，甲方不再向乙方支付任何费用，乙方不得以任何理由要求甲方承担其他费用。</w:t>
      </w:r>
    </w:p>
    <w:p w14:paraId="3716F725">
      <w:pPr>
        <w:spacing w:line="360" w:lineRule="auto"/>
        <w:ind w:firstLine="480" w:firstLineChars="200"/>
        <w:rPr>
          <w:rFonts w:hint="eastAsia" w:ascii="仿宋" w:hAnsi="仿宋" w:cs="仿宋"/>
          <w:sz w:val="24"/>
        </w:rPr>
      </w:pPr>
      <w:r>
        <w:rPr>
          <w:rFonts w:hint="eastAsia" w:ascii="仿宋" w:hAnsi="仿宋" w:cs="仿宋"/>
          <w:sz w:val="24"/>
        </w:rPr>
        <w:t>（三）款项结算</w:t>
      </w:r>
    </w:p>
    <w:p w14:paraId="6C768D8D">
      <w:pPr>
        <w:wordWrap w:val="0"/>
        <w:topLinePunct/>
        <w:spacing w:line="360" w:lineRule="auto"/>
        <w:ind w:firstLine="480" w:firstLineChars="200"/>
        <w:jc w:val="left"/>
        <w:rPr>
          <w:rFonts w:hint="eastAsia" w:ascii="仿宋" w:hAnsi="仿宋" w:cs="仿宋"/>
          <w:sz w:val="24"/>
        </w:rPr>
      </w:pPr>
      <w:r>
        <w:rPr>
          <w:rFonts w:hint="eastAsia" w:ascii="仿宋" w:hAnsi="仿宋" w:cs="仿宋"/>
          <w:sz w:val="24"/>
        </w:rPr>
        <w:t>（1）合同签订后14个日历日内，甲方向乙方支付合同总价的</w:t>
      </w:r>
      <w:r>
        <w:rPr>
          <w:rFonts w:hint="eastAsia" w:ascii="仿宋" w:hAnsi="仿宋" w:cs="仿宋"/>
          <w:sz w:val="24"/>
          <w:lang w:val="en-US" w:eastAsia="zh-CN"/>
        </w:rPr>
        <w:t xml:space="preserve">   </w:t>
      </w:r>
      <w:r>
        <w:rPr>
          <w:rFonts w:hint="eastAsia" w:ascii="仿宋" w:hAnsi="仿宋" w:cs="仿宋"/>
          <w:sz w:val="24"/>
        </w:rPr>
        <w:t>%作为预付款，即人民币</w:t>
      </w:r>
      <w:r>
        <w:rPr>
          <w:rFonts w:hint="eastAsia" w:ascii="仿宋" w:hAnsi="仿宋" w:cs="仿宋"/>
          <w:sz w:val="24"/>
          <w:u w:val="single"/>
        </w:rPr>
        <w:t xml:space="preserve">          </w:t>
      </w:r>
      <w:r>
        <w:rPr>
          <w:rFonts w:hint="eastAsia" w:ascii="仿宋" w:hAnsi="仿宋" w:cs="仿宋"/>
          <w:sz w:val="24"/>
        </w:rPr>
        <w:t>元整；。</w:t>
      </w:r>
    </w:p>
    <w:p w14:paraId="0EC20B87">
      <w:pPr>
        <w:wordWrap w:val="0"/>
        <w:topLinePunct/>
        <w:spacing w:line="360" w:lineRule="auto"/>
        <w:ind w:firstLine="480" w:firstLineChars="200"/>
        <w:jc w:val="left"/>
        <w:rPr>
          <w:rFonts w:hint="eastAsia" w:ascii="仿宋" w:hAnsi="仿宋" w:cs="仿宋"/>
          <w:sz w:val="24"/>
        </w:rPr>
      </w:pPr>
      <w:r>
        <w:rPr>
          <w:rFonts w:hint="eastAsia" w:ascii="仿宋" w:hAnsi="仿宋" w:cs="仿宋"/>
          <w:sz w:val="24"/>
        </w:rPr>
        <w:t>（2）项目交货安装完成并验收合格后14个日历日内，支付合同总价的</w:t>
      </w:r>
      <w:r>
        <w:rPr>
          <w:rFonts w:hint="eastAsia" w:ascii="仿宋" w:hAnsi="仿宋" w:cs="仿宋"/>
          <w:sz w:val="24"/>
          <w:lang w:val="en-US" w:eastAsia="zh-CN"/>
        </w:rPr>
        <w:t xml:space="preserve">  </w:t>
      </w:r>
      <w:r>
        <w:rPr>
          <w:rFonts w:hint="eastAsia" w:ascii="仿宋" w:hAnsi="仿宋" w:cs="仿宋"/>
          <w:sz w:val="24"/>
        </w:rPr>
        <w:t>%，即人民币</w:t>
      </w:r>
      <w:r>
        <w:rPr>
          <w:rFonts w:hint="eastAsia" w:ascii="仿宋" w:hAnsi="仿宋" w:cs="仿宋"/>
          <w:sz w:val="24"/>
          <w:u w:val="single"/>
        </w:rPr>
        <w:t xml:space="preserve">          </w:t>
      </w:r>
      <w:r>
        <w:rPr>
          <w:rFonts w:hint="eastAsia" w:ascii="仿宋" w:hAnsi="仿宋" w:cs="仿宋"/>
          <w:sz w:val="24"/>
        </w:rPr>
        <w:t>元整；。</w:t>
      </w:r>
    </w:p>
    <w:p w14:paraId="2C760286">
      <w:pPr>
        <w:spacing w:line="360" w:lineRule="auto"/>
        <w:ind w:firstLine="544" w:firstLineChars="227"/>
        <w:rPr>
          <w:rFonts w:hint="eastAsia" w:ascii="仿宋" w:hAnsi="仿宋" w:cs="仿宋"/>
          <w:sz w:val="24"/>
        </w:rPr>
      </w:pPr>
      <w:r>
        <w:rPr>
          <w:rFonts w:hint="eastAsia" w:ascii="仿宋" w:hAnsi="仿宋" w:cs="仿宋"/>
          <w:sz w:val="24"/>
        </w:rPr>
        <w:t>（四）支付方式：银行转账（对公账户）。</w:t>
      </w:r>
    </w:p>
    <w:p w14:paraId="024AB2E7">
      <w:pPr>
        <w:spacing w:line="360" w:lineRule="auto"/>
        <w:ind w:firstLine="544" w:firstLineChars="227"/>
        <w:rPr>
          <w:rFonts w:hint="eastAsia" w:ascii="仿宋" w:hAnsi="仿宋" w:cs="仿宋"/>
          <w:sz w:val="24"/>
        </w:rPr>
      </w:pPr>
      <w:r>
        <w:rPr>
          <w:rFonts w:hint="eastAsia" w:ascii="仿宋" w:hAnsi="仿宋" w:cs="仿宋"/>
          <w:sz w:val="24"/>
        </w:rPr>
        <w:t>（1）银行账号：</w:t>
      </w:r>
      <w:r>
        <w:rPr>
          <w:rFonts w:hint="eastAsia" w:ascii="仿宋" w:hAnsi="仿宋" w:cs="仿宋"/>
          <w:sz w:val="24"/>
          <w:u w:val="single"/>
        </w:rPr>
        <w:t xml:space="preserve">                                      </w:t>
      </w:r>
    </w:p>
    <w:p w14:paraId="6B1F54CB">
      <w:pPr>
        <w:spacing w:line="360" w:lineRule="auto"/>
        <w:ind w:firstLine="544" w:firstLineChars="227"/>
        <w:rPr>
          <w:rFonts w:hint="eastAsia" w:ascii="仿宋" w:hAnsi="仿宋" w:cs="仿宋"/>
          <w:sz w:val="24"/>
        </w:rPr>
      </w:pPr>
      <w:r>
        <w:rPr>
          <w:rFonts w:hint="eastAsia" w:ascii="仿宋" w:hAnsi="仿宋" w:cs="仿宋"/>
          <w:sz w:val="24"/>
        </w:rPr>
        <w:t>（2）开户银行：</w:t>
      </w:r>
      <w:r>
        <w:rPr>
          <w:rFonts w:hint="eastAsia" w:ascii="仿宋" w:hAnsi="仿宋" w:cs="仿宋"/>
          <w:sz w:val="24"/>
          <w:u w:val="single"/>
        </w:rPr>
        <w:t xml:space="preserve">                                      </w:t>
      </w:r>
    </w:p>
    <w:p w14:paraId="03121791">
      <w:pPr>
        <w:spacing w:line="360" w:lineRule="auto"/>
        <w:ind w:firstLine="544" w:firstLineChars="227"/>
        <w:rPr>
          <w:rFonts w:hint="eastAsia" w:ascii="仿宋" w:hAnsi="仿宋" w:cs="仿宋"/>
          <w:sz w:val="24"/>
        </w:rPr>
      </w:pPr>
      <w:r>
        <w:rPr>
          <w:rFonts w:hint="eastAsia" w:ascii="仿宋" w:hAnsi="仿宋" w:cs="仿宋"/>
          <w:sz w:val="24"/>
        </w:rPr>
        <w:t>（3）开户名称：</w:t>
      </w:r>
      <w:r>
        <w:rPr>
          <w:rFonts w:hint="eastAsia" w:ascii="仿宋" w:hAnsi="仿宋" w:cs="仿宋"/>
          <w:sz w:val="24"/>
          <w:u w:val="single"/>
        </w:rPr>
        <w:t xml:space="preserve">                                      </w:t>
      </w:r>
    </w:p>
    <w:p w14:paraId="18C1E5C7">
      <w:pPr>
        <w:spacing w:line="360" w:lineRule="auto"/>
        <w:ind w:firstLine="544" w:firstLineChars="227"/>
        <w:rPr>
          <w:rFonts w:hint="eastAsia" w:ascii="仿宋" w:hAnsi="仿宋" w:cs="仿宋"/>
          <w:sz w:val="24"/>
        </w:rPr>
      </w:pPr>
      <w:r>
        <w:rPr>
          <w:rFonts w:hint="eastAsia" w:ascii="仿宋" w:hAnsi="仿宋" w:cs="仿宋"/>
          <w:sz w:val="24"/>
        </w:rPr>
        <w:t>乙方提供的收款账户信息应当真实、有效，若有变更需提前10日告知甲方，否则甲方不承担任何违约责任。</w:t>
      </w:r>
    </w:p>
    <w:p w14:paraId="5ED3BB8A">
      <w:pPr>
        <w:spacing w:line="360" w:lineRule="auto"/>
        <w:rPr>
          <w:rFonts w:hint="eastAsia" w:ascii="仿宋" w:hAnsi="仿宋" w:cs="仿宋"/>
          <w:sz w:val="24"/>
        </w:rPr>
      </w:pPr>
      <w:r>
        <w:rPr>
          <w:rFonts w:hint="eastAsia" w:ascii="仿宋" w:hAnsi="仿宋" w:cs="仿宋"/>
          <w:sz w:val="24"/>
        </w:rPr>
        <w:t xml:space="preserve">     （五）乙方应向甲方开具等额有效真实的增值税发票，否则甲方有权拒绝付款且不承担任何违约责任。</w:t>
      </w:r>
    </w:p>
    <w:p w14:paraId="0C7597F8">
      <w:pPr>
        <w:spacing w:line="360" w:lineRule="auto"/>
        <w:ind w:firstLine="482" w:firstLineChars="200"/>
        <w:rPr>
          <w:rFonts w:hint="eastAsia" w:ascii="仿宋" w:hAnsi="仿宋" w:cs="仿宋"/>
          <w:b/>
          <w:sz w:val="24"/>
        </w:rPr>
      </w:pPr>
      <w:r>
        <w:rPr>
          <w:rFonts w:hint="eastAsia" w:ascii="仿宋" w:hAnsi="仿宋" w:cs="仿宋"/>
          <w:b/>
          <w:sz w:val="24"/>
        </w:rPr>
        <w:t>四、交货条件</w:t>
      </w:r>
    </w:p>
    <w:p w14:paraId="39297711">
      <w:pPr>
        <w:kinsoku w:val="0"/>
        <w:spacing w:line="360" w:lineRule="auto"/>
        <w:ind w:firstLine="480" w:firstLineChars="200"/>
        <w:rPr>
          <w:rFonts w:hint="eastAsia" w:ascii="仿宋" w:hAnsi="仿宋" w:cs="仿宋"/>
          <w:sz w:val="24"/>
        </w:rPr>
      </w:pPr>
      <w:r>
        <w:rPr>
          <w:rFonts w:hint="eastAsia" w:ascii="仿宋" w:hAnsi="仿宋" w:cs="仿宋"/>
          <w:sz w:val="24"/>
        </w:rPr>
        <w:t>（一）交货地点：甲方指定地点，产品交付验收合格前的所有风险均由乙方承担。</w:t>
      </w:r>
    </w:p>
    <w:p w14:paraId="4BD9A27B">
      <w:pPr>
        <w:kinsoku w:val="0"/>
        <w:spacing w:line="360" w:lineRule="auto"/>
        <w:ind w:firstLine="480" w:firstLineChars="200"/>
        <w:rPr>
          <w:rFonts w:hint="eastAsia" w:ascii="仿宋" w:hAnsi="仿宋" w:cs="仿宋"/>
          <w:sz w:val="24"/>
        </w:rPr>
      </w:pPr>
      <w:r>
        <w:rPr>
          <w:rFonts w:hint="eastAsia" w:ascii="仿宋" w:hAnsi="仿宋" w:cs="仿宋"/>
          <w:sz w:val="24"/>
        </w:rPr>
        <w:t>（二）交货日期：双方签字盖章后合同生效，合同生效</w:t>
      </w:r>
      <w:bookmarkStart w:id="3" w:name="_GoBack"/>
      <w:r>
        <w:rPr>
          <w:rFonts w:hint="eastAsia" w:ascii="仿宋" w:hAnsi="仿宋" w:cs="仿宋"/>
          <w:sz w:val="24"/>
        </w:rPr>
        <w:t>后</w:t>
      </w:r>
      <w:r>
        <w:rPr>
          <w:rFonts w:hint="eastAsia" w:ascii="仿宋" w:hAnsi="仿宋" w:cs="仿宋"/>
          <w:sz w:val="24"/>
          <w:u w:val="single"/>
        </w:rPr>
        <w:t xml:space="preserve"> 60</w:t>
      </w:r>
      <w:r>
        <w:rPr>
          <w:rFonts w:hint="eastAsia" w:ascii="仿宋" w:hAnsi="仿宋" w:cs="仿宋"/>
          <w:sz w:val="24"/>
        </w:rPr>
        <w:t>个日历日内</w:t>
      </w:r>
      <w:bookmarkEnd w:id="3"/>
      <w:r>
        <w:rPr>
          <w:rFonts w:hint="eastAsia" w:ascii="仿宋" w:hAnsi="仿宋" w:cs="仿宋"/>
          <w:sz w:val="24"/>
        </w:rPr>
        <w:t>完成交货安装。</w:t>
      </w:r>
    </w:p>
    <w:p w14:paraId="37EB906A">
      <w:pPr>
        <w:spacing w:line="360" w:lineRule="auto"/>
        <w:ind w:firstLine="482" w:firstLineChars="200"/>
        <w:rPr>
          <w:rFonts w:hint="eastAsia" w:ascii="仿宋" w:hAnsi="仿宋" w:cs="仿宋"/>
          <w:sz w:val="24"/>
        </w:rPr>
      </w:pPr>
      <w:r>
        <w:rPr>
          <w:rFonts w:hint="eastAsia" w:ascii="仿宋" w:hAnsi="仿宋" w:cs="仿宋"/>
          <w:b/>
          <w:sz w:val="24"/>
        </w:rPr>
        <w:t>五、运输方式：</w:t>
      </w:r>
      <w:r>
        <w:rPr>
          <w:rFonts w:hint="eastAsia" w:ascii="仿宋" w:hAnsi="仿宋" w:cs="仿宋"/>
          <w:sz w:val="24"/>
        </w:rPr>
        <w:t>根据产品特性，由乙方在保证产品质量的前提下，自行选择运输及包装方式，发生的一切费用全部由乙方承担。</w:t>
      </w:r>
    </w:p>
    <w:p w14:paraId="46544BCA">
      <w:pPr>
        <w:adjustRightInd w:val="0"/>
        <w:snapToGrid w:val="0"/>
        <w:spacing w:line="360" w:lineRule="auto"/>
        <w:ind w:firstLine="482" w:firstLineChars="200"/>
        <w:rPr>
          <w:rFonts w:hint="eastAsia" w:ascii="仿宋" w:hAnsi="仿宋" w:cs="仿宋"/>
          <w:b/>
          <w:sz w:val="24"/>
        </w:rPr>
      </w:pPr>
      <w:r>
        <w:rPr>
          <w:rFonts w:hint="eastAsia" w:ascii="仿宋" w:hAnsi="仿宋" w:cs="仿宋"/>
          <w:b/>
          <w:sz w:val="24"/>
        </w:rPr>
        <w:t>六、质量保证</w:t>
      </w:r>
    </w:p>
    <w:p w14:paraId="4A0A9D6F">
      <w:pPr>
        <w:adjustRightInd w:val="0"/>
        <w:snapToGrid w:val="0"/>
        <w:spacing w:line="360" w:lineRule="auto"/>
        <w:ind w:firstLine="480" w:firstLineChars="200"/>
        <w:rPr>
          <w:rFonts w:hint="eastAsia" w:ascii="仿宋" w:hAnsi="仿宋" w:cs="仿宋"/>
          <w:sz w:val="24"/>
        </w:rPr>
      </w:pPr>
      <w:r>
        <w:rPr>
          <w:rFonts w:hint="eastAsia" w:ascii="仿宋" w:hAnsi="仿宋" w:cs="仿宋"/>
          <w:sz w:val="24"/>
        </w:rPr>
        <w:t>（一）乙方提供的产品必须满足招投标文件及合同约定的技术参数要求。</w:t>
      </w:r>
    </w:p>
    <w:p w14:paraId="2B64EE56">
      <w:pPr>
        <w:adjustRightInd w:val="0"/>
        <w:snapToGrid w:val="0"/>
        <w:spacing w:line="360" w:lineRule="auto"/>
        <w:ind w:firstLine="480" w:firstLineChars="200"/>
        <w:rPr>
          <w:rFonts w:hint="eastAsia" w:ascii="仿宋" w:hAnsi="仿宋" w:cs="仿宋"/>
          <w:sz w:val="24"/>
        </w:rPr>
      </w:pPr>
      <w:r>
        <w:rPr>
          <w:rFonts w:hint="eastAsia" w:ascii="仿宋" w:hAnsi="仿宋" w:cs="仿宋"/>
          <w:sz w:val="24"/>
        </w:rPr>
        <w:t>（二）乙方保证货物应是全新、未曾使用过的、优质工艺及材料制造的产品，并保证所供设备的完整性（包括满足设备完整运行的附件、备件、配套件、技术手册、出厂说明、合格证明等）。</w:t>
      </w:r>
    </w:p>
    <w:p w14:paraId="7ED0FE2A">
      <w:pPr>
        <w:adjustRightInd w:val="0"/>
        <w:snapToGrid w:val="0"/>
        <w:spacing w:line="360" w:lineRule="auto"/>
        <w:ind w:firstLine="480" w:firstLineChars="200"/>
        <w:rPr>
          <w:rFonts w:hint="eastAsia" w:ascii="仿宋" w:hAnsi="仿宋" w:cs="仿宋"/>
          <w:sz w:val="24"/>
        </w:rPr>
      </w:pPr>
      <w:r>
        <w:rPr>
          <w:rFonts w:hint="eastAsia" w:ascii="仿宋" w:hAnsi="仿宋" w:cs="仿宋"/>
          <w:sz w:val="24"/>
        </w:rPr>
        <w:t>（三）乙方保证所提供的设备质量可靠、进货渠道正规、配置合理、技术性能完全符合投标文件。</w:t>
      </w:r>
    </w:p>
    <w:p w14:paraId="094774CA">
      <w:pPr>
        <w:adjustRightInd w:val="0"/>
        <w:snapToGrid w:val="0"/>
        <w:spacing w:line="360" w:lineRule="auto"/>
        <w:ind w:firstLine="480" w:firstLineChars="200"/>
        <w:rPr>
          <w:rFonts w:hint="eastAsia" w:ascii="仿宋" w:hAnsi="仿宋" w:cs="仿宋"/>
          <w:sz w:val="24"/>
        </w:rPr>
      </w:pPr>
      <w:r>
        <w:rPr>
          <w:rFonts w:hint="eastAsia" w:ascii="仿宋" w:hAnsi="仿宋" w:cs="仿宋"/>
          <w:sz w:val="24"/>
        </w:rPr>
        <w:t>（四）乙方应随产品提供检验报告等证明产品合格的相关材料。</w:t>
      </w:r>
    </w:p>
    <w:p w14:paraId="7B6023FB">
      <w:pPr>
        <w:adjustRightInd w:val="0"/>
        <w:snapToGrid w:val="0"/>
        <w:spacing w:line="360" w:lineRule="auto"/>
        <w:ind w:firstLine="480" w:firstLineChars="200"/>
        <w:rPr>
          <w:rFonts w:hint="eastAsia" w:ascii="仿宋" w:hAnsi="仿宋" w:cs="仿宋"/>
          <w:bCs/>
          <w:color w:val="000000"/>
          <w:sz w:val="24"/>
        </w:rPr>
      </w:pPr>
      <w:r>
        <w:rPr>
          <w:rFonts w:hint="eastAsia" w:ascii="仿宋" w:hAnsi="仿宋" w:cs="仿宋"/>
          <w:color w:val="000000"/>
          <w:sz w:val="24"/>
        </w:rPr>
        <w:t>（五）设备</w:t>
      </w:r>
      <w:r>
        <w:rPr>
          <w:rFonts w:hint="eastAsia" w:ascii="仿宋" w:hAnsi="仿宋" w:cs="仿宋"/>
          <w:bCs/>
          <w:color w:val="000000"/>
          <w:sz w:val="24"/>
        </w:rPr>
        <w:t>性能未达到投标文件、合同文本技术参数要求的，甲方有权拒绝验收或退货。</w:t>
      </w:r>
    </w:p>
    <w:p w14:paraId="272575FB">
      <w:pPr>
        <w:adjustRightInd w:val="0"/>
        <w:snapToGrid w:val="0"/>
        <w:spacing w:line="360" w:lineRule="auto"/>
        <w:ind w:firstLine="482" w:firstLineChars="200"/>
        <w:rPr>
          <w:rFonts w:hint="eastAsia" w:ascii="仿宋" w:hAnsi="仿宋" w:cs="仿宋"/>
          <w:b/>
          <w:sz w:val="24"/>
        </w:rPr>
      </w:pPr>
      <w:r>
        <w:rPr>
          <w:rFonts w:hint="eastAsia" w:ascii="仿宋" w:hAnsi="仿宋" w:cs="仿宋"/>
          <w:b/>
          <w:color w:val="000000"/>
          <w:sz w:val="24"/>
        </w:rPr>
        <w:t>七、质保期与承诺</w:t>
      </w:r>
    </w:p>
    <w:p w14:paraId="41B38A3E">
      <w:pPr>
        <w:adjustRightInd w:val="0"/>
        <w:snapToGrid w:val="0"/>
        <w:spacing w:line="360" w:lineRule="auto"/>
        <w:ind w:firstLine="480" w:firstLineChars="200"/>
        <w:rPr>
          <w:rFonts w:hint="eastAsia" w:ascii="仿宋" w:hAnsi="仿宋" w:cs="仿宋"/>
          <w:sz w:val="24"/>
        </w:rPr>
      </w:pPr>
      <w:r>
        <w:rPr>
          <w:rFonts w:hint="eastAsia" w:ascii="仿宋" w:hAnsi="仿宋" w:cs="仿宋"/>
          <w:sz w:val="24"/>
        </w:rPr>
        <w:t>（一）设备的质保期为设备验收合格之日起</w:t>
      </w:r>
      <w:r>
        <w:rPr>
          <w:rFonts w:hint="eastAsia" w:ascii="仿宋" w:hAnsi="仿宋" w:cs="仿宋"/>
          <w:sz w:val="24"/>
          <w:u w:val="single"/>
        </w:rPr>
        <w:t xml:space="preserve"> 1 </w:t>
      </w:r>
      <w:r>
        <w:rPr>
          <w:rFonts w:hint="eastAsia" w:ascii="仿宋" w:hAnsi="仿宋" w:cs="仿宋"/>
          <w:sz w:val="24"/>
        </w:rPr>
        <w:t>年。</w:t>
      </w:r>
    </w:p>
    <w:p w14:paraId="420A160A">
      <w:pPr>
        <w:spacing w:line="360" w:lineRule="auto"/>
        <w:ind w:firstLine="480" w:firstLineChars="200"/>
        <w:rPr>
          <w:rFonts w:hint="eastAsia" w:ascii="仿宋" w:hAnsi="仿宋" w:cs="仿宋"/>
          <w:sz w:val="24"/>
        </w:rPr>
      </w:pPr>
      <w:r>
        <w:rPr>
          <w:rFonts w:hint="eastAsia" w:ascii="仿宋" w:hAnsi="仿宋" w:cs="仿宋"/>
          <w:sz w:val="24"/>
        </w:rPr>
        <w:t>（二）质保期内，若发生产品质量问题，乙方应在接到甲方通知后48小时内予以解决，产生的所有费用均由乙方承担。乙方未在规定时间内解决的，甲方有权聘请其他第三方解决，产生的费用由乙方承担。</w:t>
      </w:r>
    </w:p>
    <w:p w14:paraId="77C3CA9B">
      <w:pPr>
        <w:adjustRightInd w:val="0"/>
        <w:snapToGrid w:val="0"/>
        <w:spacing w:line="360" w:lineRule="auto"/>
        <w:ind w:firstLine="480" w:firstLineChars="200"/>
        <w:rPr>
          <w:rFonts w:hint="eastAsia" w:ascii="仿宋" w:hAnsi="仿宋" w:cs="仿宋"/>
          <w:sz w:val="24"/>
        </w:rPr>
      </w:pPr>
      <w:r>
        <w:rPr>
          <w:rFonts w:hint="eastAsia" w:ascii="仿宋" w:hAnsi="仿宋" w:cs="仿宋"/>
          <w:sz w:val="24"/>
        </w:rPr>
        <w:t>（三）超过质保期的维修服务，只收取单程的运保费及维修元器件成本费。乙方应对提供产品有上门维修、终身维护的职责，对其所供产品应能提供质保期外的原厂商技术服务支持，负责定期或不定期的对甲方仪器设备进行维护、保养、修理，并向甲方免费提供一定金额的维修配件及耗材。</w:t>
      </w:r>
    </w:p>
    <w:p w14:paraId="535980F1">
      <w:pPr>
        <w:adjustRightInd w:val="0"/>
        <w:snapToGrid w:val="0"/>
        <w:spacing w:line="360" w:lineRule="auto"/>
        <w:ind w:firstLine="482" w:firstLineChars="200"/>
        <w:rPr>
          <w:rFonts w:hint="eastAsia" w:ascii="仿宋" w:hAnsi="仿宋" w:cs="仿宋"/>
          <w:b/>
          <w:sz w:val="24"/>
        </w:rPr>
      </w:pPr>
      <w:r>
        <w:rPr>
          <w:rFonts w:hint="eastAsia" w:ascii="仿宋" w:hAnsi="仿宋" w:cs="仿宋"/>
          <w:b/>
          <w:sz w:val="24"/>
        </w:rPr>
        <w:t>八、安装、调试及技术服务</w:t>
      </w:r>
    </w:p>
    <w:p w14:paraId="3E541CD0">
      <w:pPr>
        <w:spacing w:line="360" w:lineRule="auto"/>
        <w:ind w:firstLine="480" w:firstLineChars="200"/>
        <w:rPr>
          <w:rFonts w:hint="eastAsia" w:ascii="仿宋" w:hAnsi="仿宋" w:cs="仿宋"/>
          <w:sz w:val="24"/>
        </w:rPr>
      </w:pPr>
      <w:r>
        <w:rPr>
          <w:rFonts w:hint="eastAsia" w:ascii="仿宋" w:hAnsi="仿宋" w:cs="仿宋"/>
          <w:sz w:val="24"/>
        </w:rPr>
        <w:t>（一）技术资料包括：出厂检测报告、产品使用说明书、合格证等其它相关资料。</w:t>
      </w:r>
    </w:p>
    <w:p w14:paraId="5B7D6F34">
      <w:pPr>
        <w:spacing w:line="360" w:lineRule="auto"/>
        <w:ind w:firstLine="480" w:firstLineChars="200"/>
        <w:rPr>
          <w:rFonts w:hint="eastAsia" w:ascii="仿宋" w:hAnsi="仿宋" w:cs="仿宋"/>
          <w:sz w:val="24"/>
        </w:rPr>
      </w:pPr>
      <w:r>
        <w:rPr>
          <w:rFonts w:hint="eastAsia" w:ascii="仿宋" w:hAnsi="仿宋" w:cs="仿宋"/>
          <w:sz w:val="24"/>
        </w:rPr>
        <w:t>（二）安装调试完成后，产品的性能、稳定性等未达到投标文件及合同文本技术参数要求，甲方有权拒绝验收，并有权解除合同，甲方因此解除合同的，产生的费用均由乙方承担。</w:t>
      </w:r>
    </w:p>
    <w:p w14:paraId="09C15E4F">
      <w:pPr>
        <w:spacing w:line="360" w:lineRule="auto"/>
        <w:ind w:firstLine="480" w:firstLineChars="200"/>
        <w:rPr>
          <w:rFonts w:hint="eastAsia" w:ascii="仿宋" w:hAnsi="仿宋" w:cs="仿宋"/>
          <w:sz w:val="24"/>
        </w:rPr>
      </w:pPr>
      <w:r>
        <w:rPr>
          <w:rFonts w:hint="eastAsia" w:ascii="仿宋" w:hAnsi="仿宋" w:cs="仿宋"/>
          <w:sz w:val="24"/>
        </w:rPr>
        <w:t>（三）技术培训</w:t>
      </w:r>
    </w:p>
    <w:p w14:paraId="1B059846">
      <w:pPr>
        <w:spacing w:line="360" w:lineRule="auto"/>
        <w:ind w:firstLine="480" w:firstLineChars="200"/>
        <w:rPr>
          <w:rFonts w:hint="eastAsia" w:ascii="仿宋" w:hAnsi="仿宋" w:cs="仿宋"/>
          <w:sz w:val="24"/>
        </w:rPr>
      </w:pPr>
      <w:r>
        <w:rPr>
          <w:rFonts w:hint="eastAsia" w:ascii="仿宋" w:hAnsi="仿宋" w:cs="仿宋"/>
          <w:sz w:val="24"/>
        </w:rPr>
        <w:t>1、内容：包括设备原理、使用操作、保养维修技术等，使受训人员达到独立使用、熟练操作的程度。</w:t>
      </w:r>
    </w:p>
    <w:p w14:paraId="4168E2BF">
      <w:pPr>
        <w:spacing w:line="360" w:lineRule="auto"/>
        <w:ind w:firstLine="480" w:firstLineChars="200"/>
        <w:rPr>
          <w:rFonts w:hint="eastAsia" w:ascii="仿宋" w:hAnsi="仿宋" w:cs="仿宋"/>
          <w:sz w:val="24"/>
        </w:rPr>
      </w:pPr>
      <w:r>
        <w:rPr>
          <w:rFonts w:hint="eastAsia" w:ascii="仿宋" w:hAnsi="仿宋" w:cs="仿宋"/>
          <w:sz w:val="24"/>
        </w:rPr>
        <w:t>2、根据实际需要培训主要操作人员。</w:t>
      </w:r>
    </w:p>
    <w:p w14:paraId="65F3C7C5">
      <w:pPr>
        <w:spacing w:line="360" w:lineRule="auto"/>
        <w:ind w:firstLine="480" w:firstLineChars="200"/>
        <w:rPr>
          <w:rFonts w:hint="eastAsia" w:ascii="仿宋" w:hAnsi="仿宋" w:cs="仿宋"/>
          <w:sz w:val="24"/>
        </w:rPr>
      </w:pPr>
      <w:r>
        <w:rPr>
          <w:rFonts w:hint="eastAsia" w:ascii="仿宋" w:hAnsi="仿宋" w:cs="仿宋"/>
          <w:sz w:val="24"/>
        </w:rPr>
        <w:t>3、时间：在收到甲方通知后</w:t>
      </w:r>
      <w:r>
        <w:rPr>
          <w:rFonts w:hint="eastAsia" w:ascii="仿宋" w:hAnsi="仿宋" w:cs="仿宋"/>
          <w:sz w:val="24"/>
          <w:u w:val="single"/>
        </w:rPr>
        <w:t xml:space="preserve">       </w:t>
      </w:r>
      <w:r>
        <w:rPr>
          <w:rFonts w:hint="eastAsia" w:ascii="仿宋" w:hAnsi="仿宋" w:cs="仿宋"/>
          <w:sz w:val="24"/>
        </w:rPr>
        <w:t>内安排。</w:t>
      </w:r>
    </w:p>
    <w:p w14:paraId="21FBCDA1">
      <w:pPr>
        <w:spacing w:line="360" w:lineRule="auto"/>
        <w:ind w:firstLine="480" w:firstLineChars="200"/>
        <w:rPr>
          <w:rFonts w:hint="eastAsia" w:ascii="仿宋" w:hAnsi="仿宋" w:cs="仿宋"/>
          <w:sz w:val="24"/>
        </w:rPr>
      </w:pPr>
      <w:r>
        <w:rPr>
          <w:rFonts w:hint="eastAsia" w:ascii="仿宋" w:hAnsi="仿宋" w:cs="仿宋"/>
          <w:sz w:val="24"/>
        </w:rPr>
        <w:t>4、所有培训费用（含交通费、住宿等费用）由乙方承担。</w:t>
      </w:r>
    </w:p>
    <w:p w14:paraId="757CC502">
      <w:pPr>
        <w:spacing w:line="360" w:lineRule="auto"/>
        <w:ind w:firstLine="480" w:firstLineChars="200"/>
        <w:rPr>
          <w:rFonts w:hint="eastAsia" w:ascii="仿宋" w:hAnsi="仿宋" w:cs="仿宋"/>
          <w:sz w:val="24"/>
        </w:rPr>
      </w:pPr>
      <w:r>
        <w:rPr>
          <w:rFonts w:hint="eastAsia" w:ascii="仿宋" w:hAnsi="仿宋" w:cs="仿宋"/>
          <w:sz w:val="24"/>
        </w:rPr>
        <w:t>5、投标文件里有其他相关说明或承诺的，应该按投标文件执行。</w:t>
      </w:r>
    </w:p>
    <w:p w14:paraId="260110FE">
      <w:pPr>
        <w:adjustRightInd w:val="0"/>
        <w:snapToGrid w:val="0"/>
        <w:spacing w:line="360" w:lineRule="auto"/>
        <w:ind w:firstLine="480" w:firstLineChars="200"/>
        <w:rPr>
          <w:rFonts w:hint="eastAsia" w:ascii="仿宋" w:hAnsi="仿宋" w:cs="仿宋"/>
          <w:sz w:val="24"/>
        </w:rPr>
      </w:pPr>
      <w:r>
        <w:rPr>
          <w:rFonts w:hint="eastAsia" w:ascii="仿宋" w:hAnsi="仿宋" w:cs="仿宋"/>
          <w:sz w:val="24"/>
        </w:rPr>
        <w:t>（四）服务承诺：按投标文件中的服务承诺执行。</w:t>
      </w:r>
    </w:p>
    <w:p w14:paraId="64826DF2">
      <w:pPr>
        <w:adjustRightInd w:val="0"/>
        <w:snapToGrid w:val="0"/>
        <w:spacing w:line="360" w:lineRule="auto"/>
        <w:ind w:firstLine="480" w:firstLineChars="200"/>
        <w:rPr>
          <w:rFonts w:hint="eastAsia" w:ascii="仿宋" w:hAnsi="仿宋" w:cs="仿宋"/>
          <w:sz w:val="24"/>
        </w:rPr>
      </w:pPr>
      <w:r>
        <w:rPr>
          <w:rFonts w:hint="eastAsia" w:ascii="仿宋" w:hAnsi="仿宋" w:cs="仿宋"/>
          <w:sz w:val="24"/>
        </w:rPr>
        <w:t>（五）安装调试过程中出现的安全责任问题由乙方全权负责，若造成损失由乙方负责赔偿。</w:t>
      </w:r>
    </w:p>
    <w:p w14:paraId="3B46A2EF">
      <w:pPr>
        <w:spacing w:line="360" w:lineRule="auto"/>
        <w:ind w:firstLine="482" w:firstLineChars="200"/>
        <w:rPr>
          <w:rFonts w:hint="eastAsia" w:ascii="仿宋" w:hAnsi="仿宋" w:cs="仿宋"/>
          <w:b/>
          <w:sz w:val="24"/>
        </w:rPr>
      </w:pPr>
      <w:r>
        <w:rPr>
          <w:rFonts w:hint="eastAsia" w:ascii="仿宋" w:hAnsi="仿宋" w:cs="仿宋"/>
          <w:b/>
          <w:sz w:val="24"/>
        </w:rPr>
        <w:t>九、设备验收</w:t>
      </w:r>
    </w:p>
    <w:p w14:paraId="7E230485">
      <w:pPr>
        <w:spacing w:line="360" w:lineRule="auto"/>
        <w:ind w:firstLine="480" w:firstLineChars="200"/>
        <w:rPr>
          <w:rFonts w:hint="eastAsia" w:ascii="仿宋" w:hAnsi="仿宋" w:cs="仿宋"/>
          <w:sz w:val="24"/>
        </w:rPr>
      </w:pPr>
      <w:r>
        <w:rPr>
          <w:rFonts w:hint="eastAsia" w:ascii="仿宋" w:hAnsi="仿宋" w:cs="仿宋"/>
          <w:sz w:val="24"/>
        </w:rPr>
        <w:t xml:space="preserve">（一）乙方应在设备到货后 </w:t>
      </w:r>
      <w:r>
        <w:rPr>
          <w:rFonts w:hint="eastAsia" w:ascii="仿宋" w:hAnsi="仿宋" w:cs="仿宋"/>
          <w:sz w:val="24"/>
          <w:u w:val="single"/>
        </w:rPr>
        <w:t xml:space="preserve"> 30  </w:t>
      </w:r>
      <w:bookmarkStart w:id="0" w:name="OLE_LINK2"/>
      <w:r>
        <w:rPr>
          <w:rFonts w:hint="eastAsia" w:ascii="仿宋" w:hAnsi="仿宋" w:cs="仿宋"/>
          <w:sz w:val="24"/>
        </w:rPr>
        <w:t>个工作日</w:t>
      </w:r>
      <w:bookmarkEnd w:id="0"/>
      <w:r>
        <w:rPr>
          <w:rFonts w:hint="eastAsia" w:ascii="仿宋" w:hAnsi="仿宋" w:cs="仿宋"/>
          <w:sz w:val="24"/>
        </w:rPr>
        <w:t>内负责安装调试，将设备调试达到正常运行条件，书面通知甲方验收。</w:t>
      </w:r>
    </w:p>
    <w:p w14:paraId="12B21E1F">
      <w:pPr>
        <w:spacing w:line="360" w:lineRule="auto"/>
        <w:ind w:firstLine="480" w:firstLineChars="200"/>
        <w:rPr>
          <w:rFonts w:hint="eastAsia" w:ascii="仿宋" w:hAnsi="仿宋" w:cs="仿宋"/>
          <w:sz w:val="24"/>
        </w:rPr>
      </w:pPr>
      <w:r>
        <w:rPr>
          <w:rFonts w:hint="eastAsia" w:ascii="仿宋" w:hAnsi="仿宋" w:cs="仿宋"/>
          <w:sz w:val="24"/>
        </w:rPr>
        <w:t>（二）安装完成后</w:t>
      </w:r>
      <w:r>
        <w:rPr>
          <w:rFonts w:hint="eastAsia" w:ascii="仿宋" w:hAnsi="仿宋" w:cs="仿宋"/>
          <w:sz w:val="24"/>
          <w:u w:val="single"/>
        </w:rPr>
        <w:t xml:space="preserve">  30  </w:t>
      </w:r>
      <w:r>
        <w:rPr>
          <w:rFonts w:hint="eastAsia" w:ascii="仿宋" w:hAnsi="仿宋" w:cs="仿宋"/>
          <w:sz w:val="24"/>
        </w:rPr>
        <w:t>个工作日内应提供详细的安装报告，并详细记录各种指示的实测数据。</w:t>
      </w:r>
    </w:p>
    <w:p w14:paraId="04EC9CC2">
      <w:pPr>
        <w:spacing w:line="360" w:lineRule="auto"/>
        <w:ind w:firstLine="480" w:firstLineChars="200"/>
        <w:rPr>
          <w:rFonts w:hint="eastAsia" w:ascii="仿宋" w:hAnsi="仿宋" w:cs="仿宋"/>
          <w:sz w:val="24"/>
        </w:rPr>
      </w:pPr>
      <w:r>
        <w:rPr>
          <w:rFonts w:hint="eastAsia" w:ascii="仿宋" w:hAnsi="仿宋" w:cs="仿宋"/>
          <w:sz w:val="24"/>
        </w:rPr>
        <w:t>（三）提供完整的操作手册和安装、调试、维修手册；提供制造厂家的检验测试报告或设备出厂检测报告。</w:t>
      </w:r>
    </w:p>
    <w:p w14:paraId="7944D098">
      <w:pPr>
        <w:spacing w:line="360" w:lineRule="auto"/>
        <w:ind w:firstLine="480" w:firstLineChars="200"/>
        <w:rPr>
          <w:rFonts w:hint="eastAsia" w:ascii="仿宋" w:hAnsi="仿宋" w:cs="仿宋"/>
          <w:sz w:val="24"/>
        </w:rPr>
      </w:pPr>
      <w:r>
        <w:rPr>
          <w:rFonts w:hint="eastAsia" w:ascii="仿宋" w:hAnsi="仿宋" w:cs="仿宋"/>
          <w:sz w:val="24"/>
        </w:rPr>
        <w:t>（四）甲方根据合同要求对设备进行验收、确认设备的产地、规格、型号和数量。验收依据为</w:t>
      </w:r>
      <w:bookmarkStart w:id="1" w:name="_Toc337393760"/>
      <w:r>
        <w:rPr>
          <w:rFonts w:hint="eastAsia" w:ascii="仿宋" w:hAnsi="仿宋" w:cs="仿宋"/>
          <w:sz w:val="24"/>
        </w:rPr>
        <w:t>本合同文本、招投标文件和国内相应的标准、规范</w:t>
      </w:r>
      <w:bookmarkEnd w:id="1"/>
      <w:bookmarkStart w:id="2" w:name="_Toc337393761"/>
      <w:r>
        <w:rPr>
          <w:rFonts w:hint="eastAsia" w:ascii="仿宋" w:hAnsi="仿宋" w:cs="仿宋"/>
          <w:sz w:val="24"/>
        </w:rPr>
        <w:t>。</w:t>
      </w:r>
      <w:bookmarkEnd w:id="2"/>
    </w:p>
    <w:p w14:paraId="2473807D">
      <w:pPr>
        <w:spacing w:line="360" w:lineRule="auto"/>
        <w:ind w:firstLine="480" w:firstLineChars="200"/>
        <w:rPr>
          <w:rFonts w:hint="eastAsia" w:ascii="仿宋" w:hAnsi="仿宋" w:cs="仿宋"/>
          <w:sz w:val="24"/>
        </w:rPr>
      </w:pPr>
      <w:r>
        <w:rPr>
          <w:rFonts w:hint="eastAsia" w:ascii="仿宋" w:hAnsi="仿宋" w:cs="仿宋"/>
          <w:sz w:val="24"/>
        </w:rPr>
        <w:t>（五）验收合格后，填写设备验收单，并向甲方提交设备所包含的所有资料，以便使用单位日后管理和维护。</w:t>
      </w:r>
    </w:p>
    <w:p w14:paraId="35EDF902">
      <w:pPr>
        <w:spacing w:line="360" w:lineRule="auto"/>
        <w:ind w:firstLine="482" w:firstLineChars="200"/>
        <w:rPr>
          <w:rFonts w:hint="eastAsia" w:ascii="仿宋" w:hAnsi="仿宋" w:cs="仿宋"/>
          <w:b/>
          <w:bCs/>
          <w:sz w:val="24"/>
        </w:rPr>
      </w:pPr>
      <w:r>
        <w:rPr>
          <w:rFonts w:hint="eastAsia" w:ascii="仿宋" w:hAnsi="仿宋" w:cs="仿宋"/>
          <w:b/>
          <w:bCs/>
          <w:sz w:val="24"/>
        </w:rPr>
        <w:t>十、双方的权利和义务</w:t>
      </w:r>
    </w:p>
    <w:p w14:paraId="7D86564A">
      <w:pPr>
        <w:spacing w:line="360" w:lineRule="auto"/>
        <w:ind w:firstLine="480" w:firstLineChars="200"/>
        <w:rPr>
          <w:rFonts w:hint="eastAsia" w:ascii="仿宋" w:hAnsi="仿宋" w:cs="仿宋"/>
          <w:sz w:val="24"/>
        </w:rPr>
      </w:pPr>
      <w:r>
        <w:rPr>
          <w:rFonts w:hint="eastAsia" w:ascii="仿宋" w:hAnsi="仿宋" w:cs="仿宋"/>
          <w:sz w:val="24"/>
        </w:rPr>
        <w:t>（一）甲方的权利和义务</w:t>
      </w:r>
    </w:p>
    <w:p w14:paraId="0CE893A3">
      <w:pPr>
        <w:spacing w:line="360" w:lineRule="auto"/>
        <w:ind w:firstLine="480" w:firstLineChars="200"/>
        <w:rPr>
          <w:rFonts w:hint="eastAsia" w:ascii="仿宋" w:hAnsi="仿宋" w:cs="仿宋"/>
          <w:sz w:val="24"/>
        </w:rPr>
      </w:pPr>
      <w:r>
        <w:rPr>
          <w:rFonts w:hint="eastAsia" w:ascii="仿宋" w:hAnsi="仿宋" w:cs="仿宋"/>
          <w:sz w:val="24"/>
        </w:rPr>
        <w:t>1、甲方应积极配合乙方，并组织相关专家或技术人员进行仪器设备的验收工作。</w:t>
      </w:r>
    </w:p>
    <w:p w14:paraId="3F7A2951">
      <w:pPr>
        <w:spacing w:line="360" w:lineRule="auto"/>
        <w:ind w:firstLine="480" w:firstLineChars="200"/>
        <w:rPr>
          <w:rFonts w:hint="eastAsia" w:ascii="仿宋" w:hAnsi="仿宋" w:cs="仿宋"/>
          <w:sz w:val="24"/>
        </w:rPr>
      </w:pPr>
      <w:r>
        <w:rPr>
          <w:rFonts w:hint="eastAsia" w:ascii="仿宋" w:hAnsi="仿宋" w:cs="仿宋"/>
          <w:sz w:val="24"/>
        </w:rPr>
        <w:t>2、产品货物到达甲方后，甲方有义务通知乙方，乙方接到通知后</w:t>
      </w:r>
      <w:r>
        <w:rPr>
          <w:rFonts w:hint="eastAsia" w:ascii="仿宋" w:hAnsi="仿宋" w:cs="仿宋"/>
          <w:sz w:val="24"/>
          <w:u w:val="single"/>
        </w:rPr>
        <w:t xml:space="preserve"> 5 </w:t>
      </w:r>
      <w:r>
        <w:rPr>
          <w:rFonts w:hint="eastAsia" w:ascii="仿宋" w:hAnsi="仿宋" w:cs="仿宋"/>
          <w:sz w:val="24"/>
        </w:rPr>
        <w:t>个工作日内通知工程师到达甲方现场安装、调试，并应在</w:t>
      </w:r>
      <w:r>
        <w:rPr>
          <w:rFonts w:hint="eastAsia" w:ascii="仿宋" w:hAnsi="仿宋" w:cs="仿宋"/>
          <w:sz w:val="24"/>
          <w:u w:val="single"/>
        </w:rPr>
        <w:t xml:space="preserve"> 30 </w:t>
      </w:r>
      <w:r>
        <w:rPr>
          <w:rFonts w:hint="eastAsia" w:ascii="仿宋" w:hAnsi="仿宋" w:cs="仿宋"/>
          <w:sz w:val="24"/>
        </w:rPr>
        <w:t>个工作日内完成。若发现产品与招投标文件、合同文本不符，甲方有权解除合同。</w:t>
      </w:r>
    </w:p>
    <w:p w14:paraId="68514FCF">
      <w:pPr>
        <w:spacing w:line="360" w:lineRule="auto"/>
        <w:ind w:firstLine="480" w:firstLineChars="200"/>
        <w:rPr>
          <w:rFonts w:hint="eastAsia" w:ascii="仿宋" w:hAnsi="仿宋" w:cs="仿宋"/>
          <w:sz w:val="24"/>
        </w:rPr>
      </w:pPr>
      <w:r>
        <w:rPr>
          <w:rFonts w:hint="eastAsia" w:ascii="仿宋" w:hAnsi="仿宋" w:cs="仿宋"/>
          <w:sz w:val="24"/>
        </w:rPr>
        <w:t>3、甲方在乙方安装、调试、试运行、检定完成后，并进行验收，验收合格后在规定的时间内及时办理验收手续（政府采购项目验收单）。</w:t>
      </w:r>
    </w:p>
    <w:p w14:paraId="7A0E3C72">
      <w:pPr>
        <w:spacing w:line="360" w:lineRule="auto"/>
        <w:ind w:firstLine="480" w:firstLineChars="200"/>
        <w:rPr>
          <w:rFonts w:hint="eastAsia" w:ascii="仿宋" w:hAnsi="仿宋" w:cs="仿宋"/>
          <w:sz w:val="24"/>
        </w:rPr>
      </w:pPr>
      <w:r>
        <w:rPr>
          <w:rFonts w:hint="eastAsia" w:ascii="仿宋" w:hAnsi="仿宋" w:cs="仿宋"/>
          <w:sz w:val="24"/>
        </w:rPr>
        <w:t>4、甲方在仪器设备安装、调试中若发现存在潜在的产品质量问题，有权终止对仪器设备进行验收，并以书面形式通知乙方，甲方有权要求乙方进行退货或换货处理。造成损失甲方有权要求乙方承担索赔、罚款。</w:t>
      </w:r>
    </w:p>
    <w:p w14:paraId="52CEBA75">
      <w:pPr>
        <w:spacing w:line="360" w:lineRule="auto"/>
        <w:ind w:firstLine="480" w:firstLineChars="200"/>
        <w:rPr>
          <w:rFonts w:hint="eastAsia" w:ascii="仿宋" w:hAnsi="仿宋" w:cs="仿宋"/>
          <w:sz w:val="24"/>
        </w:rPr>
      </w:pPr>
      <w:r>
        <w:rPr>
          <w:rFonts w:hint="eastAsia" w:ascii="仿宋" w:hAnsi="仿宋" w:cs="仿宋"/>
          <w:sz w:val="24"/>
        </w:rPr>
        <w:t>5、甲方有义务积极配合、协助乙方，并按照乙方对安装、调试仪器设备所需的基本条件提供便利。</w:t>
      </w:r>
    </w:p>
    <w:p w14:paraId="06923FDE">
      <w:pPr>
        <w:spacing w:line="360" w:lineRule="auto"/>
        <w:ind w:firstLine="480" w:firstLineChars="200"/>
        <w:rPr>
          <w:rFonts w:hint="eastAsia" w:ascii="仿宋" w:hAnsi="仿宋" w:cs="仿宋"/>
          <w:sz w:val="24"/>
        </w:rPr>
      </w:pPr>
      <w:r>
        <w:rPr>
          <w:rFonts w:hint="eastAsia" w:ascii="仿宋" w:hAnsi="仿宋" w:cs="仿宋"/>
          <w:sz w:val="24"/>
        </w:rPr>
        <w:t>（二）乙方的权利和义务</w:t>
      </w:r>
    </w:p>
    <w:p w14:paraId="2F7F87CC">
      <w:pPr>
        <w:spacing w:line="360" w:lineRule="auto"/>
        <w:ind w:firstLine="480" w:firstLineChars="200"/>
        <w:rPr>
          <w:rFonts w:hint="eastAsia" w:ascii="仿宋" w:hAnsi="仿宋" w:cs="仿宋"/>
          <w:sz w:val="24"/>
        </w:rPr>
      </w:pPr>
      <w:r>
        <w:rPr>
          <w:rFonts w:hint="eastAsia" w:ascii="仿宋" w:hAnsi="仿宋" w:cs="仿宋"/>
          <w:sz w:val="24"/>
        </w:rPr>
        <w:t>1、乙方提供产品必须是满足合同配置的全新产品。国产产品必须符合国家有关质量标准，进口产品必须符合产品的原厂标准及有关的国际标准。</w:t>
      </w:r>
    </w:p>
    <w:p w14:paraId="21A71DED">
      <w:pPr>
        <w:spacing w:line="360" w:lineRule="auto"/>
        <w:ind w:firstLine="480" w:firstLineChars="200"/>
        <w:rPr>
          <w:rFonts w:hint="eastAsia" w:ascii="仿宋" w:hAnsi="仿宋" w:cs="仿宋"/>
          <w:sz w:val="24"/>
        </w:rPr>
      </w:pPr>
      <w:r>
        <w:rPr>
          <w:rFonts w:hint="eastAsia" w:ascii="仿宋" w:hAnsi="仿宋" w:cs="仿宋"/>
          <w:sz w:val="24"/>
        </w:rPr>
        <w:t>2、乙方保证所供产品来源渠道合法，设备是全新未使用过且完全符合合同规定的质量、规格、技术指标等要求，使用的原材料应提供清单，并在质保期内、外应对由于设备设计、工艺或材料的缺陷而产生的质量问题负责。</w:t>
      </w:r>
    </w:p>
    <w:p w14:paraId="0A3E365A">
      <w:pPr>
        <w:spacing w:line="360" w:lineRule="auto"/>
        <w:ind w:firstLine="480" w:firstLineChars="200"/>
        <w:rPr>
          <w:rFonts w:hint="eastAsia" w:ascii="仿宋" w:hAnsi="仿宋" w:cs="仿宋"/>
          <w:sz w:val="24"/>
        </w:rPr>
      </w:pPr>
      <w:r>
        <w:rPr>
          <w:rFonts w:hint="eastAsia" w:ascii="仿宋" w:hAnsi="仿宋" w:cs="仿宋"/>
          <w:sz w:val="24"/>
        </w:rPr>
        <w:t>3、技术保障：乙方必须随产品向甲方提供产品使用说明书和相关的资料（包括设备合格证、装箱清单、操作手册、使用说明书、检验报告、维护手册、服务指南等资料）。乙方应向甲方随同产品提供相应的中文技术文件，如：所供说明书和资料是外文的，乙方应为甲方提供中文版或译成中文文件。确保现场安装、调试、试运行技术保障服务。</w:t>
      </w:r>
    </w:p>
    <w:p w14:paraId="09B25BE1">
      <w:pPr>
        <w:spacing w:line="360" w:lineRule="auto"/>
        <w:ind w:firstLine="480" w:firstLineChars="200"/>
        <w:rPr>
          <w:rFonts w:hint="eastAsia" w:ascii="仿宋" w:hAnsi="仿宋" w:cs="仿宋"/>
          <w:sz w:val="24"/>
        </w:rPr>
      </w:pPr>
      <w:r>
        <w:rPr>
          <w:rFonts w:hint="eastAsia" w:ascii="仿宋" w:hAnsi="仿宋" w:cs="仿宋"/>
          <w:sz w:val="24"/>
        </w:rPr>
        <w:t>4、人员技术培训：提供免费培训、人数、地点按甲方单位要求约定。并向甲方提供系统培训（内容包括：理论、操作、应用、维护保养，安装、调试、一般故障排除等）、并提供系统的教学资料和视频教学光盘（中文版）。达到甲方的使用操作人员能够熟练应用。</w:t>
      </w:r>
    </w:p>
    <w:p w14:paraId="3F5BFE4C">
      <w:pPr>
        <w:spacing w:line="360" w:lineRule="auto"/>
        <w:ind w:firstLine="480" w:firstLineChars="200"/>
        <w:rPr>
          <w:rFonts w:hint="eastAsia" w:ascii="仿宋" w:hAnsi="仿宋" w:cs="仿宋"/>
          <w:sz w:val="24"/>
        </w:rPr>
      </w:pPr>
      <w:r>
        <w:rPr>
          <w:rFonts w:hint="eastAsia" w:ascii="仿宋" w:hAnsi="仿宋" w:cs="仿宋"/>
          <w:sz w:val="24"/>
        </w:rPr>
        <w:t>5、乙方对安装、调试产品应保证质量，确保能够正常运行使用。</w:t>
      </w:r>
    </w:p>
    <w:p w14:paraId="1C2659F0">
      <w:pPr>
        <w:spacing w:line="360" w:lineRule="auto"/>
        <w:ind w:firstLine="480" w:firstLineChars="200"/>
        <w:rPr>
          <w:rFonts w:hint="eastAsia" w:ascii="仿宋" w:hAnsi="仿宋" w:cs="仿宋"/>
          <w:sz w:val="24"/>
        </w:rPr>
      </w:pPr>
      <w:r>
        <w:rPr>
          <w:rFonts w:hint="eastAsia" w:ascii="仿宋" w:hAnsi="仿宋" w:cs="仿宋"/>
          <w:sz w:val="24"/>
        </w:rPr>
        <w:t>6、乙方所供产品必须具有合法手续及相关文件。如：涉及知识产权，则必须是自己拥有或合法使用。</w:t>
      </w:r>
    </w:p>
    <w:p w14:paraId="21AB734A">
      <w:pPr>
        <w:spacing w:line="360" w:lineRule="auto"/>
        <w:ind w:firstLine="480" w:firstLineChars="200"/>
        <w:rPr>
          <w:rFonts w:hint="eastAsia" w:ascii="仿宋" w:hAnsi="仿宋" w:cs="仿宋"/>
          <w:sz w:val="24"/>
        </w:rPr>
      </w:pPr>
      <w:r>
        <w:rPr>
          <w:rFonts w:hint="eastAsia" w:ascii="仿宋" w:hAnsi="仿宋" w:cs="仿宋"/>
          <w:sz w:val="24"/>
        </w:rPr>
        <w:t>7、包装：包装必须适应货物特性和交通运输要求，以及国际、国家标准或企业标准的, 乙方须保证设备配套的完整，货到既能正常安装、调试、使用。如：发生因缺少附备件或因配套不完整而造成甲方不能正常使用，乙方须负全部责任，应完全给予解决。由此产生的一切费用乙方承担。</w:t>
      </w:r>
    </w:p>
    <w:p w14:paraId="5DFA7EB9">
      <w:pPr>
        <w:spacing w:line="360" w:lineRule="auto"/>
        <w:ind w:firstLine="480" w:firstLineChars="200"/>
        <w:rPr>
          <w:rFonts w:hint="eastAsia" w:ascii="仿宋" w:hAnsi="仿宋" w:cs="仿宋"/>
          <w:sz w:val="24"/>
        </w:rPr>
      </w:pPr>
      <w:r>
        <w:rPr>
          <w:rFonts w:hint="eastAsia" w:ascii="仿宋" w:hAnsi="仿宋" w:cs="仿宋"/>
          <w:sz w:val="24"/>
        </w:rPr>
        <w:t>8、要求：乙方应承担由于包装、防护措施不妥引起的所有损失的责任和费用。</w:t>
      </w:r>
    </w:p>
    <w:p w14:paraId="3F161664">
      <w:pPr>
        <w:spacing w:line="360" w:lineRule="auto"/>
        <w:ind w:firstLine="482" w:firstLineChars="200"/>
        <w:rPr>
          <w:rFonts w:hint="eastAsia" w:ascii="仿宋" w:hAnsi="仿宋" w:cs="仿宋"/>
          <w:b/>
          <w:bCs/>
          <w:sz w:val="24"/>
        </w:rPr>
      </w:pPr>
      <w:r>
        <w:rPr>
          <w:rFonts w:hint="eastAsia" w:ascii="仿宋" w:hAnsi="仿宋" w:cs="仿宋"/>
          <w:b/>
          <w:bCs/>
          <w:sz w:val="24"/>
        </w:rPr>
        <w:t>十一、违约责任</w:t>
      </w:r>
    </w:p>
    <w:p w14:paraId="65F97735">
      <w:pPr>
        <w:spacing w:line="360" w:lineRule="auto"/>
        <w:ind w:firstLine="480" w:firstLineChars="200"/>
        <w:rPr>
          <w:rFonts w:hint="eastAsia" w:ascii="仿宋" w:hAnsi="仿宋" w:cs="仿宋"/>
          <w:sz w:val="24"/>
        </w:rPr>
      </w:pPr>
      <w:r>
        <w:rPr>
          <w:rFonts w:hint="eastAsia" w:ascii="仿宋" w:hAnsi="仿宋" w:cs="仿宋"/>
          <w:sz w:val="24"/>
        </w:rPr>
        <w:t>（一）乙方未能按照合同约定时间交付货物或未能按照约定时间安排人员上门完成安装调试的，每逾期一日，按照合同总金额的</w:t>
      </w:r>
      <w:r>
        <w:rPr>
          <w:rFonts w:ascii="仿宋" w:hAnsi="仿宋" w:cs="仿宋"/>
          <w:sz w:val="24"/>
        </w:rPr>
        <w:t>千</w:t>
      </w:r>
      <w:r>
        <w:rPr>
          <w:rFonts w:hint="eastAsia" w:ascii="仿宋" w:hAnsi="仿宋" w:cs="仿宋"/>
          <w:sz w:val="24"/>
        </w:rPr>
        <w:t>分之五承担违约责任，逾期超过十五日的，甲方有权解除合同，甲方解除合同的，乙方应在接到甲方解除通知之日起三日内退还所有已收款项，并应按合同总金额的20%承担违约责任。</w:t>
      </w:r>
    </w:p>
    <w:p w14:paraId="757E5AFF">
      <w:pPr>
        <w:adjustRightInd w:val="0"/>
        <w:snapToGrid w:val="0"/>
        <w:spacing w:line="360" w:lineRule="auto"/>
        <w:ind w:firstLine="480" w:firstLineChars="200"/>
        <w:rPr>
          <w:rFonts w:hint="eastAsia" w:ascii="仿宋" w:hAnsi="仿宋" w:cs="仿宋"/>
          <w:sz w:val="24"/>
        </w:rPr>
      </w:pPr>
      <w:r>
        <w:rPr>
          <w:rFonts w:hint="eastAsia" w:ascii="仿宋" w:hAnsi="仿宋" w:cs="仿宋"/>
          <w:sz w:val="24"/>
        </w:rPr>
        <w:t>（二）乙方未按合同要求提供产品或设备质量不能满足谈判技术或技术参数要求，乙方必须无条件退货，由此产生的一切费用均由乙方承担。</w:t>
      </w:r>
      <w:r>
        <w:rPr>
          <w:rFonts w:hint="eastAsia" w:ascii="仿宋" w:hAnsi="仿宋" w:cs="仿宋"/>
          <w:bCs/>
          <w:color w:val="000000"/>
          <w:sz w:val="24"/>
        </w:rPr>
        <w:t>甲方要求退货的，乙方应在接到甲方通知后三日内将产品取走，甲方有权要求乙方退还所有已收款项，并有权要求乙方按照合同总金额的20%承担违约责任。</w:t>
      </w:r>
    </w:p>
    <w:p w14:paraId="0E79D415">
      <w:pPr>
        <w:spacing w:line="360" w:lineRule="auto"/>
        <w:ind w:firstLine="480" w:firstLineChars="200"/>
        <w:rPr>
          <w:rFonts w:hint="eastAsia" w:ascii="仿宋" w:hAnsi="仿宋" w:cs="仿宋"/>
          <w:sz w:val="24"/>
        </w:rPr>
      </w:pPr>
      <w:r>
        <w:rPr>
          <w:rFonts w:hint="eastAsia" w:ascii="仿宋" w:hAnsi="仿宋" w:cs="仿宋"/>
          <w:sz w:val="24"/>
        </w:rPr>
        <w:t>（三）乙方应保证其交付的产品为合格产品，产品验收合格后30日内出现任何质量问题，甲方均有权要求乙方更换或退货，由此产生的一切费用均由乙方承担，同时，乙方还应按照合同总金额的20%承担违约责任。</w:t>
      </w:r>
    </w:p>
    <w:p w14:paraId="460B1ABC">
      <w:pPr>
        <w:spacing w:line="360" w:lineRule="auto"/>
        <w:ind w:firstLine="480" w:firstLineChars="200"/>
        <w:rPr>
          <w:rFonts w:hint="eastAsia" w:ascii="仿宋" w:hAnsi="仿宋" w:cs="仿宋"/>
          <w:sz w:val="24"/>
        </w:rPr>
      </w:pPr>
      <w:r>
        <w:rPr>
          <w:rFonts w:hint="eastAsia" w:ascii="仿宋" w:hAnsi="仿宋" w:cs="仿宋"/>
          <w:sz w:val="24"/>
        </w:rPr>
        <w:t>(四)甲方未按照合同约定支付合同价款，每逾期一日，按照合同总金额的万分之五承担违约责任。</w:t>
      </w:r>
    </w:p>
    <w:p w14:paraId="365FD24C">
      <w:pPr>
        <w:spacing w:line="360" w:lineRule="auto"/>
        <w:ind w:firstLine="480" w:firstLineChars="200"/>
        <w:rPr>
          <w:rFonts w:hint="eastAsia" w:ascii="仿宋" w:hAnsi="仿宋" w:cs="仿宋"/>
          <w:sz w:val="24"/>
        </w:rPr>
      </w:pPr>
      <w:r>
        <w:rPr>
          <w:rFonts w:hint="eastAsia" w:ascii="仿宋" w:hAnsi="仿宋" w:cs="仿宋"/>
          <w:sz w:val="24"/>
        </w:rPr>
        <w:t>（五）甲乙双方任何一方有违反本合同约定的，由违约方承担守约方因违约行为造成的全部损失，包括但不限于直接损失、间接损失及因追索损失而产生的诉讼费、仲裁费、财产保全费、执行费、评估费、拍卖费、律师费等。</w:t>
      </w:r>
    </w:p>
    <w:p w14:paraId="51C1BDE2">
      <w:pPr>
        <w:spacing w:line="360" w:lineRule="auto"/>
        <w:ind w:firstLine="482" w:firstLineChars="200"/>
        <w:rPr>
          <w:rFonts w:hint="eastAsia" w:ascii="仿宋" w:hAnsi="仿宋" w:cs="仿宋"/>
          <w:b/>
          <w:bCs/>
          <w:sz w:val="24"/>
        </w:rPr>
      </w:pPr>
      <w:r>
        <w:rPr>
          <w:rFonts w:hint="eastAsia" w:ascii="仿宋" w:hAnsi="仿宋" w:cs="仿宋"/>
          <w:b/>
          <w:bCs/>
          <w:sz w:val="24"/>
        </w:rPr>
        <w:t>十二、合同争议解决的方式</w:t>
      </w:r>
    </w:p>
    <w:p w14:paraId="7376FFBE">
      <w:pPr>
        <w:spacing w:line="360" w:lineRule="auto"/>
        <w:ind w:firstLine="480" w:firstLineChars="200"/>
        <w:rPr>
          <w:rFonts w:hint="eastAsia" w:ascii="仿宋" w:hAnsi="仿宋" w:cs="仿宋"/>
          <w:sz w:val="24"/>
        </w:rPr>
      </w:pPr>
      <w:r>
        <w:rPr>
          <w:rFonts w:hint="eastAsia" w:ascii="仿宋" w:hAnsi="仿宋" w:cs="仿宋"/>
          <w:sz w:val="24"/>
        </w:rPr>
        <w:t>本合同在履行过程中发生的争议，由甲、乙双方当事人协商解决，协商不成的，甲乙双方一致同意，任何一方均可向甲方所在地的人民法院起诉。</w:t>
      </w:r>
    </w:p>
    <w:p w14:paraId="18B90B20">
      <w:pPr>
        <w:spacing w:line="360" w:lineRule="auto"/>
        <w:ind w:firstLine="482" w:firstLineChars="200"/>
        <w:rPr>
          <w:rFonts w:hint="eastAsia" w:ascii="仿宋" w:hAnsi="仿宋" w:cs="仿宋"/>
          <w:b/>
          <w:bCs/>
          <w:sz w:val="24"/>
        </w:rPr>
      </w:pPr>
      <w:r>
        <w:rPr>
          <w:rFonts w:hint="eastAsia" w:ascii="仿宋" w:hAnsi="仿宋" w:cs="仿宋"/>
          <w:b/>
          <w:bCs/>
          <w:sz w:val="24"/>
        </w:rPr>
        <w:t>十三、其他事项</w:t>
      </w:r>
    </w:p>
    <w:p w14:paraId="33297DDE">
      <w:pPr>
        <w:spacing w:line="360" w:lineRule="auto"/>
        <w:ind w:firstLine="480" w:firstLineChars="200"/>
        <w:rPr>
          <w:rFonts w:hint="eastAsia" w:ascii="仿宋" w:hAnsi="仿宋" w:cs="仿宋"/>
          <w:sz w:val="24"/>
        </w:rPr>
      </w:pPr>
      <w:r>
        <w:rPr>
          <w:rFonts w:hint="eastAsia" w:ascii="仿宋" w:hAnsi="仿宋" w:cs="仿宋"/>
          <w:sz w:val="24"/>
        </w:rPr>
        <w:t>（一）西安市财政局政府采购管理处在合同的履行期间以及履行期后，可以随时检查项目的执行情况，对采购标准、采购内容进行调查核实，并对发现的问题进行处理。</w:t>
      </w:r>
    </w:p>
    <w:p w14:paraId="58EE492B">
      <w:pPr>
        <w:spacing w:line="360" w:lineRule="auto"/>
        <w:ind w:firstLine="480" w:firstLineChars="200"/>
        <w:rPr>
          <w:rFonts w:hint="eastAsia" w:ascii="仿宋" w:hAnsi="仿宋" w:cs="仿宋"/>
          <w:sz w:val="24"/>
        </w:rPr>
      </w:pPr>
      <w:r>
        <w:rPr>
          <w:rFonts w:hint="eastAsia" w:ascii="仿宋" w:hAnsi="仿宋" w:cs="仿宋"/>
          <w:sz w:val="24"/>
        </w:rPr>
        <w:t>（二）招标文件、投标文件、澄清表（函）、中标通知书、合同附件均成为合同不可分割的部分。</w:t>
      </w:r>
    </w:p>
    <w:p w14:paraId="5BC8635A">
      <w:pPr>
        <w:spacing w:line="360" w:lineRule="auto"/>
        <w:ind w:firstLine="480" w:firstLineChars="200"/>
        <w:rPr>
          <w:rFonts w:hint="eastAsia" w:ascii="仿宋" w:hAnsi="仿宋" w:cs="仿宋"/>
          <w:sz w:val="24"/>
        </w:rPr>
      </w:pPr>
      <w:r>
        <w:rPr>
          <w:rFonts w:hint="eastAsia" w:ascii="仿宋" w:hAnsi="仿宋" w:cs="仿宋"/>
          <w:sz w:val="24"/>
        </w:rPr>
        <w:t>（三）合同未尽事宜，由甲、乙双方协商，作为合同补充，与原合同具有同等法律效力。</w:t>
      </w:r>
    </w:p>
    <w:p w14:paraId="2FB038CF">
      <w:pPr>
        <w:spacing w:line="360" w:lineRule="auto"/>
        <w:ind w:firstLine="480" w:firstLineChars="200"/>
        <w:rPr>
          <w:rFonts w:hint="eastAsia" w:ascii="仿宋" w:hAnsi="仿宋" w:cs="仿宋"/>
          <w:sz w:val="24"/>
        </w:rPr>
      </w:pPr>
      <w:r>
        <w:rPr>
          <w:rFonts w:hint="eastAsia" w:ascii="仿宋" w:hAnsi="仿宋" w:cs="仿宋"/>
          <w:sz w:val="24"/>
        </w:rPr>
        <w:t>（四）合同一式陆份，甲方持肆份、乙方执壹份，招标代理机构壹份。双方签字盖章后生效，合同执行完毕自动失效。（合同的服务承诺长期有效）。</w:t>
      </w:r>
    </w:p>
    <w:p w14:paraId="545C0E8A">
      <w:pPr>
        <w:spacing w:line="360" w:lineRule="auto"/>
        <w:ind w:firstLine="480" w:firstLineChars="200"/>
        <w:rPr>
          <w:rFonts w:hint="eastAsia" w:ascii="仿宋" w:hAnsi="仿宋" w:cs="仿宋"/>
          <w:sz w:val="24"/>
        </w:rPr>
      </w:pPr>
      <w:r>
        <w:rPr>
          <w:rFonts w:hint="eastAsia" w:ascii="仿宋" w:hAnsi="仿宋" w:cs="仿宋"/>
          <w:sz w:val="24"/>
        </w:rPr>
        <w:t>（五）本合同附件与本合同具有同等的法律效力。</w:t>
      </w:r>
    </w:p>
    <w:p w14:paraId="0ED62A9F">
      <w:pPr>
        <w:spacing w:line="360" w:lineRule="auto"/>
        <w:ind w:firstLine="480" w:firstLineChars="200"/>
        <w:rPr>
          <w:rFonts w:hint="eastAsia" w:ascii="仿宋" w:hAnsi="仿宋" w:cs="仿宋"/>
          <w:sz w:val="24"/>
        </w:rPr>
      </w:pPr>
      <w:r>
        <w:rPr>
          <w:rFonts w:hint="eastAsia" w:ascii="仿宋" w:hAnsi="仿宋" w:cs="仿宋"/>
          <w:sz w:val="24"/>
        </w:rPr>
        <w:t>附件-1：《产品技术指标》</w:t>
      </w:r>
    </w:p>
    <w:p w14:paraId="0899A3B6">
      <w:pPr>
        <w:spacing w:line="360" w:lineRule="auto"/>
        <w:ind w:firstLine="480" w:firstLineChars="200"/>
        <w:rPr>
          <w:rFonts w:hint="eastAsia" w:ascii="仿宋" w:hAnsi="仿宋" w:cs="仿宋"/>
          <w:sz w:val="24"/>
        </w:rPr>
      </w:pPr>
      <w:r>
        <w:rPr>
          <w:rFonts w:hint="eastAsia" w:ascii="仿宋" w:hAnsi="仿宋" w:cs="仿宋"/>
          <w:sz w:val="24"/>
        </w:rPr>
        <w:t>附件-2：《售后服务承诺》</w:t>
      </w:r>
    </w:p>
    <w:p w14:paraId="6071F9A3">
      <w:pPr>
        <w:spacing w:line="360" w:lineRule="auto"/>
        <w:ind w:firstLine="480" w:firstLineChars="200"/>
        <w:rPr>
          <w:rFonts w:hint="eastAsia" w:ascii="仿宋" w:hAnsi="仿宋" w:cs="仿宋"/>
          <w:sz w:val="24"/>
        </w:rPr>
      </w:pPr>
      <w:r>
        <w:rPr>
          <w:rFonts w:hint="eastAsia" w:ascii="仿宋" w:hAnsi="仿宋" w:cs="仿宋"/>
          <w:sz w:val="24"/>
        </w:rPr>
        <w:t>附件-3：《人员培训服务承诺》</w:t>
      </w:r>
    </w:p>
    <w:p w14:paraId="7AA2BB76">
      <w:pPr>
        <w:spacing w:line="360" w:lineRule="auto"/>
        <w:ind w:firstLine="480" w:firstLineChars="200"/>
        <w:rPr>
          <w:rFonts w:hint="eastAsia" w:ascii="仿宋" w:hAnsi="仿宋" w:cs="仿宋"/>
          <w:sz w:val="24"/>
        </w:rPr>
      </w:pPr>
      <w:r>
        <w:rPr>
          <w:rFonts w:hint="eastAsia" w:ascii="仿宋" w:hAnsi="仿宋" w:cs="仿宋"/>
          <w:sz w:val="24"/>
        </w:rPr>
        <w:t>附件-4：《易损件及耗材报价表》</w:t>
      </w:r>
    </w:p>
    <w:p w14:paraId="4FBE31C0">
      <w:pPr>
        <w:spacing w:line="360" w:lineRule="auto"/>
        <w:rPr>
          <w:rFonts w:hint="eastAsia" w:ascii="宋体" w:hAnsi="宋体" w:cs="宋体"/>
          <w:sz w:val="24"/>
        </w:rPr>
      </w:pPr>
    </w:p>
    <w:p w14:paraId="006A2536">
      <w:pPr>
        <w:adjustRightInd w:val="0"/>
        <w:snapToGrid w:val="0"/>
        <w:spacing w:line="360" w:lineRule="auto"/>
        <w:ind w:firstLine="480" w:firstLineChars="200"/>
        <w:jc w:val="left"/>
        <w:rPr>
          <w:rFonts w:hint="eastAsia" w:ascii="宋体" w:hAnsi="宋体" w:cs="宋体"/>
          <w:sz w:val="24"/>
        </w:rPr>
      </w:pPr>
      <w:r>
        <w:rPr>
          <w:rFonts w:hint="eastAsia" w:ascii="宋体" w:hAnsi="宋体" w:cs="宋体"/>
          <w:sz w:val="24"/>
        </w:rPr>
        <w:t>甲方（公章）：                    乙方(公章)：</w:t>
      </w:r>
    </w:p>
    <w:p w14:paraId="59B33024">
      <w:pPr>
        <w:adjustRightInd w:val="0"/>
        <w:snapToGrid w:val="0"/>
        <w:spacing w:line="360" w:lineRule="auto"/>
        <w:ind w:firstLine="480" w:firstLineChars="200"/>
        <w:jc w:val="left"/>
        <w:rPr>
          <w:rFonts w:hint="eastAsia" w:ascii="宋体" w:hAnsi="宋体" w:cs="宋体"/>
          <w:sz w:val="24"/>
        </w:rPr>
      </w:pPr>
      <w:r>
        <w:rPr>
          <w:rFonts w:hint="eastAsia" w:ascii="宋体" w:hAnsi="宋体" w:cs="宋体"/>
          <w:sz w:val="24"/>
        </w:rPr>
        <w:t>法定代表人或授权代表人(签字):     法定代表人或授权代表人(签字):</w:t>
      </w:r>
    </w:p>
    <w:p w14:paraId="1C69429A">
      <w:pPr>
        <w:adjustRightInd w:val="0"/>
        <w:snapToGrid w:val="0"/>
        <w:spacing w:line="360" w:lineRule="auto"/>
        <w:ind w:firstLine="480" w:firstLineChars="200"/>
        <w:rPr>
          <w:rFonts w:hint="eastAsia" w:ascii="宋体" w:hAnsi="宋体" w:cs="宋体"/>
          <w:sz w:val="24"/>
          <w:u w:val="single"/>
        </w:rPr>
      </w:pPr>
      <w:r>
        <w:rPr>
          <w:rFonts w:hint="eastAsia" w:ascii="宋体" w:hAnsi="宋体" w:cs="宋体"/>
          <w:sz w:val="24"/>
        </w:rPr>
        <w:t>地址：                            地址：</w:t>
      </w:r>
    </w:p>
    <w:p w14:paraId="536C1DAA">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联系人：                          联系人：</w:t>
      </w:r>
    </w:p>
    <w:p w14:paraId="7FB29FF2">
      <w:pPr>
        <w:adjustRightInd w:val="0"/>
        <w:snapToGrid w:val="0"/>
        <w:spacing w:line="360" w:lineRule="auto"/>
        <w:ind w:firstLine="480" w:firstLineChars="200"/>
        <w:rPr>
          <w:rFonts w:hint="eastAsia" w:ascii="宋体" w:hAnsi="宋体" w:cs="宋体"/>
          <w:sz w:val="24"/>
          <w:u w:val="single"/>
        </w:rPr>
      </w:pPr>
      <w:r>
        <w:rPr>
          <w:rFonts w:hint="eastAsia" w:ascii="宋体" w:hAnsi="宋体" w:cs="宋体"/>
          <w:sz w:val="24"/>
        </w:rPr>
        <w:t>电话：                            电话：</w:t>
      </w:r>
    </w:p>
    <w:p w14:paraId="3E07594C">
      <w:pPr>
        <w:adjustRightInd w:val="0"/>
        <w:snapToGrid w:val="0"/>
        <w:spacing w:line="360" w:lineRule="auto"/>
        <w:ind w:firstLine="480" w:firstLineChars="200"/>
        <w:rPr>
          <w:rFonts w:hint="eastAsia" w:ascii="宋体" w:hAnsi="宋体" w:cs="宋体"/>
          <w:sz w:val="24"/>
          <w:u w:val="single"/>
        </w:rPr>
      </w:pPr>
      <w:r>
        <w:rPr>
          <w:rFonts w:hint="eastAsia" w:ascii="宋体" w:hAnsi="宋体" w:cs="宋体"/>
          <w:sz w:val="24"/>
        </w:rPr>
        <w:t>传真：                            传真：</w:t>
      </w:r>
    </w:p>
    <w:p w14:paraId="688D3932">
      <w:pPr>
        <w:adjustRightInd w:val="0"/>
        <w:snapToGrid w:val="0"/>
        <w:spacing w:line="360" w:lineRule="auto"/>
        <w:ind w:firstLine="480" w:firstLineChars="200"/>
        <w:rPr>
          <w:rFonts w:hint="eastAsia" w:ascii="宋体" w:hAnsi="宋体" w:cs="宋体"/>
          <w:sz w:val="24"/>
          <w:u w:val="single"/>
        </w:rPr>
      </w:pPr>
      <w:r>
        <w:rPr>
          <w:rFonts w:hint="eastAsia" w:ascii="宋体" w:hAnsi="宋体" w:cs="宋体"/>
          <w:sz w:val="24"/>
        </w:rPr>
        <w:t>邮编：                            邮编：</w:t>
      </w:r>
    </w:p>
    <w:p w14:paraId="4C307962">
      <w:pPr>
        <w:ind w:firstLine="480" w:firstLineChars="200"/>
        <w:rPr>
          <w:rFonts w:hint="eastAsia" w:ascii="仿宋" w:hAnsi="仿宋"/>
          <w:sz w:val="28"/>
          <w:szCs w:val="28"/>
        </w:rPr>
      </w:pPr>
      <w:r>
        <w:rPr>
          <w:rFonts w:hint="eastAsia" w:ascii="宋体" w:hAnsi="宋体" w:cs="宋体"/>
          <w:sz w:val="24"/>
        </w:rPr>
        <w:t>日期：                            日期：</w:t>
      </w:r>
      <w:r>
        <w:t xml:space="preserve"> </w:t>
      </w:r>
    </w:p>
    <w:p w14:paraId="18E265B9">
      <w:pPr>
        <w:rPr>
          <w:color w:val="auto"/>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 w:name="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F41C0">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632418">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6632418">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64F0079"/>
    <w:rsid w:val="36DE2219"/>
    <w:rsid w:val="403B217E"/>
    <w:rsid w:val="43D954F9"/>
    <w:rsid w:val="58BC239B"/>
    <w:rsid w:val="64DF3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paragraph" w:styleId="3">
    <w:name w:val="heading 2"/>
    <w:basedOn w:val="1"/>
    <w:next w:val="1"/>
    <w:qFormat/>
    <w:uiPriority w:val="1"/>
    <w:pPr>
      <w:ind w:left="501" w:hanging="401"/>
      <w:outlineLvl w:val="1"/>
    </w:pPr>
    <w:rPr>
      <w:rFonts w:ascii="Microsoft JhengHei" w:hAnsi="Microsoft JhengHei" w:eastAsia="Microsoft JhengHei" w:cs="Microsoft JhengHei"/>
      <w:b/>
      <w:bCs/>
      <w:szCs w:val="32"/>
    </w:rPr>
  </w:style>
  <w:style w:type="paragraph" w:styleId="4">
    <w:name w:val="heading 3"/>
    <w:basedOn w:val="1"/>
    <w:next w:val="1"/>
    <w:qFormat/>
    <w:uiPriority w:val="1"/>
    <w:pPr>
      <w:ind w:left="726" w:hanging="489"/>
      <w:outlineLvl w:val="2"/>
    </w:pPr>
    <w:rPr>
      <w:rFonts w:ascii="宋体" w:hAnsi="宋体" w:eastAsia="宋体" w:cs="宋体"/>
      <w:sz w:val="28"/>
      <w:szCs w:val="28"/>
    </w:rPr>
  </w:style>
  <w:style w:type="paragraph" w:styleId="2">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wordWrap/>
      <w:autoSpaceDE/>
      <w:autoSpaceDN/>
      <w:ind w:firstLine="420" w:firstLineChars="200"/>
    </w:pPr>
    <w:rPr>
      <w:rFonts w:ascii="Times New Roman"/>
      <w:sz w:val="21"/>
    </w:rPr>
  </w:style>
  <w:style w:type="paragraph" w:styleId="6">
    <w:name w:val="Body Text"/>
    <w:basedOn w:val="1"/>
    <w:qFormat/>
    <w:uiPriority w:val="1"/>
    <w:rPr>
      <w:rFonts w:ascii="宋体" w:hAnsi="宋体" w:eastAsia="宋体" w:cs="宋体"/>
      <w:sz w:val="21"/>
      <w:szCs w:val="21"/>
    </w:rPr>
  </w:style>
  <w:style w:type="paragraph" w:styleId="7">
    <w:name w:val="Plain Text"/>
    <w:basedOn w:val="1"/>
    <w:qFormat/>
    <w:uiPriority w:val="0"/>
    <w:rPr>
      <w:rFonts w:ascii="宋体" w:hAnsi="Courier New"/>
    </w:rPr>
  </w:style>
  <w:style w:type="paragraph" w:styleId="8">
    <w:name w:val="Body Text Indent 2"/>
    <w:basedOn w:val="1"/>
    <w:qFormat/>
    <w:uiPriority w:val="0"/>
    <w:pPr>
      <w:ind w:left="555"/>
    </w:pPr>
    <w:rPr>
      <w:sz w:val="28"/>
      <w:szCs w:val="20"/>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4">
    <w:name w:val="List Paragraph"/>
    <w:basedOn w:val="1"/>
    <w:qFormat/>
    <w:uiPriority w:val="1"/>
    <w:pPr>
      <w:ind w:left="100" w:firstLine="420"/>
    </w:pPr>
    <w:rPr>
      <w:rFonts w:ascii="宋体" w:hAnsi="宋体" w:eastAsia="宋体" w:cs="宋体"/>
    </w:rPr>
  </w:style>
  <w:style w:type="paragraph" w:customStyle="1" w:styleId="15">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5954</Words>
  <Characters>6338</Characters>
  <Lines>0</Lines>
  <Paragraphs>0</Paragraphs>
  <TotalTime>0</TotalTime>
  <ScaleCrop>false</ScaleCrop>
  <LinksUpToDate>false</LinksUpToDate>
  <CharactersWithSpaces>6474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2024-09-29T04:12:00Z</dcterms:created>
  <dc:creator>admin</dc:creator>
  <cp:lastModifiedBy>puppet</cp:lastModifiedBy>
  <dcterms:modified xsi:type="dcterms:W3CDTF">2025-08-26T07:32:15Z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1C5C188EE19943F0A7F30E53E3656961_12</vt:lpwstr>
  </property>
  <property fmtid="{D5CDD505-2E9C-101B-9397-08002B2CF9AE}" pid="4" name="KSOTemplateDocerSaveRecord">
    <vt:lpwstr>eyJoZGlkIjoiOWZlOTI0MzU1MTE4MDlkNWMzNDM3YTg4ZmE1ODFmZDgiLCJ1c2VySWQiOiI2NjUzNDI1ODcifQ==</vt:lpwstr>
  </property>
</Properties>
</file>