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版本号：RH采字【20250816】号20250827001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西安市文保单位变形监测项目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RH采字【20250816】号</w:t>
      </w:r>
      <w:r>
        <w:br/>
      </w:r>
      <w:r>
        <w:br/>
      </w:r>
      <w:r>
        <w:br/>
      </w:r>
    </w:p>
    <w:p>
      <w:pPr>
        <w:pStyle w:val="null3"/>
        <w:jc w:val="center"/>
        <w:outlineLvl w:val="2"/>
      </w:pPr>
      <w:r>
        <w:rPr>
          <w:rFonts w:ascii="仿宋_GB2312" w:hAnsi="仿宋_GB2312" w:cs="仿宋_GB2312" w:eastAsia="仿宋_GB2312"/>
          <w:sz w:val="28"/>
          <w:b/>
        </w:rPr>
        <w:t>西安市文物局</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西安市文物局</w:t>
      </w:r>
      <w:r>
        <w:rPr>
          <w:rFonts w:ascii="仿宋_GB2312" w:hAnsi="仿宋_GB2312" w:cs="仿宋_GB2312" w:eastAsia="仿宋_GB2312"/>
        </w:rPr>
        <w:t>委托，拟对</w:t>
      </w:r>
      <w:r>
        <w:rPr>
          <w:rFonts w:ascii="仿宋_GB2312" w:hAnsi="仿宋_GB2312" w:cs="仿宋_GB2312" w:eastAsia="仿宋_GB2312"/>
        </w:rPr>
        <w:t>西安市文保单位变形监测项目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RH采字【20250816】号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西安市文保单位变形监测项目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完成敬德塔、圣寿寺塔、二龙塔、大秦寺塔等10处秦岭段古建筑，昭慧塔、八云塔、青龙寺等7处国保单位，高桂滋公馆、张学良公馆等10处革命文物单位，共计27处国保单位开展人工变形监测工作，并编制监测研判报告。</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1、响应主体 ：响应供应商需提供有效合格的具有统一社会信用代码的营业执照，其他组织经营的须提供合法凭证，自然人提供身份证明文件。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2、身份证明 ：法定代表人参加投标的，须提供本人身份证加盖公章的复印件；法定代表人授权他人参加投标的，须提供法定代表人授权委托书及被授权代表的身份证复印件。</w:t>
      </w:r>
    </w:p>
    <w:p>
      <w:pPr>
        <w:pStyle w:val="null3"/>
      </w:pPr>
      <w:r>
        <w:rPr>
          <w:rFonts w:ascii="仿宋_GB2312" w:hAnsi="仿宋_GB2312" w:cs="仿宋_GB2312" w:eastAsia="仿宋_GB2312"/>
        </w:rPr>
        <w:t>3、财务状况报告 ：提供2024年度经审计的财务会计报告（包括“四表一注”，即资产负债表、利润表、现金流量表、所有者权益变动表及其附注）；成立时间至提交投标文件截止时间不足一年的可提供成立后任意时段的资产负债表或投标截止时间前三个月内基本存款账户开户银行出具的资信证明文件及基本存款账户开户许可证（无基本存款账户开户许可证可提供其基本存款账户信息证明）。</w:t>
      </w:r>
    </w:p>
    <w:p>
      <w:pPr>
        <w:pStyle w:val="null3"/>
      </w:pPr>
      <w:r>
        <w:rPr>
          <w:rFonts w:ascii="仿宋_GB2312" w:hAnsi="仿宋_GB2312" w:cs="仿宋_GB2312" w:eastAsia="仿宋_GB2312"/>
        </w:rPr>
        <w:t>4、社会保障资金缴纳证明 ：提供供应商2024年1月1日以来任意三个月已缴纳的社会保障资金缴存单据或社保机构开具的社会保险参保缴费情况证明，依法不需要缴纳社会保障资金的供应商应提供加盖公章的相关证明文件。</w:t>
      </w:r>
    </w:p>
    <w:p>
      <w:pPr>
        <w:pStyle w:val="null3"/>
      </w:pPr>
      <w:r>
        <w:rPr>
          <w:rFonts w:ascii="仿宋_GB2312" w:hAnsi="仿宋_GB2312" w:cs="仿宋_GB2312" w:eastAsia="仿宋_GB2312"/>
        </w:rPr>
        <w:t>5、税收缴纳证明 ：提供供应商2024年1月1日以来任意三个月已缴纳的纳税证明或完税证明（至少包含增值税或企业所得税），依法免税的供应商应提供加盖公章的相关证明文件。</w:t>
      </w:r>
    </w:p>
    <w:p>
      <w:pPr>
        <w:pStyle w:val="null3"/>
      </w:pPr>
      <w:r>
        <w:rPr>
          <w:rFonts w:ascii="仿宋_GB2312" w:hAnsi="仿宋_GB2312" w:cs="仿宋_GB2312" w:eastAsia="仿宋_GB2312"/>
        </w:rPr>
        <w:t>6、履行合同能力的证明材料 ：具备履行合同所必需的设备和专业技术能力的证明材料(由供应商根据项目需求提供说明材料或者承诺)。</w:t>
      </w:r>
    </w:p>
    <w:p>
      <w:pPr>
        <w:pStyle w:val="null3"/>
      </w:pPr>
      <w:r>
        <w:rPr>
          <w:rFonts w:ascii="仿宋_GB2312" w:hAnsi="仿宋_GB2312" w:cs="仿宋_GB2312" w:eastAsia="仿宋_GB2312"/>
        </w:rPr>
        <w:t>7、资质能力 ：供应商需具备行政主管部门核发的工程勘察综合甲级资质和甲级测绘资质（专业需包含工程测量）。</w:t>
      </w:r>
    </w:p>
    <w:p>
      <w:pPr>
        <w:pStyle w:val="null3"/>
      </w:pPr>
      <w:r>
        <w:rPr>
          <w:rFonts w:ascii="仿宋_GB2312" w:hAnsi="仿宋_GB2312" w:cs="仿宋_GB2312" w:eastAsia="仿宋_GB2312"/>
        </w:rPr>
        <w:t>8、书面信用声明 ：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pPr>
        <w:pStyle w:val="null3"/>
      </w:pPr>
      <w:r>
        <w:rPr>
          <w:rFonts w:ascii="仿宋_GB2312" w:hAnsi="仿宋_GB2312" w:cs="仿宋_GB2312" w:eastAsia="仿宋_GB2312"/>
        </w:rPr>
        <w:t>9、控股、管理关系 ：单位负责人为同一人或者存在直接控股、管理关系的不同供应商，不得参加本次采购活动。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西安市文物局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029-86788216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13080906068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采购包1：418,600.00元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照《招标代理服务收费管理暂行办法》（计价格[2002]1980号）、《国家发展改革委办公厅关于招标代理服务收费有关问题的通知》（发改办价格[2003]857号）、《国家发展改革委关于降低部分建设项目收费标准规范收费行为等有关问题的通知》（发改办价格[2011]534号）的有关规定收取招标代理服务费。 企业名称：瑞恒项目管理有限公司 开户银行：工行西安城南科技支行（行号：1027 9100 0023） 账 号：3700024819200044620 转账事由：（项目名称）代理服务费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西安市文物局</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西安市文物局</w:t>
      </w:r>
      <w:r>
        <w:rPr>
          <w:rFonts w:ascii="仿宋_GB2312" w:hAnsi="仿宋_GB2312" w:cs="仿宋_GB2312" w:eastAsia="仿宋_GB2312"/>
        </w:rPr>
        <w:t>负责解释。除上述磋商文件内容，其他内容由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西安市文物局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联系电话：13080906068</w:t>
      </w:r>
    </w:p>
    <w:p>
      <w:pPr>
        <w:pStyle w:val="null3"/>
      </w:pPr>
      <w:r>
        <w:rPr>
          <w:rFonts w:ascii="仿宋_GB2312" w:hAnsi="仿宋_GB2312" w:cs="仿宋_GB2312" w:eastAsia="仿宋_GB2312"/>
        </w:rPr>
        <w:t>地址：陕西省西安市曲江新区雁翔路3269号旺座曲江D座30层3001号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完成敬德塔、圣寿寺塔、二龙塔、大秦寺塔等10处秦岭段古建筑，昭慧塔、八云塔、青龙寺等7处国保单位，高桂滋公馆、张学良公馆等10处革命文物单位，共计27处国保单位开展人工变形监测工作，并编制监测研判报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418,600.00</w:t>
      </w:r>
    </w:p>
    <w:p>
      <w:pPr>
        <w:pStyle w:val="null3"/>
      </w:pPr>
      <w:r>
        <w:rPr>
          <w:rFonts w:ascii="仿宋_GB2312" w:hAnsi="仿宋_GB2312" w:cs="仿宋_GB2312" w:eastAsia="仿宋_GB2312"/>
        </w:rPr>
        <w:t>采购包最高限价（元）: 418,600.00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西安市文保单位变形监测项目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418,600.00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标的名称：西安市文保单位变形监测项目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一、项目概况</w:t>
            </w:r>
          </w:p>
          <w:p>
            <w:pPr>
              <w:pStyle w:val="null3"/>
              <w:ind w:firstLine="480"/>
              <w:jc w:val="both"/>
            </w:pPr>
            <w:r>
              <w:rPr>
                <w:rFonts w:ascii="仿宋_GB2312" w:hAnsi="仿宋_GB2312" w:cs="仿宋_GB2312" w:eastAsia="仿宋_GB2312"/>
                <w:sz w:val="24"/>
              </w:rPr>
              <w:t>计划对敬德塔、圣寿寺塔、二龙塔、大秦寺塔等</w:t>
            </w:r>
            <w:r>
              <w:rPr>
                <w:rFonts w:ascii="仿宋_GB2312" w:hAnsi="仿宋_GB2312" w:cs="仿宋_GB2312" w:eastAsia="仿宋_GB2312"/>
                <w:sz w:val="24"/>
              </w:rPr>
              <w:t>10处秦岭段古建筑，昭慧塔、八云塔、青龙寺等7处国保单位，高桂滋公馆、张学良公馆等10处革命文物单位共计27处国保单位开展人工变形监测；根据国家“十四五”文物保护和科技创新规划相关要求，不可移动文物保护要从抢救性保护到预防性保护转变。对文物保护单位开展人工变形监测是文物预防性保护的重要措施。本项目拟通过对该27处文保单位开展常规的人工变形监测，长期跟踪文物变形发展，精准掌握文物健康状况的变化趋势，为文物的科学修复与长期保护奠定坚实基础。</w:t>
            </w:r>
          </w:p>
          <w:p>
            <w:pPr>
              <w:pStyle w:val="null3"/>
              <w:jc w:val="both"/>
            </w:pPr>
            <w:r>
              <w:rPr>
                <w:rFonts w:ascii="仿宋_GB2312" w:hAnsi="仿宋_GB2312" w:cs="仿宋_GB2312" w:eastAsia="仿宋_GB2312"/>
                <w:sz w:val="24"/>
              </w:rPr>
              <w:t>二、服务内容：</w:t>
            </w:r>
          </w:p>
          <w:p>
            <w:pPr>
              <w:pStyle w:val="null3"/>
              <w:ind w:firstLine="480"/>
              <w:jc w:val="both"/>
            </w:pPr>
            <w:r>
              <w:rPr>
                <w:rFonts w:ascii="仿宋_GB2312" w:hAnsi="仿宋_GB2312" w:cs="仿宋_GB2312" w:eastAsia="仿宋_GB2312"/>
                <w:sz w:val="24"/>
              </w:rPr>
              <w:t>根据文物保护单位状况，开展文物保护单位倾斜及沉降情况监测服务，并进行研判分析</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秦岭西安段</w:t>
            </w:r>
            <w:r>
              <w:rPr>
                <w:rFonts w:ascii="仿宋_GB2312" w:hAnsi="仿宋_GB2312" w:cs="仿宋_GB2312" w:eastAsia="仿宋_GB2312"/>
                <w:sz w:val="24"/>
              </w:rPr>
              <w:t>10处古建，包含水陆庵、大秦寺塔、敬德塔、圣寿寺塔、二龙塔、仙游寺法王塔、天池寺塔、楼观台、户县化羊庙、赵公明庙。</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全国重点文物保护单位</w:t>
            </w:r>
            <w:r>
              <w:rPr>
                <w:rFonts w:ascii="仿宋_GB2312" w:hAnsi="仿宋_GB2312" w:cs="仿宋_GB2312" w:eastAsia="仿宋_GB2312"/>
                <w:sz w:val="24"/>
              </w:rPr>
              <w:t>7处，包含八云塔、昭慧塔、善导塔、兴教寺塔、青龙寺遗址、西安清真寺（2座碑亭及凤凰亭）、明秦王府城墙西、南城墙（未修缮部分）。</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革命文物保护单位</w:t>
            </w:r>
            <w:r>
              <w:rPr>
                <w:rFonts w:ascii="仿宋_GB2312" w:hAnsi="仿宋_GB2312" w:cs="仿宋_GB2312" w:eastAsia="仿宋_GB2312"/>
                <w:sz w:val="24"/>
              </w:rPr>
              <w:t>10处，包含五间厅、兵谏亭、西安事变指挥部、高桂滋公馆、张学良公馆、杨虎城止园别墅、陕西省纺织供销公司办公楼、革命公园革命亭、汪锋故居、大华纱厂旧址（老南门）。</w:t>
            </w:r>
          </w:p>
          <w:p>
            <w:pPr>
              <w:pStyle w:val="null3"/>
              <w:ind w:firstLine="480"/>
              <w:jc w:val="both"/>
            </w:pPr>
            <w:r>
              <w:rPr>
                <w:rFonts w:ascii="仿宋_GB2312" w:hAnsi="仿宋_GB2312" w:cs="仿宋_GB2312" w:eastAsia="仿宋_GB2312"/>
                <w:sz w:val="24"/>
              </w:rPr>
              <w:t>本次监测周期为合同签订后</w:t>
            </w:r>
            <w:r>
              <w:rPr>
                <w:rFonts w:ascii="仿宋_GB2312" w:hAnsi="仿宋_GB2312" w:cs="仿宋_GB2312" w:eastAsia="仿宋_GB2312"/>
                <w:sz w:val="24"/>
              </w:rPr>
              <w:t>365日历天，在该监测周期内病害较为严重的水陆庵、大秦寺塔监测频次为一年4次，其他文物点监测频次为一年2次。</w:t>
            </w:r>
          </w:p>
          <w:p>
            <w:pPr>
              <w:pStyle w:val="null3"/>
              <w:jc w:val="both"/>
            </w:pPr>
            <w:r>
              <w:rPr>
                <w:rFonts w:ascii="仿宋_GB2312" w:hAnsi="仿宋_GB2312" w:cs="仿宋_GB2312" w:eastAsia="仿宋_GB2312"/>
                <w:sz w:val="24"/>
              </w:rPr>
              <w:t>三、服务要求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技术要求：依据本项目技术文件的要求，观测需达到但不限于下列现行主要的中华人民共和国以及省、市或行业的沉降观测技术标准或规范的要求：</w:t>
            </w:r>
            <w:r>
              <w:rPr>
                <w:rFonts w:ascii="仿宋_GB2312" w:hAnsi="仿宋_GB2312" w:cs="仿宋_GB2312" w:eastAsia="仿宋_GB2312"/>
                <w:sz w:val="24"/>
              </w:rPr>
              <w:t>①《中华人民共和国文物保护法》；②《建筑变形测量规范》JGJ8-2016；③其他国家、省市或行业的相关技术标准、规范。</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实施周期：自合同签订之日起</w:t>
            </w:r>
            <w:r>
              <w:rPr>
                <w:rFonts w:ascii="仿宋_GB2312" w:hAnsi="仿宋_GB2312" w:cs="仿宋_GB2312" w:eastAsia="仿宋_GB2312"/>
                <w:sz w:val="24"/>
              </w:rPr>
              <w:t>1年。</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其他服务要求：</w:t>
            </w:r>
            <w:r>
              <w:rPr>
                <w:rFonts w:ascii="仿宋_GB2312" w:hAnsi="仿宋_GB2312" w:cs="仿宋_GB2312" w:eastAsia="仿宋_GB2312"/>
                <w:sz w:val="24"/>
              </w:rPr>
              <w:t>①观测点标识应符合文物保护、美观形象等各项要求。②供应商应负责观测点的日常维护、管理等。③在监测期间如遇到特殊情况，供应商应及时到场并提供专业性建议</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技术成果：监测工作结束后，提供符合规范要求的技术成果报告肆份。</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按采购人要求，根据项目情况配置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按采购人要求，根据项目情况配置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合同生效后，乙方提供的正规发票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乙方提交第一次成果资料后，提供等额正规发票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1.请成交供应商在领取成交通知书时，向招标代理机构递交响应文件正本壹份、副本贰份，电子文件贰份（纸质文件与线上评审电子文件保持一致）。 2.根据《西安市财政局关于促进政府采购公平竞争优化营商环境的通知》市财函[2021]431号文第16条 供应商登记免费领取采购文件的，如不参与项目投标，应在递交投标（或响应）文件截止时间前一日以书面形式告知采购代理机构（接收邮箱：ddjie688@168.com）。否则，采购代理机构可以向财政部门反应情况并提供相应的佐证，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响应供应商需提供有效合格的具有统一社会信用代码的营业执照，其他组织经营的须提供合法凭证，自然人提供身份证明文件。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法定代表人参加投标的，须提供本人身份证加盖公章的复印件；法定代表人授权他人参加投标的，须提供法定代表人授权委托书及被授权代表的身份证复印件。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四表一注”，即资产负债表、利润表、现金流量表、所有者权益变动表及其附注）；成立时间至提交投标文件截止时间不足一年的可提供成立后任意时段的资产负债表或投标截止时间前三个月内基本存款账户开户银行出具的资信证明文件及基本存款账户开户许可证（无基本存款账户开户许可证可提供其基本存款账户信息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提供供应商2024年1月1日以来任意三个月已缴纳的社会保障资金缴存单据或社保机构开具的社会保险参保缴费情况证明，依法不需要缴纳社会保障资金的供应商应提供加盖公章的相关证明文件。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提供供应商2024年1月1日以来任意三个月已缴纳的纳税证明或完税证明（至少包含增值税或企业所得税），依法免税的供应商应提供加盖公章的相关证明文件。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履行合同能力的证明材料</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资质能力</w:t>
            </w:r>
          </w:p>
        </w:tc>
        <w:tc>
          <w:tcPr>
            <w:tcW w:type="dxa" w:w="3322"/>
          </w:tcPr>
          <w:p>
            <w:pPr>
              <w:pStyle w:val="null3"/>
            </w:pPr>
            <w:r>
              <w:rPr>
                <w:rFonts w:ascii="仿宋_GB2312" w:hAnsi="仿宋_GB2312" w:cs="仿宋_GB2312" w:eastAsia="仿宋_GB2312"/>
              </w:rPr>
              <w:t>供应商需具备行政主管部门核发的工程勘察综合甲级资质和甲级测绘资质（专业需包含工程测量）。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书面信用声明</w:t>
            </w:r>
          </w:p>
        </w:tc>
        <w:tc>
          <w:tcPr>
            <w:tcW w:type="dxa" w:w="3322"/>
          </w:tcPr>
          <w:p>
            <w:pPr>
              <w:pStyle w:val="null3"/>
            </w:pPr>
            <w:r>
              <w:rPr>
                <w:rFonts w:ascii="仿宋_GB2312" w:hAnsi="仿宋_GB2312" w:cs="仿宋_GB2312" w:eastAsia="仿宋_GB2312"/>
              </w:rPr>
              <w:t>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单位负责人为同一人或者存在直接控股、管理关系的不同供应商，不得参加本次采购活动。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应符合磋商文件中签字、签章要求，且无遗漏</w:t>
            </w:r>
          </w:p>
        </w:tc>
        <w:tc>
          <w:tcPr>
            <w:tcW w:type="dxa" w:w="1661"/>
          </w:tcPr>
          <w:p>
            <w:pPr>
              <w:pStyle w:val="null3"/>
            </w:pPr>
            <w:r>
              <w:rPr>
                <w:rFonts w:ascii="仿宋_GB2312" w:hAnsi="仿宋_GB2312" w:cs="仿宋_GB2312" w:eastAsia="仿宋_GB2312"/>
              </w:rPr>
              <w:t>响应文件封面 分项报价表.docx 技术偏离表.docx 中小企业声明函 残疾人福利性单位声明函 标的清单 响应供应商基本情况表.docx 响应函 商务偏离表.docx 资格证明文件.docx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响应文件格式、语言、计量单位、报价货币</w:t>
            </w:r>
          </w:p>
        </w:tc>
        <w:tc>
          <w:tcPr>
            <w:tcW w:type="dxa" w:w="3322"/>
          </w:tcPr>
          <w:p>
            <w:pPr>
              <w:pStyle w:val="null3"/>
            </w:pPr>
            <w:r>
              <w:rPr>
                <w:rFonts w:ascii="仿宋_GB2312" w:hAnsi="仿宋_GB2312" w:cs="仿宋_GB2312" w:eastAsia="仿宋_GB2312"/>
              </w:rPr>
              <w:t>应符合“响应文件格式”和磋商文件要求</w:t>
            </w:r>
          </w:p>
        </w:tc>
        <w:tc>
          <w:tcPr>
            <w:tcW w:type="dxa" w:w="1661"/>
          </w:tcPr>
          <w:p>
            <w:pPr>
              <w:pStyle w:val="null3"/>
            </w:pPr>
            <w:r>
              <w:rPr>
                <w:rFonts w:ascii="仿宋_GB2312" w:hAnsi="仿宋_GB2312" w:cs="仿宋_GB2312" w:eastAsia="仿宋_GB2312"/>
              </w:rPr>
              <w:t>响应文件封面 分项报价表.docx 技术偏离表.docx 中小企业声明函 残疾人福利性单位声明函 标的清单 响应供应商基本情况表.docx 响应函 商务偏离表.docx 资格证明文件.docx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 （1）货币单位符合采购文件要求 （2）报价符合唯一性要求 （3）未超出采购预算或最高限价 （4）符合《磋商一览表》的填报要求</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技术（服务）条款</w:t>
            </w:r>
          </w:p>
        </w:tc>
        <w:tc>
          <w:tcPr>
            <w:tcW w:type="dxa" w:w="3322"/>
          </w:tcPr>
          <w:p>
            <w:pPr>
              <w:pStyle w:val="null3"/>
            </w:pPr>
            <w:r>
              <w:rPr>
                <w:rFonts w:ascii="仿宋_GB2312" w:hAnsi="仿宋_GB2312" w:cs="仿宋_GB2312" w:eastAsia="仿宋_GB2312"/>
              </w:rPr>
              <w:t>完全理解并响应采购文件要求的各项技术（服务），且未含有采购人不能接受的附加条件的</w:t>
            </w:r>
          </w:p>
        </w:tc>
        <w:tc>
          <w:tcPr>
            <w:tcW w:type="dxa" w:w="1661"/>
          </w:tcPr>
          <w:p>
            <w:pPr>
              <w:pStyle w:val="null3"/>
            </w:pPr>
            <w:r>
              <w:rPr>
                <w:rFonts w:ascii="仿宋_GB2312" w:hAnsi="仿宋_GB2312" w:cs="仿宋_GB2312" w:eastAsia="仿宋_GB2312"/>
              </w:rPr>
              <w:t>技术偏离表.docx 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商务条款（如合同履行期限、付款方式、响应有效期等）</w:t>
            </w:r>
          </w:p>
        </w:tc>
        <w:tc>
          <w:tcPr>
            <w:tcW w:type="dxa" w:w="3322"/>
          </w:tcPr>
          <w:p>
            <w:pPr>
              <w:pStyle w:val="null3"/>
            </w:pPr>
            <w:r>
              <w:rPr>
                <w:rFonts w:ascii="仿宋_GB2312" w:hAnsi="仿宋_GB2312" w:cs="仿宋_GB2312" w:eastAsia="仿宋_GB2312"/>
              </w:rPr>
              <w:t>完全理解并响应采购文件商务条款的要求，且未含有采购人不能接受的附加条件的</w:t>
            </w:r>
          </w:p>
        </w:tc>
        <w:tc>
          <w:tcPr>
            <w:tcW w:type="dxa" w:w="1661"/>
          </w:tcPr>
          <w:p>
            <w:pPr>
              <w:pStyle w:val="null3"/>
            </w:pPr>
            <w:r>
              <w:rPr>
                <w:rFonts w:ascii="仿宋_GB2312" w:hAnsi="仿宋_GB2312" w:cs="仿宋_GB2312" w:eastAsia="仿宋_GB2312"/>
              </w:rPr>
              <w:t>商务偏离表.docx 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重难点分析及应对方案 （10分）</w:t>
            </w:r>
          </w:p>
        </w:tc>
        <w:tc>
          <w:tcPr>
            <w:tcW w:type="dxa" w:w="2492"/>
          </w:tcPr>
          <w:p>
            <w:pPr>
              <w:pStyle w:val="null3"/>
            </w:pPr>
            <w:r>
              <w:rPr>
                <w:rFonts w:ascii="仿宋_GB2312" w:hAnsi="仿宋_GB2312" w:cs="仿宋_GB2312" w:eastAsia="仿宋_GB2312"/>
              </w:rPr>
              <w:t>对项目重难点、关键性技术问题的把握准确、分析到位，所提供的对策措施完善，有较强的针对性，得10分； 对项目重难点、关键性技术问题的把握基本准确、分析到位，所提供的对策措施合理，有一定的针对性，得7分； 对项目重难点、关键性技术问题的把握基本准确、分析简单，所提供的对策措施合理，针对性欠缺，得4分； 对项目重难点、关键性技术问题的把握有偏差、分析欠缺，所提供的对策措施简单普遍，对本项目没有针对性，得2分； 其他或未提供不得分。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工作方法（10分）</w:t>
            </w:r>
          </w:p>
        </w:tc>
        <w:tc>
          <w:tcPr>
            <w:tcW w:type="dxa" w:w="2492"/>
          </w:tcPr>
          <w:p>
            <w:pPr>
              <w:pStyle w:val="null3"/>
            </w:pPr>
            <w:r>
              <w:rPr>
                <w:rFonts w:ascii="仿宋_GB2312" w:hAnsi="仿宋_GB2312" w:cs="仿宋_GB2312" w:eastAsia="仿宋_GB2312"/>
              </w:rPr>
              <w:t>能够按照工作内容确定工作方法，方法得当，可行性强，完全满足工作的要求得10分； 工作方法基本得当，可行性一般，能满足工作要求得7分； 工作方法有欠缺，可行性一般，能基本满足工作要求得4分； 工作方法不得当，不利于项目实施的得2分； 其他或未提供不得分。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技术路线（10分）</w:t>
            </w:r>
          </w:p>
        </w:tc>
        <w:tc>
          <w:tcPr>
            <w:tcW w:type="dxa" w:w="2492"/>
          </w:tcPr>
          <w:p>
            <w:pPr>
              <w:pStyle w:val="null3"/>
            </w:pPr>
            <w:r>
              <w:rPr>
                <w:rFonts w:ascii="仿宋_GB2312" w:hAnsi="仿宋_GB2312" w:cs="仿宋_GB2312" w:eastAsia="仿宋_GB2312"/>
              </w:rPr>
              <w:t>项目实施的技术路线清晰、全面，技术指标明确，完全满足项目要求得10分； 项目实施的技术路线基本清晰、全面，技术指标明确，能满足项目要求得7分； 项目实施的技术路线有欠缺，技术指标不明确，能基本满足项目要求得4分； 项目实施的技术路线不够清晰，不利于项目实施的得2分； 其他或未提供不得分。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 （13分）</w:t>
            </w:r>
          </w:p>
        </w:tc>
        <w:tc>
          <w:tcPr>
            <w:tcW w:type="dxa" w:w="2492"/>
          </w:tcPr>
          <w:p>
            <w:pPr>
              <w:pStyle w:val="null3"/>
            </w:pPr>
            <w:r>
              <w:rPr>
                <w:rFonts w:ascii="仿宋_GB2312" w:hAnsi="仿宋_GB2312" w:cs="仿宋_GB2312" w:eastAsia="仿宋_GB2312"/>
              </w:rPr>
              <w:t>1.人员分配方案，根据人员结构、从业经验、技术力量等进行赋分：所配人员满足要求，人员结构合理、责任明确，从业经历丰富、人员组织安排科学得5分；所配人员基本满足要求，人员结构一般、从业经历一般、人员组织安排一般得3分；提供的方案混乱且合理性低得1分；其他或未提供不得分。 2.拟派项目负责人具有“注册土木工程师（岩土）”或“注册测绘师”证书的得3分，未提供不得分；拟派项目负责人具有本项目类似业绩，每提供一个得1分，本项最高得2分。 3.拟派其他团队成员具有本项目相关专业中级及以上职称证书的，提供一个得1分，最多得 3分。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进度计划及保障 （8分）</w:t>
            </w:r>
          </w:p>
        </w:tc>
        <w:tc>
          <w:tcPr>
            <w:tcW w:type="dxa" w:w="2492"/>
          </w:tcPr>
          <w:p>
            <w:pPr>
              <w:pStyle w:val="null3"/>
            </w:pPr>
            <w:r>
              <w:rPr>
                <w:rFonts w:ascii="仿宋_GB2312" w:hAnsi="仿宋_GB2312" w:cs="仿宋_GB2312" w:eastAsia="仿宋_GB2312"/>
              </w:rPr>
              <w:t>根据工作进度计划安排的合理性、与本项目实际情况的符合性，进度保证措施的可靠性、可实施性进行评分： 进度安排合理可行，进度保证措施详细、工作节点清晰得8分； 进度安排基本合理，进度保证措施不明确，工作节点清晰得6分； 进度安排基本合理，进度保证措施不明确，工作节点不清晰得4分； 进度安排不合理，进度保证措施不明确，需要进一步协调得2分； 其他或未提供得不得分。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质量保障措施 （8分）</w:t>
            </w:r>
          </w:p>
        </w:tc>
        <w:tc>
          <w:tcPr>
            <w:tcW w:type="dxa" w:w="2492"/>
          </w:tcPr>
          <w:p>
            <w:pPr>
              <w:pStyle w:val="null3"/>
            </w:pPr>
            <w:r>
              <w:rPr>
                <w:rFonts w:ascii="仿宋_GB2312" w:hAnsi="仿宋_GB2312" w:cs="仿宋_GB2312" w:eastAsia="仿宋_GB2312"/>
              </w:rPr>
              <w:t>质量保障措施描述严谨、完整合理、切实可行，针对性、可行性强，得8分； 质量保障措施描述清晰但不够完整，基本合理性，针对性、可行性一般，得6分； 质量保障措施描述简单，合理性、严谨度一般，针对性、可行性一般，得4分； 质量保障措施描述不够清晰，合理性一般，针对性、可行性欠缺，得2分； 其他或未提供不得分。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保密措施（8分）</w:t>
            </w:r>
          </w:p>
        </w:tc>
        <w:tc>
          <w:tcPr>
            <w:tcW w:type="dxa" w:w="2492"/>
          </w:tcPr>
          <w:p>
            <w:pPr>
              <w:pStyle w:val="null3"/>
            </w:pPr>
            <w:r>
              <w:rPr>
                <w:rFonts w:ascii="仿宋_GB2312" w:hAnsi="仿宋_GB2312" w:cs="仿宋_GB2312" w:eastAsia="仿宋_GB2312"/>
              </w:rPr>
              <w:t>保密措施描述严谨、完整合理、切实可行，针对性、可行性强，得8分； 保密措施描述清晰但不够完整，基本合理性，针对性、可行性一般，得6分； 保密措施描述简单，合理性、严谨度一般，针对性、可行性一般，得4分； 保密措施描述不够清晰，合理性一般，针对性、可行性欠缺，得2分； 其他或未提供不得分。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针对本项目拟投入机械、设备情况（8分）</w:t>
            </w:r>
          </w:p>
        </w:tc>
        <w:tc>
          <w:tcPr>
            <w:tcW w:type="dxa" w:w="2492"/>
          </w:tcPr>
          <w:p>
            <w:pPr>
              <w:pStyle w:val="null3"/>
            </w:pPr>
            <w:r>
              <w:rPr>
                <w:rFonts w:ascii="仿宋_GB2312" w:hAnsi="仿宋_GB2312" w:cs="仿宋_GB2312" w:eastAsia="仿宋_GB2312"/>
              </w:rPr>
              <w:t>配置齐全、数量性能满足项目使用需求得8分； 提供的设备简陋，基本满足项目需求得5； 提供的设备简陋得2分； 其他或未提供不得分。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服务承诺（5分）</w:t>
            </w:r>
          </w:p>
        </w:tc>
        <w:tc>
          <w:tcPr>
            <w:tcW w:type="dxa" w:w="2492"/>
          </w:tcPr>
          <w:p>
            <w:pPr>
              <w:pStyle w:val="null3"/>
            </w:pPr>
            <w:r>
              <w:rPr>
                <w:rFonts w:ascii="仿宋_GB2312" w:hAnsi="仿宋_GB2312" w:cs="仿宋_GB2312" w:eastAsia="仿宋_GB2312"/>
              </w:rPr>
              <w:t>承诺内容全面，描述详尽，针对性、可行性强，得5分； 承诺内容较全面，描述较详尽，针对性、可行性一般，得3分； 承诺内容简单笼统，针对性、可行性欠缺，得1分； 其他或未提供不得分。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 （10分）</w:t>
            </w:r>
          </w:p>
        </w:tc>
        <w:tc>
          <w:tcPr>
            <w:tcW w:type="dxa" w:w="2492"/>
          </w:tcPr>
          <w:p>
            <w:pPr>
              <w:pStyle w:val="null3"/>
            </w:pPr>
            <w:r>
              <w:rPr>
                <w:rFonts w:ascii="仿宋_GB2312" w:hAnsi="仿宋_GB2312" w:cs="仿宋_GB2312" w:eastAsia="仿宋_GB2312"/>
              </w:rPr>
              <w:t>具有2022年1月1日以来类似项目业绩，每提供一个得2分，本项最高得10分。 注：以合同或中标通知书复印件加盖公章为依据。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详见附件：响应供应商基本情况表.docx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