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EF20A3">
      <w:pPr>
        <w:keepNext w:val="0"/>
        <w:keepLines w:val="0"/>
        <w:pageBreakBefore w:val="0"/>
        <w:widowControl w:val="0"/>
        <w:numPr>
          <w:ilvl w:val="0"/>
          <w:numId w:val="0"/>
        </w:numPr>
        <w:kinsoku/>
        <w:wordWrap/>
        <w:overflowPunct/>
        <w:topLinePunct w:val="0"/>
        <w:autoSpaceDE w:val="0"/>
        <w:autoSpaceDN w:val="0"/>
        <w:bidi w:val="0"/>
        <w:adjustRightInd w:val="0"/>
        <w:snapToGrid w:val="0"/>
        <w:spacing w:before="0" w:line="480" w:lineRule="auto"/>
        <w:ind w:right="0" w:rightChars="0"/>
        <w:jc w:val="center"/>
        <w:textAlignment w:val="auto"/>
        <w:outlineLvl w:val="0"/>
        <w:rPr>
          <w:rFonts w:hint="eastAsia" w:ascii="宋体" w:hAnsi="宋体" w:eastAsia="宋体" w:cs="宋体"/>
          <w:b/>
          <w:bCs/>
          <w:color w:val="auto"/>
          <w:sz w:val="32"/>
          <w:szCs w:val="32"/>
          <w:highlight w:val="none"/>
          <w:lang w:val="en-US" w:eastAsia="zh-CN"/>
        </w:rPr>
      </w:pPr>
      <w:r>
        <w:rPr>
          <w:rFonts w:hint="eastAsia" w:ascii="宋体" w:hAnsi="宋体" w:cs="宋体"/>
          <w:b/>
          <w:bCs/>
          <w:color w:val="auto"/>
          <w:sz w:val="32"/>
          <w:szCs w:val="32"/>
          <w:highlight w:val="none"/>
          <w:lang w:val="en-US" w:eastAsia="zh-CN"/>
        </w:rPr>
        <w:t>合同参考格式</w:t>
      </w:r>
    </w:p>
    <w:p w14:paraId="102D8244">
      <w:pPr>
        <w:spacing w:after="0" w:line="360" w:lineRule="auto"/>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（注：本合同样本仅供参考，具体条款内容由采购人和成交供应商协商确定，但不得改变采购文件、响应文件、成交通知书等实质性内容。）</w:t>
      </w:r>
    </w:p>
    <w:p w14:paraId="3EE63908">
      <w:pPr>
        <w:spacing w:line="360" w:lineRule="auto"/>
        <w:ind w:firstLine="480" w:firstLineChars="200"/>
        <w:outlineLvl w:val="9"/>
        <w:rPr>
          <w:rFonts w:hint="eastAsia" w:ascii="宋体" w:hAnsi="宋体" w:eastAsia="宋体" w:cs="宋体"/>
          <w:sz w:val="24"/>
          <w:szCs w:val="24"/>
        </w:rPr>
      </w:pPr>
    </w:p>
    <w:p w14:paraId="12AFFD89">
      <w:pPr>
        <w:spacing w:line="360" w:lineRule="auto"/>
        <w:ind w:firstLine="480" w:firstLineChars="200"/>
        <w:outlineLvl w:val="9"/>
        <w:rPr>
          <w:rFonts w:hint="eastAsia" w:ascii="宋体" w:hAnsi="宋体" w:eastAsia="宋体" w:cs="宋体"/>
          <w:sz w:val="24"/>
          <w:szCs w:val="24"/>
        </w:rPr>
      </w:pPr>
      <w:r>
        <w:rPr>
          <w:rFonts w:hint="eastAsia" w:ascii="宋体" w:hAnsi="宋体" w:eastAsia="宋体" w:cs="宋体"/>
          <w:sz w:val="24"/>
          <w:szCs w:val="24"/>
        </w:rPr>
        <w:t>甲方（采购人）：_____________</w:t>
      </w:r>
    </w:p>
    <w:p w14:paraId="5F3175CF">
      <w:pPr>
        <w:spacing w:line="360" w:lineRule="auto"/>
        <w:ind w:left="480" w:leftChars="200"/>
        <w:outlineLvl w:val="9"/>
        <w:rPr>
          <w:rFonts w:hint="eastAsia" w:ascii="宋体" w:hAnsi="宋体" w:eastAsia="宋体" w:cs="宋体"/>
          <w:sz w:val="24"/>
          <w:szCs w:val="24"/>
        </w:rPr>
      </w:pPr>
      <w:r>
        <w:rPr>
          <w:rFonts w:hint="eastAsia" w:ascii="宋体" w:hAnsi="宋体" w:eastAsia="宋体" w:cs="宋体"/>
          <w:sz w:val="24"/>
          <w:szCs w:val="24"/>
        </w:rPr>
        <w:t>甲方住所：___________________</w:t>
      </w:r>
    </w:p>
    <w:p w14:paraId="21604704">
      <w:pPr>
        <w:spacing w:line="360" w:lineRule="auto"/>
        <w:ind w:left="480" w:leftChars="200"/>
        <w:outlineLvl w:val="9"/>
        <w:rPr>
          <w:rFonts w:hint="eastAsia" w:ascii="宋体" w:hAnsi="宋体" w:eastAsia="宋体" w:cs="宋体"/>
          <w:sz w:val="24"/>
          <w:szCs w:val="24"/>
        </w:rPr>
      </w:pPr>
      <w:r>
        <w:rPr>
          <w:rFonts w:hint="eastAsia" w:ascii="宋体" w:hAnsi="宋体" w:eastAsia="宋体" w:cs="宋体"/>
          <w:sz w:val="24"/>
          <w:szCs w:val="24"/>
        </w:rPr>
        <w:t>乙方（中标供应商）：_________</w:t>
      </w:r>
    </w:p>
    <w:p w14:paraId="53412863">
      <w:pPr>
        <w:spacing w:line="360" w:lineRule="auto"/>
        <w:ind w:left="480" w:leftChars="200"/>
        <w:outlineLvl w:val="9"/>
        <w:rPr>
          <w:rFonts w:hint="eastAsia" w:ascii="宋体" w:hAnsi="宋体" w:eastAsia="宋体" w:cs="宋体"/>
          <w:sz w:val="24"/>
          <w:szCs w:val="24"/>
        </w:rPr>
      </w:pPr>
      <w:r>
        <w:rPr>
          <w:rFonts w:hint="eastAsia" w:ascii="宋体" w:hAnsi="宋体" w:eastAsia="宋体" w:cs="宋体"/>
          <w:sz w:val="24"/>
          <w:szCs w:val="24"/>
        </w:rPr>
        <w:t>乙方住所：___________________</w:t>
      </w:r>
    </w:p>
    <w:p w14:paraId="03A92208">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根据《中华人民共和国民法典》</w:t>
      </w:r>
      <w:r>
        <w:rPr>
          <w:rFonts w:hint="eastAsia" w:ascii="宋体" w:hAnsi="宋体" w:cs="宋体"/>
          <w:sz w:val="24"/>
          <w:szCs w:val="24"/>
          <w:lang w:eastAsia="zh-CN"/>
        </w:rPr>
        <w:t>、</w:t>
      </w:r>
      <w:r>
        <w:rPr>
          <w:rFonts w:hint="eastAsia" w:ascii="宋体" w:hAnsi="宋体" w:eastAsia="宋体" w:cs="宋体"/>
          <w:sz w:val="24"/>
          <w:szCs w:val="24"/>
        </w:rPr>
        <w:t>《中华人民共和国政府采购法》及实施条例等有关规定，为确保甲方采购项目的顺利实施，甲、乙双方在平等自愿原则下签订本合同，并共同遵守如下条款：</w:t>
      </w:r>
    </w:p>
    <w:p w14:paraId="5BFDEAFF">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第一条  项目基本情况</w:t>
      </w:r>
    </w:p>
    <w:p w14:paraId="2BE48C98">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1．采购标的：</w:t>
      </w:r>
    </w:p>
    <w:p w14:paraId="2F97C88E">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2．数量：</w:t>
      </w:r>
    </w:p>
    <w:p w14:paraId="0D214136">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第二条  履约期限、地点及方式</w:t>
      </w:r>
    </w:p>
    <w:p w14:paraId="462D38DE">
      <w:pPr>
        <w:spacing w:line="360" w:lineRule="auto"/>
        <w:ind w:firstLine="480" w:firstLineChars="200"/>
        <w:jc w:val="both"/>
        <w:outlineLvl w:val="9"/>
        <w:rPr>
          <w:rFonts w:hint="eastAsia" w:ascii="宋体" w:hAnsi="宋体" w:eastAsia="宋体" w:cs="宋体"/>
          <w:sz w:val="24"/>
          <w:szCs w:val="24"/>
          <w:highlight w:val="yellow"/>
          <w:lang w:eastAsia="zh-CN"/>
        </w:rPr>
      </w:pPr>
      <w:r>
        <w:rPr>
          <w:rFonts w:hint="eastAsia" w:ascii="宋体" w:hAnsi="宋体" w:eastAsia="宋体" w:cs="宋体"/>
          <w:sz w:val="24"/>
          <w:szCs w:val="24"/>
          <w:highlight w:val="none"/>
        </w:rPr>
        <w:t>1．履约期限：</w:t>
      </w:r>
      <w:r>
        <w:rPr>
          <w:rFonts w:hint="eastAsia" w:ascii="宋体" w:hAnsi="宋体" w:cs="宋体"/>
          <w:sz w:val="24"/>
          <w:szCs w:val="24"/>
          <w:highlight w:val="none"/>
          <w:lang w:eastAsia="zh-CN"/>
        </w:rPr>
        <w:t>自签订合同之日起一年</w:t>
      </w:r>
    </w:p>
    <w:p w14:paraId="46CC156B">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2．履约地点：</w:t>
      </w:r>
    </w:p>
    <w:p w14:paraId="332B24A7">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3．履约方式：</w:t>
      </w:r>
    </w:p>
    <w:p w14:paraId="67814A9E">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第三条  质量标准</w:t>
      </w:r>
    </w:p>
    <w:p w14:paraId="5C5E3DB1">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整个项目应符合国家有关行业规范和标准，包括但不限于：</w:t>
      </w:r>
    </w:p>
    <w:p w14:paraId="3492E0FE">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1．……</w:t>
      </w:r>
    </w:p>
    <w:p w14:paraId="13D78294">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第四条  合同价款及支付方式</w:t>
      </w:r>
    </w:p>
    <w:p w14:paraId="13A4F1AF">
      <w:pPr>
        <w:spacing w:line="360" w:lineRule="auto"/>
        <w:ind w:firstLine="480" w:firstLineChars="200"/>
        <w:jc w:val="both"/>
        <w:outlineLvl w:val="9"/>
        <w:rPr>
          <w:rFonts w:hint="eastAsia" w:ascii="宋体" w:hAnsi="宋体" w:eastAsia="宋体" w:cs="宋体"/>
          <w:sz w:val="24"/>
          <w:szCs w:val="24"/>
          <w:highlight w:val="none"/>
        </w:rPr>
      </w:pPr>
      <w:r>
        <w:rPr>
          <w:rFonts w:hint="eastAsia" w:ascii="宋体" w:hAnsi="宋体" w:eastAsia="宋体" w:cs="宋体"/>
          <w:sz w:val="24"/>
          <w:szCs w:val="24"/>
        </w:rPr>
        <w:t>1．合同</w:t>
      </w:r>
      <w:r>
        <w:rPr>
          <w:rFonts w:hint="eastAsia" w:ascii="宋体" w:hAnsi="宋体" w:eastAsia="宋体" w:cs="宋体"/>
          <w:sz w:val="24"/>
          <w:szCs w:val="24"/>
          <w:highlight w:val="none"/>
        </w:rPr>
        <w:t>价款包括：</w:t>
      </w:r>
    </w:p>
    <w:p w14:paraId="4B45ECF3">
      <w:pPr>
        <w:spacing w:line="360" w:lineRule="auto"/>
        <w:ind w:firstLine="480" w:firstLineChars="200"/>
        <w:jc w:val="both"/>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2．支付方式：</w:t>
      </w:r>
    </w:p>
    <w:p w14:paraId="0707C237">
      <w:pPr>
        <w:spacing w:line="360" w:lineRule="auto"/>
        <w:ind w:firstLine="480" w:firstLineChars="200"/>
        <w:jc w:val="both"/>
        <w:outlineLvl w:val="9"/>
        <w:rPr>
          <w:rFonts w:hint="eastAsia" w:ascii="宋体" w:hAnsi="宋体" w:eastAsia="宋体" w:cs="宋体"/>
          <w:sz w:val="24"/>
          <w:szCs w:val="24"/>
          <w:highlight w:val="yellow"/>
          <w:lang w:eastAsia="zh-CN"/>
        </w:rPr>
      </w:pPr>
      <w:r>
        <w:rPr>
          <w:rFonts w:hint="eastAsia" w:ascii="宋体" w:hAnsi="宋体" w:cs="宋体"/>
          <w:sz w:val="24"/>
          <w:szCs w:val="24"/>
          <w:highlight w:val="none"/>
          <w:lang w:eastAsia="zh-CN"/>
        </w:rPr>
        <w:t>合同生效后，乙方提供的正规发票30日内，支付合同总金额的50.00%；乙方提交第一次成果资料后，提供等额正规发票30日内，支付合同总金额的 50.00%。</w:t>
      </w:r>
      <w:bookmarkStart w:id="0" w:name="_GoBack"/>
      <w:bookmarkEnd w:id="0"/>
    </w:p>
    <w:p w14:paraId="1B8A8420">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3．结算方式：银行转账。</w:t>
      </w:r>
    </w:p>
    <w:p w14:paraId="6A46F163">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4．结算单位：由甲方负责结算，乙方须向甲方出具合法有效的完税发票，甲方进行支付结算。</w:t>
      </w:r>
    </w:p>
    <w:p w14:paraId="72364E5C">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第五条  验收标准及条件</w:t>
      </w:r>
    </w:p>
    <w:p w14:paraId="1B42A606">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1．初步验收：</w:t>
      </w:r>
    </w:p>
    <w:p w14:paraId="01D53EEB">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2．最终验收：</w:t>
      </w:r>
    </w:p>
    <w:p w14:paraId="1D81FDF1">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3．验收依据：</w:t>
      </w:r>
    </w:p>
    <w:p w14:paraId="0B2ED449">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（1）招标文件、投标文件、澄清表（函）；</w:t>
      </w:r>
    </w:p>
    <w:p w14:paraId="698A7EC9">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（2）本合同及附件文本；</w:t>
      </w:r>
    </w:p>
    <w:p w14:paraId="61251FC1">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（3）合同签订时国家及行业现行的标准和技术规范。</w:t>
      </w:r>
    </w:p>
    <w:p w14:paraId="13C7740F">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4．中标供应商应向采购人提交项目实施过程中的所有资料，以便采购人日后管理和维护。</w:t>
      </w:r>
    </w:p>
    <w:p w14:paraId="5B542D19">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第六条  知识产权（若有）</w:t>
      </w:r>
    </w:p>
    <w:p w14:paraId="7ABFA99E">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乙方应保证所提供的服务或其任何一部分均不会侵犯任何第三方的专利权、商标权或著作权。</w:t>
      </w:r>
    </w:p>
    <w:p w14:paraId="7CC6015D">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第七条  无产权瑕疵条款（若有）</w:t>
      </w:r>
    </w:p>
    <w:p w14:paraId="3A6B7E80">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乙方保证所提供的服务的所有权完全属于乙方且无任何抵押、查封等产权瑕疵。如有产权瑕疵的，视为乙方违约。乙方应负担由此而产生的一切损失。</w:t>
      </w:r>
    </w:p>
    <w:p w14:paraId="02CA57FF">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第八条  双方的权利和义务</w:t>
      </w:r>
    </w:p>
    <w:p w14:paraId="5E1107E5">
      <w:pPr>
        <w:pStyle w:val="6"/>
        <w:spacing w:before="210" w:after="210" w:line="360" w:lineRule="auto"/>
        <w:ind w:firstLine="640"/>
        <w:outlineLvl w:val="9"/>
        <w:rPr>
          <w:rFonts w:hint="eastAsia" w:ascii="宋体" w:hAnsi="宋体" w:eastAsia="宋体" w:cs="宋体"/>
          <w:b w:val="0"/>
          <w:bCs w:val="0"/>
          <w:sz w:val="24"/>
          <w:szCs w:val="24"/>
        </w:rPr>
      </w:pPr>
      <w:r>
        <w:rPr>
          <w:rFonts w:hint="eastAsia" w:ascii="宋体" w:hAnsi="宋体" w:eastAsia="宋体" w:cs="宋体"/>
          <w:b w:val="0"/>
          <w:bCs w:val="0"/>
          <w:sz w:val="24"/>
          <w:szCs w:val="24"/>
        </w:rPr>
        <w:t>（一）甲方的权利和义务</w:t>
      </w:r>
    </w:p>
    <w:p w14:paraId="05BBB02B">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1．甲方有权对合同规定范围内乙方的服务行为进行监督和检查，拥有监管权。有权定期核对乙方提供服务所配备的人员数量。对甲方认为不合理的部分有权下达整改通知书，并要求乙方限期整改。</w:t>
      </w:r>
    </w:p>
    <w:p w14:paraId="23A3CE88">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2．甲方有权依据双方签订的考评办法对乙方提供的服务进行定期考评。</w:t>
      </w:r>
    </w:p>
    <w:p w14:paraId="26EEDBB2">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3．负责检查监督乙方管理工作的实施及制度的执行情况。</w:t>
      </w:r>
    </w:p>
    <w:p w14:paraId="4CCEC8BD">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4．根据本合同规定，按时向乙方支付应付服务费用。</w:t>
      </w:r>
    </w:p>
    <w:p w14:paraId="391AF581">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5．验收应在甲方和乙方双方共同参加下进行。甲方组成验收小组按国家有关规定、规范进行验收，验收时将会邀请相关的专业人员或机构参与验收。</w:t>
      </w:r>
    </w:p>
    <w:p w14:paraId="6EE197A7">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6．国家法律、法规所规定由甲方承担的其它责任。</w:t>
      </w:r>
    </w:p>
    <w:p w14:paraId="0C8814BB">
      <w:pPr>
        <w:pStyle w:val="6"/>
        <w:spacing w:before="210" w:after="210" w:line="360" w:lineRule="auto"/>
        <w:ind w:firstLine="640"/>
        <w:outlineLvl w:val="9"/>
        <w:rPr>
          <w:rFonts w:hint="eastAsia" w:ascii="宋体" w:hAnsi="宋体" w:eastAsia="宋体" w:cs="宋体"/>
          <w:b w:val="0"/>
          <w:bCs w:val="0"/>
          <w:sz w:val="24"/>
          <w:szCs w:val="24"/>
        </w:rPr>
      </w:pPr>
      <w:r>
        <w:rPr>
          <w:rFonts w:hint="eastAsia" w:ascii="宋体" w:hAnsi="宋体" w:eastAsia="宋体" w:cs="宋体"/>
          <w:b w:val="0"/>
          <w:bCs w:val="0"/>
          <w:sz w:val="24"/>
          <w:szCs w:val="24"/>
        </w:rPr>
        <w:t>（二）乙方的权利和义务</w:t>
      </w:r>
    </w:p>
    <w:p w14:paraId="0895C864">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1．对本合同规定的委托服务范围内的项目享有管理权及服务义务。</w:t>
      </w:r>
    </w:p>
    <w:p w14:paraId="0DEAAF49">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2．根据本合同的规定向甲方收取相关服务费用，并有权在本项目管理范围内管理及合理使用。</w:t>
      </w:r>
    </w:p>
    <w:p w14:paraId="5275E5CC">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3．及时向甲方通告本项目服务范围内有关服务的重大事项，及时配合处理投诉。</w:t>
      </w:r>
    </w:p>
    <w:p w14:paraId="7B31621B">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4．接受项目行业管理部门及政府有关部门的指导，接受甲方的监督。</w:t>
      </w:r>
    </w:p>
    <w:p w14:paraId="432674A9">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5．国家法律、法规所规定由乙方承担的其它责任。</w:t>
      </w:r>
    </w:p>
    <w:p w14:paraId="3B1C4748">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九</w:t>
      </w:r>
      <w:r>
        <w:rPr>
          <w:rFonts w:hint="eastAsia" w:ascii="宋体" w:hAnsi="宋体" w:eastAsia="宋体" w:cs="宋体"/>
          <w:sz w:val="24"/>
          <w:szCs w:val="24"/>
        </w:rPr>
        <w:t>条  违约责任</w:t>
      </w:r>
    </w:p>
    <w:p w14:paraId="4EC976A9">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1．甲乙双方必须遵守本合同并执行合同中的各项规定，保证本合同的正常履行。</w:t>
      </w:r>
    </w:p>
    <w:p w14:paraId="2BADB26B">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5536B36E">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第十条  不可抗力事件处理</w:t>
      </w:r>
    </w:p>
    <w:p w14:paraId="27257DB2">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1．在合同有效期内，任何一方因不可抗力事件导致不能履行合同，则合同履行期可延长，其延长期与不可抗力影响期相同。</w:t>
      </w:r>
    </w:p>
    <w:p w14:paraId="79A629C3">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2．不可抗力事件发生后，应立即通知对方，并寄送有关权威机构出具的证明。</w:t>
      </w:r>
    </w:p>
    <w:p w14:paraId="06387F28">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3．不可抗力事件延续15个日历日以上，双方应通过友好协商，确定是否继续履行合同。</w:t>
      </w:r>
    </w:p>
    <w:p w14:paraId="132BEC05">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第十</w:t>
      </w:r>
      <w:r>
        <w:rPr>
          <w:rFonts w:hint="eastAsia" w:ascii="宋体" w:hAnsi="宋体" w:eastAsia="宋体" w:cs="宋体"/>
          <w:sz w:val="24"/>
          <w:szCs w:val="24"/>
          <w:lang w:val="en-US" w:eastAsia="zh-CN"/>
        </w:rPr>
        <w:t>一</w:t>
      </w:r>
      <w:r>
        <w:rPr>
          <w:rFonts w:hint="eastAsia" w:ascii="宋体" w:hAnsi="宋体" w:eastAsia="宋体" w:cs="宋体"/>
          <w:sz w:val="24"/>
          <w:szCs w:val="24"/>
        </w:rPr>
        <w:t>条  合同的变更和终止</w:t>
      </w:r>
    </w:p>
    <w:p w14:paraId="2CF7053B">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除《中华人民共和国政府采购法》第49条、第50条第二款规定的情形外，本合同一经签订，甲乙双方不得擅自变更、中止或终止合同。</w:t>
      </w:r>
    </w:p>
    <w:p w14:paraId="0846ACBC">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第十</w:t>
      </w:r>
      <w:r>
        <w:rPr>
          <w:rFonts w:hint="eastAsia" w:ascii="宋体" w:hAnsi="宋体" w:eastAsia="宋体" w:cs="宋体"/>
          <w:sz w:val="24"/>
          <w:szCs w:val="24"/>
          <w:lang w:val="en-US" w:eastAsia="zh-CN"/>
        </w:rPr>
        <w:t>二</w:t>
      </w:r>
      <w:r>
        <w:rPr>
          <w:rFonts w:hint="eastAsia" w:ascii="宋体" w:hAnsi="宋体" w:eastAsia="宋体" w:cs="宋体"/>
          <w:sz w:val="24"/>
          <w:szCs w:val="24"/>
        </w:rPr>
        <w:t>条  解决合同纠纷的方式</w:t>
      </w:r>
    </w:p>
    <w:p w14:paraId="4B8D958E">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1．在执行本合同中发生的或与本合同有关的争端，双方应通过友好协商解决，经协商在___天内不能达成协议时，则采取以下第___种方式解决争议：</w:t>
      </w:r>
    </w:p>
    <w:p w14:paraId="0C49D935">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（1）向甲方所在地有管辖权的人民法院提起诉讼；</w:t>
      </w:r>
    </w:p>
    <w:p w14:paraId="50F444F6">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（2）向西安仲裁委员会按其仲裁规则申请仲裁。</w:t>
      </w:r>
    </w:p>
    <w:p w14:paraId="270C14F7">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2．在仲裁期间，本合同应继续履行。</w:t>
      </w:r>
    </w:p>
    <w:p w14:paraId="3118B0AA">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第十</w:t>
      </w:r>
      <w:r>
        <w:rPr>
          <w:rFonts w:hint="eastAsia" w:ascii="宋体" w:hAnsi="宋体" w:eastAsia="宋体" w:cs="宋体"/>
          <w:sz w:val="24"/>
          <w:szCs w:val="24"/>
          <w:lang w:val="en-US" w:eastAsia="zh-CN"/>
        </w:rPr>
        <w:t>三</w:t>
      </w:r>
      <w:r>
        <w:rPr>
          <w:rFonts w:hint="eastAsia" w:ascii="宋体" w:hAnsi="宋体" w:eastAsia="宋体" w:cs="宋体"/>
          <w:sz w:val="24"/>
          <w:szCs w:val="24"/>
        </w:rPr>
        <w:t>条  合同生效及其他</w:t>
      </w:r>
    </w:p>
    <w:p w14:paraId="77D7FC1A">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1．合同经双方法定代表人（单位负责人）或授权委托代理人签名并加盖单位公章并由采购代理机构盖章后生效。</w:t>
      </w:r>
    </w:p>
    <w:p w14:paraId="4BE61BA2">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2．合同执行中涉及采购资金和采购内容修改或补充的，须经政府采购监管部门审批，并签书面补充协议报政府采购监督管理部门备案，方可作为主合同不可分割的一部分。</w:t>
      </w:r>
    </w:p>
    <w:p w14:paraId="1A7C3094">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3．本合同一式</w:t>
      </w:r>
      <w:r>
        <w:rPr>
          <w:rFonts w:hint="eastAsia" w:ascii="宋体" w:hAnsi="宋体" w:eastAsia="宋体" w:cs="宋体"/>
          <w:sz w:val="24"/>
          <w:szCs w:val="24"/>
          <w:lang w:val="en-US" w:eastAsia="zh-CN"/>
        </w:rPr>
        <w:t>肆</w:t>
      </w:r>
      <w:r>
        <w:rPr>
          <w:rFonts w:hint="eastAsia" w:ascii="宋体" w:hAnsi="宋体" w:eastAsia="宋体" w:cs="宋体"/>
          <w:sz w:val="24"/>
          <w:szCs w:val="24"/>
        </w:rPr>
        <w:t>份，自双方签章之日起起效。甲方贰份，乙方贰份，具有同等法律效力。</w:t>
      </w:r>
    </w:p>
    <w:p w14:paraId="3846893B">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第十</w:t>
      </w:r>
      <w:r>
        <w:rPr>
          <w:rFonts w:hint="eastAsia" w:ascii="宋体" w:hAnsi="宋体" w:eastAsia="宋体" w:cs="宋体"/>
          <w:sz w:val="24"/>
          <w:szCs w:val="24"/>
          <w:lang w:val="en-US" w:eastAsia="zh-CN"/>
        </w:rPr>
        <w:t>四</w:t>
      </w:r>
      <w:r>
        <w:rPr>
          <w:rFonts w:hint="eastAsia" w:ascii="宋体" w:hAnsi="宋体" w:eastAsia="宋体" w:cs="宋体"/>
          <w:sz w:val="24"/>
          <w:szCs w:val="24"/>
        </w:rPr>
        <w:t>条  附件</w:t>
      </w:r>
    </w:p>
    <w:p w14:paraId="60983C0F">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1．项目招标文件</w:t>
      </w:r>
    </w:p>
    <w:p w14:paraId="382794CD">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2．项目修改澄清文件</w:t>
      </w:r>
    </w:p>
    <w:p w14:paraId="23A79504">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3．项目投标文件</w:t>
      </w:r>
    </w:p>
    <w:p w14:paraId="1402EBDF">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4．成交通知书</w:t>
      </w:r>
    </w:p>
    <w:p w14:paraId="3E53E9EA">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5．其他</w:t>
      </w:r>
    </w:p>
    <w:p w14:paraId="0C43504E">
      <w:pPr>
        <w:spacing w:line="360" w:lineRule="auto"/>
        <w:jc w:val="both"/>
        <w:outlineLvl w:val="9"/>
        <w:rPr>
          <w:rFonts w:hint="eastAsia" w:ascii="宋体" w:hAnsi="宋体" w:eastAsia="宋体" w:cs="宋体"/>
          <w:sz w:val="24"/>
          <w:szCs w:val="24"/>
        </w:rPr>
      </w:pPr>
    </w:p>
    <w:tbl>
      <w:tblPr>
        <w:tblStyle w:val="4"/>
        <w:tblW w:w="88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17"/>
        <w:gridCol w:w="1917"/>
        <w:gridCol w:w="2388"/>
        <w:gridCol w:w="2046"/>
      </w:tblGrid>
      <w:tr w14:paraId="33F6BC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517" w:type="dxa"/>
            <w:noWrap w:val="0"/>
            <w:vAlign w:val="center"/>
          </w:tcPr>
          <w:p w14:paraId="44B44791">
            <w:pPr>
              <w:spacing w:line="360" w:lineRule="auto"/>
              <w:jc w:val="center"/>
              <w:outlineLvl w:val="9"/>
              <w:rPr>
                <w:rFonts w:hint="eastAsia" w:ascii="宋体" w:hAnsi="宋体" w:eastAsia="宋体" w:cs="宋体"/>
                <w:sz w:val="24"/>
                <w:szCs w:val="24"/>
              </w:rPr>
            </w:pPr>
            <w:r>
              <w:rPr>
                <w:rFonts w:hint="eastAsia" w:ascii="宋体" w:hAnsi="宋体" w:eastAsia="宋体" w:cs="宋体"/>
                <w:sz w:val="24"/>
                <w:szCs w:val="24"/>
              </w:rPr>
              <w:t>甲方（盖章）：</w:t>
            </w:r>
          </w:p>
        </w:tc>
        <w:tc>
          <w:tcPr>
            <w:tcW w:w="1917" w:type="dxa"/>
            <w:noWrap w:val="0"/>
            <w:vAlign w:val="center"/>
          </w:tcPr>
          <w:p w14:paraId="4AF7EFDF">
            <w:pPr>
              <w:spacing w:line="360" w:lineRule="auto"/>
              <w:jc w:val="center"/>
              <w:outlineLvl w:val="9"/>
              <w:rPr>
                <w:rFonts w:hint="eastAsia" w:ascii="宋体" w:hAnsi="宋体" w:eastAsia="宋体" w:cs="宋体"/>
                <w:sz w:val="24"/>
                <w:szCs w:val="24"/>
              </w:rPr>
            </w:pPr>
          </w:p>
        </w:tc>
        <w:tc>
          <w:tcPr>
            <w:tcW w:w="2388" w:type="dxa"/>
            <w:noWrap w:val="0"/>
            <w:vAlign w:val="center"/>
          </w:tcPr>
          <w:p w14:paraId="6E5B0324">
            <w:pPr>
              <w:spacing w:line="360" w:lineRule="auto"/>
              <w:jc w:val="center"/>
              <w:outlineLvl w:val="9"/>
              <w:rPr>
                <w:rFonts w:hint="eastAsia" w:ascii="宋体" w:hAnsi="宋体" w:eastAsia="宋体" w:cs="宋体"/>
                <w:sz w:val="24"/>
                <w:szCs w:val="24"/>
              </w:rPr>
            </w:pPr>
            <w:r>
              <w:rPr>
                <w:rFonts w:hint="eastAsia" w:ascii="宋体" w:hAnsi="宋体" w:eastAsia="宋体" w:cs="宋体"/>
                <w:sz w:val="24"/>
                <w:szCs w:val="24"/>
              </w:rPr>
              <w:t>乙方（盖章）：</w:t>
            </w:r>
          </w:p>
        </w:tc>
        <w:tc>
          <w:tcPr>
            <w:tcW w:w="2046" w:type="dxa"/>
            <w:noWrap w:val="0"/>
            <w:vAlign w:val="center"/>
          </w:tcPr>
          <w:p w14:paraId="0443AFA4">
            <w:pPr>
              <w:spacing w:line="360" w:lineRule="auto"/>
              <w:jc w:val="center"/>
              <w:outlineLvl w:val="9"/>
              <w:rPr>
                <w:rFonts w:hint="eastAsia" w:ascii="宋体" w:hAnsi="宋体" w:eastAsia="宋体" w:cs="宋体"/>
                <w:sz w:val="24"/>
                <w:szCs w:val="24"/>
              </w:rPr>
            </w:pPr>
          </w:p>
        </w:tc>
      </w:tr>
      <w:tr w14:paraId="770F9A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517" w:type="dxa"/>
            <w:noWrap w:val="0"/>
            <w:vAlign w:val="center"/>
          </w:tcPr>
          <w:p w14:paraId="0B5BEF3C">
            <w:pPr>
              <w:spacing w:line="360" w:lineRule="auto"/>
              <w:jc w:val="center"/>
              <w:outlineLvl w:val="9"/>
              <w:rPr>
                <w:rFonts w:hint="eastAsia" w:ascii="宋体" w:hAnsi="宋体" w:eastAsia="宋体" w:cs="宋体"/>
                <w:sz w:val="24"/>
                <w:szCs w:val="24"/>
              </w:rPr>
            </w:pPr>
            <w:r>
              <w:rPr>
                <w:rFonts w:hint="eastAsia" w:ascii="宋体" w:hAnsi="宋体" w:eastAsia="宋体" w:cs="宋体"/>
                <w:sz w:val="24"/>
                <w:szCs w:val="24"/>
              </w:rPr>
              <w:t>法定代表人</w:t>
            </w:r>
          </w:p>
          <w:p w14:paraId="4F33275D">
            <w:pPr>
              <w:spacing w:line="360" w:lineRule="auto"/>
              <w:jc w:val="center"/>
              <w:outlineLvl w:val="9"/>
              <w:rPr>
                <w:rFonts w:hint="eastAsia" w:ascii="宋体" w:hAnsi="宋体" w:eastAsia="宋体" w:cs="宋体"/>
                <w:sz w:val="24"/>
                <w:szCs w:val="24"/>
              </w:rPr>
            </w:pPr>
            <w:r>
              <w:rPr>
                <w:rFonts w:hint="eastAsia" w:ascii="宋体" w:hAnsi="宋体" w:eastAsia="宋体" w:cs="宋体"/>
                <w:sz w:val="24"/>
                <w:szCs w:val="24"/>
              </w:rPr>
              <w:t>（委托代理人）：</w:t>
            </w:r>
          </w:p>
        </w:tc>
        <w:tc>
          <w:tcPr>
            <w:tcW w:w="1917" w:type="dxa"/>
            <w:noWrap w:val="0"/>
            <w:vAlign w:val="center"/>
          </w:tcPr>
          <w:p w14:paraId="3210DA44">
            <w:pPr>
              <w:spacing w:line="360" w:lineRule="auto"/>
              <w:jc w:val="center"/>
              <w:outlineLvl w:val="9"/>
              <w:rPr>
                <w:rFonts w:hint="eastAsia" w:ascii="宋体" w:hAnsi="宋体" w:eastAsia="宋体" w:cs="宋体"/>
                <w:sz w:val="24"/>
                <w:szCs w:val="24"/>
              </w:rPr>
            </w:pPr>
          </w:p>
        </w:tc>
        <w:tc>
          <w:tcPr>
            <w:tcW w:w="2388" w:type="dxa"/>
            <w:noWrap w:val="0"/>
            <w:vAlign w:val="center"/>
          </w:tcPr>
          <w:p w14:paraId="6D7D3EE0">
            <w:pPr>
              <w:spacing w:line="360" w:lineRule="auto"/>
              <w:jc w:val="center"/>
              <w:outlineLvl w:val="9"/>
              <w:rPr>
                <w:rFonts w:hint="eastAsia" w:ascii="宋体" w:hAnsi="宋体" w:eastAsia="宋体" w:cs="宋体"/>
                <w:sz w:val="24"/>
                <w:szCs w:val="24"/>
              </w:rPr>
            </w:pPr>
            <w:r>
              <w:rPr>
                <w:rFonts w:hint="eastAsia" w:ascii="宋体" w:hAnsi="宋体" w:eastAsia="宋体" w:cs="宋体"/>
                <w:sz w:val="24"/>
                <w:szCs w:val="24"/>
              </w:rPr>
              <w:t>法定代表人</w:t>
            </w:r>
          </w:p>
          <w:p w14:paraId="44FFB364">
            <w:pPr>
              <w:spacing w:line="360" w:lineRule="auto"/>
              <w:jc w:val="center"/>
              <w:outlineLvl w:val="9"/>
              <w:rPr>
                <w:rFonts w:hint="eastAsia" w:ascii="宋体" w:hAnsi="宋体" w:eastAsia="宋体" w:cs="宋体"/>
                <w:sz w:val="24"/>
                <w:szCs w:val="24"/>
              </w:rPr>
            </w:pPr>
            <w:r>
              <w:rPr>
                <w:rFonts w:hint="eastAsia" w:ascii="宋体" w:hAnsi="宋体" w:eastAsia="宋体" w:cs="宋体"/>
                <w:sz w:val="24"/>
                <w:szCs w:val="24"/>
              </w:rPr>
              <w:t>（委托代理人）：</w:t>
            </w:r>
          </w:p>
        </w:tc>
        <w:tc>
          <w:tcPr>
            <w:tcW w:w="2046" w:type="dxa"/>
            <w:noWrap w:val="0"/>
            <w:vAlign w:val="center"/>
          </w:tcPr>
          <w:p w14:paraId="6D428251">
            <w:pPr>
              <w:spacing w:line="360" w:lineRule="auto"/>
              <w:jc w:val="center"/>
              <w:outlineLvl w:val="9"/>
              <w:rPr>
                <w:rFonts w:hint="eastAsia" w:ascii="宋体" w:hAnsi="宋体" w:eastAsia="宋体" w:cs="宋体"/>
                <w:sz w:val="24"/>
                <w:szCs w:val="24"/>
              </w:rPr>
            </w:pPr>
          </w:p>
        </w:tc>
      </w:tr>
      <w:tr w14:paraId="3802C7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517" w:type="dxa"/>
            <w:noWrap w:val="0"/>
            <w:vAlign w:val="center"/>
          </w:tcPr>
          <w:p w14:paraId="5B87ED18">
            <w:pPr>
              <w:spacing w:line="360" w:lineRule="auto"/>
              <w:jc w:val="center"/>
              <w:outlineLvl w:val="9"/>
              <w:rPr>
                <w:rFonts w:hint="eastAsia" w:ascii="宋体" w:hAnsi="宋体" w:eastAsia="宋体" w:cs="宋体"/>
                <w:sz w:val="24"/>
                <w:szCs w:val="24"/>
              </w:rPr>
            </w:pPr>
            <w:r>
              <w:rPr>
                <w:rFonts w:hint="eastAsia" w:ascii="宋体" w:hAnsi="宋体" w:eastAsia="宋体" w:cs="宋体"/>
                <w:sz w:val="24"/>
                <w:szCs w:val="24"/>
              </w:rPr>
              <w:t>地    址：</w:t>
            </w:r>
          </w:p>
        </w:tc>
        <w:tc>
          <w:tcPr>
            <w:tcW w:w="1917" w:type="dxa"/>
            <w:noWrap w:val="0"/>
            <w:vAlign w:val="center"/>
          </w:tcPr>
          <w:p w14:paraId="14783D3D">
            <w:pPr>
              <w:spacing w:line="360" w:lineRule="auto"/>
              <w:jc w:val="center"/>
              <w:outlineLvl w:val="9"/>
              <w:rPr>
                <w:rFonts w:hint="eastAsia" w:ascii="宋体" w:hAnsi="宋体" w:eastAsia="宋体" w:cs="宋体"/>
                <w:sz w:val="24"/>
                <w:szCs w:val="24"/>
              </w:rPr>
            </w:pPr>
          </w:p>
        </w:tc>
        <w:tc>
          <w:tcPr>
            <w:tcW w:w="2388" w:type="dxa"/>
            <w:noWrap w:val="0"/>
            <w:vAlign w:val="center"/>
          </w:tcPr>
          <w:p w14:paraId="3150503B">
            <w:pPr>
              <w:spacing w:line="360" w:lineRule="auto"/>
              <w:jc w:val="center"/>
              <w:outlineLvl w:val="9"/>
              <w:rPr>
                <w:rFonts w:hint="eastAsia" w:ascii="宋体" w:hAnsi="宋体" w:eastAsia="宋体" w:cs="宋体"/>
                <w:sz w:val="24"/>
                <w:szCs w:val="24"/>
              </w:rPr>
            </w:pPr>
            <w:r>
              <w:rPr>
                <w:rFonts w:hint="eastAsia" w:ascii="宋体" w:hAnsi="宋体" w:eastAsia="宋体" w:cs="宋体"/>
                <w:sz w:val="24"/>
                <w:szCs w:val="24"/>
              </w:rPr>
              <w:t>地    址：</w:t>
            </w:r>
          </w:p>
        </w:tc>
        <w:tc>
          <w:tcPr>
            <w:tcW w:w="2046" w:type="dxa"/>
            <w:noWrap w:val="0"/>
            <w:vAlign w:val="center"/>
          </w:tcPr>
          <w:p w14:paraId="114EC9AA">
            <w:pPr>
              <w:spacing w:line="360" w:lineRule="auto"/>
              <w:jc w:val="center"/>
              <w:outlineLvl w:val="9"/>
              <w:rPr>
                <w:rFonts w:hint="eastAsia" w:ascii="宋体" w:hAnsi="宋体" w:eastAsia="宋体" w:cs="宋体"/>
                <w:sz w:val="24"/>
                <w:szCs w:val="24"/>
              </w:rPr>
            </w:pPr>
          </w:p>
        </w:tc>
      </w:tr>
      <w:tr w14:paraId="19B9F7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517" w:type="dxa"/>
            <w:noWrap w:val="0"/>
            <w:vAlign w:val="center"/>
          </w:tcPr>
          <w:p w14:paraId="4DD677DA">
            <w:pPr>
              <w:spacing w:line="360" w:lineRule="auto"/>
              <w:jc w:val="center"/>
              <w:outlineLvl w:val="9"/>
              <w:rPr>
                <w:rFonts w:hint="eastAsia" w:ascii="宋体" w:hAnsi="宋体" w:eastAsia="宋体" w:cs="宋体"/>
                <w:sz w:val="24"/>
                <w:szCs w:val="24"/>
              </w:rPr>
            </w:pPr>
            <w:r>
              <w:rPr>
                <w:rFonts w:hint="eastAsia" w:ascii="宋体" w:hAnsi="宋体" w:eastAsia="宋体" w:cs="宋体"/>
                <w:sz w:val="24"/>
                <w:szCs w:val="24"/>
              </w:rPr>
              <w:t>开户银行：</w:t>
            </w:r>
          </w:p>
        </w:tc>
        <w:tc>
          <w:tcPr>
            <w:tcW w:w="1917" w:type="dxa"/>
            <w:noWrap w:val="0"/>
            <w:vAlign w:val="center"/>
          </w:tcPr>
          <w:p w14:paraId="2254990E">
            <w:pPr>
              <w:spacing w:line="360" w:lineRule="auto"/>
              <w:jc w:val="center"/>
              <w:outlineLvl w:val="9"/>
              <w:rPr>
                <w:rFonts w:hint="eastAsia" w:ascii="宋体" w:hAnsi="宋体" w:eastAsia="宋体" w:cs="宋体"/>
                <w:sz w:val="24"/>
                <w:szCs w:val="24"/>
              </w:rPr>
            </w:pPr>
          </w:p>
        </w:tc>
        <w:tc>
          <w:tcPr>
            <w:tcW w:w="2388" w:type="dxa"/>
            <w:noWrap w:val="0"/>
            <w:vAlign w:val="center"/>
          </w:tcPr>
          <w:p w14:paraId="4AAA9F61">
            <w:pPr>
              <w:spacing w:line="360" w:lineRule="auto"/>
              <w:jc w:val="center"/>
              <w:outlineLvl w:val="9"/>
              <w:rPr>
                <w:rFonts w:hint="eastAsia" w:ascii="宋体" w:hAnsi="宋体" w:eastAsia="宋体" w:cs="宋体"/>
                <w:sz w:val="24"/>
                <w:szCs w:val="24"/>
              </w:rPr>
            </w:pPr>
            <w:r>
              <w:rPr>
                <w:rFonts w:hint="eastAsia" w:ascii="宋体" w:hAnsi="宋体" w:eastAsia="宋体" w:cs="宋体"/>
                <w:sz w:val="24"/>
                <w:szCs w:val="24"/>
              </w:rPr>
              <w:t>开户银行：</w:t>
            </w:r>
          </w:p>
        </w:tc>
        <w:tc>
          <w:tcPr>
            <w:tcW w:w="2046" w:type="dxa"/>
            <w:noWrap w:val="0"/>
            <w:vAlign w:val="center"/>
          </w:tcPr>
          <w:p w14:paraId="621E4E9C">
            <w:pPr>
              <w:spacing w:line="360" w:lineRule="auto"/>
              <w:jc w:val="center"/>
              <w:outlineLvl w:val="9"/>
              <w:rPr>
                <w:rFonts w:hint="eastAsia" w:ascii="宋体" w:hAnsi="宋体" w:eastAsia="宋体" w:cs="宋体"/>
                <w:sz w:val="24"/>
                <w:szCs w:val="24"/>
              </w:rPr>
            </w:pPr>
          </w:p>
        </w:tc>
      </w:tr>
      <w:tr w14:paraId="43D483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517" w:type="dxa"/>
            <w:noWrap w:val="0"/>
            <w:vAlign w:val="center"/>
          </w:tcPr>
          <w:p w14:paraId="3ADCD404">
            <w:pPr>
              <w:spacing w:line="360" w:lineRule="auto"/>
              <w:jc w:val="center"/>
              <w:outlineLvl w:val="9"/>
              <w:rPr>
                <w:rFonts w:hint="eastAsia" w:ascii="宋体" w:hAnsi="宋体" w:eastAsia="宋体" w:cs="宋体"/>
                <w:sz w:val="24"/>
                <w:szCs w:val="24"/>
              </w:rPr>
            </w:pPr>
            <w:r>
              <w:rPr>
                <w:rFonts w:hint="eastAsia" w:ascii="宋体" w:hAnsi="宋体" w:eastAsia="宋体" w:cs="宋体"/>
                <w:sz w:val="24"/>
                <w:szCs w:val="24"/>
              </w:rPr>
              <w:t>银行</w:t>
            </w:r>
            <w:r>
              <w:rPr>
                <w:rFonts w:hint="eastAsia" w:ascii="宋体" w:hAnsi="宋体" w:eastAsia="宋体" w:cs="宋体"/>
                <w:sz w:val="24"/>
                <w:szCs w:val="24"/>
                <w:lang w:val="en-US" w:eastAsia="zh-CN"/>
              </w:rPr>
              <w:t>账</w:t>
            </w:r>
            <w:r>
              <w:rPr>
                <w:rFonts w:hint="eastAsia" w:ascii="宋体" w:hAnsi="宋体" w:eastAsia="宋体" w:cs="宋体"/>
                <w:sz w:val="24"/>
                <w:szCs w:val="24"/>
              </w:rPr>
              <w:t>号：</w:t>
            </w:r>
          </w:p>
        </w:tc>
        <w:tc>
          <w:tcPr>
            <w:tcW w:w="1917" w:type="dxa"/>
            <w:noWrap w:val="0"/>
            <w:vAlign w:val="center"/>
          </w:tcPr>
          <w:p w14:paraId="67EF741D">
            <w:pPr>
              <w:spacing w:line="360" w:lineRule="auto"/>
              <w:jc w:val="center"/>
              <w:outlineLvl w:val="9"/>
              <w:rPr>
                <w:rFonts w:hint="eastAsia" w:ascii="宋体" w:hAnsi="宋体" w:eastAsia="宋体" w:cs="宋体"/>
                <w:sz w:val="24"/>
                <w:szCs w:val="24"/>
              </w:rPr>
            </w:pPr>
          </w:p>
        </w:tc>
        <w:tc>
          <w:tcPr>
            <w:tcW w:w="2388" w:type="dxa"/>
            <w:noWrap w:val="0"/>
            <w:vAlign w:val="center"/>
          </w:tcPr>
          <w:p w14:paraId="755AA2ED">
            <w:pPr>
              <w:spacing w:line="360" w:lineRule="auto"/>
              <w:jc w:val="center"/>
              <w:outlineLvl w:val="9"/>
              <w:rPr>
                <w:rFonts w:hint="eastAsia" w:ascii="宋体" w:hAnsi="宋体" w:eastAsia="宋体" w:cs="宋体"/>
                <w:sz w:val="24"/>
                <w:szCs w:val="24"/>
              </w:rPr>
            </w:pPr>
            <w:r>
              <w:rPr>
                <w:rFonts w:hint="eastAsia" w:ascii="宋体" w:hAnsi="宋体" w:eastAsia="宋体" w:cs="宋体"/>
                <w:sz w:val="24"/>
                <w:szCs w:val="24"/>
              </w:rPr>
              <w:t>银行</w:t>
            </w:r>
            <w:r>
              <w:rPr>
                <w:rFonts w:hint="eastAsia" w:ascii="宋体" w:hAnsi="宋体" w:eastAsia="宋体" w:cs="宋体"/>
                <w:sz w:val="24"/>
                <w:szCs w:val="24"/>
                <w:lang w:val="en-US" w:eastAsia="zh-CN"/>
              </w:rPr>
              <w:t>账</w:t>
            </w:r>
            <w:r>
              <w:rPr>
                <w:rFonts w:hint="eastAsia" w:ascii="宋体" w:hAnsi="宋体" w:eastAsia="宋体" w:cs="宋体"/>
                <w:sz w:val="24"/>
                <w:szCs w:val="24"/>
              </w:rPr>
              <w:t>号：</w:t>
            </w:r>
          </w:p>
        </w:tc>
        <w:tc>
          <w:tcPr>
            <w:tcW w:w="2046" w:type="dxa"/>
            <w:noWrap w:val="0"/>
            <w:vAlign w:val="center"/>
          </w:tcPr>
          <w:p w14:paraId="58BBE8D6">
            <w:pPr>
              <w:spacing w:line="360" w:lineRule="auto"/>
              <w:jc w:val="center"/>
              <w:outlineLvl w:val="9"/>
              <w:rPr>
                <w:rFonts w:hint="eastAsia" w:ascii="宋体" w:hAnsi="宋体" w:eastAsia="宋体" w:cs="宋体"/>
                <w:sz w:val="24"/>
                <w:szCs w:val="24"/>
              </w:rPr>
            </w:pPr>
          </w:p>
        </w:tc>
      </w:tr>
      <w:tr w14:paraId="5751D7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517" w:type="dxa"/>
            <w:noWrap w:val="0"/>
            <w:vAlign w:val="center"/>
          </w:tcPr>
          <w:p w14:paraId="2BF6F8AD">
            <w:pPr>
              <w:spacing w:line="360" w:lineRule="auto"/>
              <w:jc w:val="center"/>
              <w:outlineLvl w:val="9"/>
              <w:rPr>
                <w:rFonts w:hint="eastAsia" w:ascii="宋体" w:hAnsi="宋体" w:eastAsia="宋体" w:cs="宋体"/>
                <w:sz w:val="24"/>
                <w:szCs w:val="24"/>
              </w:rPr>
            </w:pPr>
            <w:r>
              <w:rPr>
                <w:rFonts w:hint="eastAsia" w:ascii="宋体" w:hAnsi="宋体" w:eastAsia="宋体" w:cs="宋体"/>
                <w:sz w:val="24"/>
                <w:szCs w:val="24"/>
              </w:rPr>
              <w:t>电    话：</w:t>
            </w:r>
          </w:p>
        </w:tc>
        <w:tc>
          <w:tcPr>
            <w:tcW w:w="1917" w:type="dxa"/>
            <w:noWrap w:val="0"/>
            <w:vAlign w:val="center"/>
          </w:tcPr>
          <w:p w14:paraId="1826FE34">
            <w:pPr>
              <w:spacing w:line="360" w:lineRule="auto"/>
              <w:jc w:val="center"/>
              <w:outlineLvl w:val="9"/>
              <w:rPr>
                <w:rFonts w:hint="eastAsia" w:ascii="宋体" w:hAnsi="宋体" w:eastAsia="宋体" w:cs="宋体"/>
                <w:sz w:val="24"/>
                <w:szCs w:val="24"/>
              </w:rPr>
            </w:pPr>
          </w:p>
        </w:tc>
        <w:tc>
          <w:tcPr>
            <w:tcW w:w="2388" w:type="dxa"/>
            <w:noWrap w:val="0"/>
            <w:vAlign w:val="center"/>
          </w:tcPr>
          <w:p w14:paraId="37F4BC2F">
            <w:pPr>
              <w:spacing w:line="360" w:lineRule="auto"/>
              <w:jc w:val="center"/>
              <w:outlineLvl w:val="9"/>
              <w:rPr>
                <w:rFonts w:hint="eastAsia" w:ascii="宋体" w:hAnsi="宋体" w:eastAsia="宋体" w:cs="宋体"/>
                <w:sz w:val="24"/>
                <w:szCs w:val="24"/>
              </w:rPr>
            </w:pPr>
            <w:r>
              <w:rPr>
                <w:rFonts w:hint="eastAsia" w:ascii="宋体" w:hAnsi="宋体" w:eastAsia="宋体" w:cs="宋体"/>
                <w:sz w:val="24"/>
                <w:szCs w:val="24"/>
              </w:rPr>
              <w:t>电    话：</w:t>
            </w:r>
          </w:p>
        </w:tc>
        <w:tc>
          <w:tcPr>
            <w:tcW w:w="2046" w:type="dxa"/>
            <w:noWrap w:val="0"/>
            <w:vAlign w:val="center"/>
          </w:tcPr>
          <w:p w14:paraId="7AE061E3">
            <w:pPr>
              <w:spacing w:line="360" w:lineRule="auto"/>
              <w:jc w:val="center"/>
              <w:outlineLvl w:val="9"/>
              <w:rPr>
                <w:rFonts w:hint="eastAsia" w:ascii="宋体" w:hAnsi="宋体" w:eastAsia="宋体" w:cs="宋体"/>
                <w:sz w:val="24"/>
                <w:szCs w:val="24"/>
              </w:rPr>
            </w:pPr>
          </w:p>
        </w:tc>
      </w:tr>
      <w:tr w14:paraId="532A1B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517" w:type="dxa"/>
            <w:noWrap w:val="0"/>
            <w:vAlign w:val="center"/>
          </w:tcPr>
          <w:p w14:paraId="3765F8A2">
            <w:pPr>
              <w:spacing w:line="360" w:lineRule="auto"/>
              <w:jc w:val="center"/>
              <w:outlineLvl w:val="9"/>
              <w:rPr>
                <w:rFonts w:hint="eastAsia" w:ascii="宋体" w:hAnsi="宋体" w:eastAsia="宋体" w:cs="宋体"/>
                <w:sz w:val="24"/>
                <w:szCs w:val="24"/>
              </w:rPr>
            </w:pPr>
            <w:r>
              <w:rPr>
                <w:rFonts w:hint="eastAsia" w:ascii="宋体" w:hAnsi="宋体" w:eastAsia="宋体" w:cs="宋体"/>
                <w:sz w:val="24"/>
                <w:szCs w:val="24"/>
              </w:rPr>
              <w:t>传    真：</w:t>
            </w:r>
          </w:p>
        </w:tc>
        <w:tc>
          <w:tcPr>
            <w:tcW w:w="1917" w:type="dxa"/>
            <w:noWrap w:val="0"/>
            <w:vAlign w:val="center"/>
          </w:tcPr>
          <w:p w14:paraId="2084BE93">
            <w:pPr>
              <w:spacing w:line="360" w:lineRule="auto"/>
              <w:jc w:val="center"/>
              <w:outlineLvl w:val="9"/>
              <w:rPr>
                <w:rFonts w:hint="eastAsia" w:ascii="宋体" w:hAnsi="宋体" w:eastAsia="宋体" w:cs="宋体"/>
                <w:sz w:val="24"/>
                <w:szCs w:val="24"/>
              </w:rPr>
            </w:pPr>
          </w:p>
        </w:tc>
        <w:tc>
          <w:tcPr>
            <w:tcW w:w="2388" w:type="dxa"/>
            <w:noWrap w:val="0"/>
            <w:vAlign w:val="center"/>
          </w:tcPr>
          <w:p w14:paraId="50A96AFB">
            <w:pPr>
              <w:spacing w:line="360" w:lineRule="auto"/>
              <w:jc w:val="center"/>
              <w:outlineLvl w:val="9"/>
              <w:rPr>
                <w:rFonts w:hint="eastAsia" w:ascii="宋体" w:hAnsi="宋体" w:eastAsia="宋体" w:cs="宋体"/>
                <w:sz w:val="24"/>
                <w:szCs w:val="24"/>
              </w:rPr>
            </w:pPr>
            <w:r>
              <w:rPr>
                <w:rFonts w:hint="eastAsia" w:ascii="宋体" w:hAnsi="宋体" w:eastAsia="宋体" w:cs="宋体"/>
                <w:sz w:val="24"/>
                <w:szCs w:val="24"/>
              </w:rPr>
              <w:t>传    真：</w:t>
            </w:r>
          </w:p>
        </w:tc>
        <w:tc>
          <w:tcPr>
            <w:tcW w:w="2046" w:type="dxa"/>
            <w:noWrap w:val="0"/>
            <w:vAlign w:val="center"/>
          </w:tcPr>
          <w:p w14:paraId="686D1365">
            <w:pPr>
              <w:spacing w:line="360" w:lineRule="auto"/>
              <w:jc w:val="center"/>
              <w:outlineLvl w:val="9"/>
              <w:rPr>
                <w:rFonts w:hint="eastAsia" w:ascii="宋体" w:hAnsi="宋体" w:eastAsia="宋体" w:cs="宋体"/>
                <w:sz w:val="24"/>
                <w:szCs w:val="24"/>
              </w:rPr>
            </w:pPr>
          </w:p>
        </w:tc>
      </w:tr>
      <w:tr w14:paraId="70047E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517" w:type="dxa"/>
            <w:noWrap w:val="0"/>
            <w:vAlign w:val="center"/>
          </w:tcPr>
          <w:p w14:paraId="5D45E6F3">
            <w:pPr>
              <w:spacing w:line="360" w:lineRule="auto"/>
              <w:jc w:val="center"/>
              <w:outlineLvl w:val="9"/>
              <w:rPr>
                <w:rFonts w:hint="eastAsia" w:ascii="宋体" w:hAnsi="宋体" w:eastAsia="宋体" w:cs="宋体"/>
                <w:sz w:val="24"/>
                <w:szCs w:val="24"/>
              </w:rPr>
            </w:pPr>
            <w:r>
              <w:rPr>
                <w:rFonts w:hint="eastAsia" w:ascii="宋体" w:hAnsi="宋体" w:eastAsia="宋体" w:cs="宋体"/>
                <w:sz w:val="24"/>
                <w:szCs w:val="24"/>
              </w:rPr>
              <w:t>签约日期：</w:t>
            </w:r>
          </w:p>
        </w:tc>
        <w:tc>
          <w:tcPr>
            <w:tcW w:w="1917" w:type="dxa"/>
            <w:noWrap w:val="0"/>
            <w:vAlign w:val="center"/>
          </w:tcPr>
          <w:p w14:paraId="7F589DBC">
            <w:pPr>
              <w:spacing w:line="360" w:lineRule="auto"/>
              <w:jc w:val="center"/>
              <w:outlineLvl w:val="9"/>
              <w:rPr>
                <w:rFonts w:hint="eastAsia" w:ascii="宋体" w:hAnsi="宋体" w:eastAsia="宋体" w:cs="宋体"/>
                <w:sz w:val="24"/>
                <w:szCs w:val="24"/>
              </w:rPr>
            </w:pPr>
            <w:r>
              <w:rPr>
                <w:rFonts w:hint="eastAsia" w:ascii="宋体" w:hAnsi="宋体" w:eastAsia="宋体" w:cs="宋体"/>
                <w:sz w:val="24"/>
                <w:szCs w:val="24"/>
              </w:rPr>
              <w:t>年 月 日</w:t>
            </w:r>
          </w:p>
        </w:tc>
        <w:tc>
          <w:tcPr>
            <w:tcW w:w="2388" w:type="dxa"/>
            <w:noWrap w:val="0"/>
            <w:vAlign w:val="center"/>
          </w:tcPr>
          <w:p w14:paraId="6401F8FD">
            <w:pPr>
              <w:spacing w:line="360" w:lineRule="auto"/>
              <w:jc w:val="center"/>
              <w:outlineLvl w:val="9"/>
              <w:rPr>
                <w:rFonts w:hint="eastAsia" w:ascii="宋体" w:hAnsi="宋体" w:eastAsia="宋体" w:cs="宋体"/>
                <w:sz w:val="24"/>
                <w:szCs w:val="24"/>
              </w:rPr>
            </w:pPr>
            <w:r>
              <w:rPr>
                <w:rFonts w:hint="eastAsia" w:ascii="宋体" w:hAnsi="宋体" w:eastAsia="宋体" w:cs="宋体"/>
                <w:sz w:val="24"/>
                <w:szCs w:val="24"/>
              </w:rPr>
              <w:t>签约日期：</w:t>
            </w:r>
          </w:p>
        </w:tc>
        <w:tc>
          <w:tcPr>
            <w:tcW w:w="2046" w:type="dxa"/>
            <w:noWrap w:val="0"/>
            <w:vAlign w:val="center"/>
          </w:tcPr>
          <w:p w14:paraId="6C592838">
            <w:pPr>
              <w:spacing w:line="360" w:lineRule="auto"/>
              <w:jc w:val="center"/>
              <w:outlineLvl w:val="9"/>
              <w:rPr>
                <w:rFonts w:hint="eastAsia" w:ascii="宋体" w:hAnsi="宋体" w:eastAsia="宋体" w:cs="宋体"/>
                <w:sz w:val="24"/>
                <w:szCs w:val="24"/>
              </w:rPr>
            </w:pPr>
            <w:r>
              <w:rPr>
                <w:rFonts w:hint="eastAsia" w:ascii="宋体" w:hAnsi="宋体" w:eastAsia="宋体" w:cs="宋体"/>
                <w:sz w:val="24"/>
                <w:szCs w:val="24"/>
              </w:rPr>
              <w:t>年 月 日</w:t>
            </w:r>
          </w:p>
        </w:tc>
      </w:tr>
    </w:tbl>
    <w:p w14:paraId="3D1F4F3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4002EFF" w:usb1="C000247B" w:usb2="00000009" w:usb3="00000000" w:csb0="200001FF" w:csb1="0000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CA64FD5"/>
    <w:rsid w:val="5CA64F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Calibri"/>
      <w:kern w:val="2"/>
      <w:sz w:val="24"/>
      <w:szCs w:val="21"/>
      <w:lang w:val="en-US" w:eastAsia="zh-CN" w:bidi="ar-SA"/>
    </w:rPr>
  </w:style>
  <w:style w:type="character" w:default="1" w:styleId="5">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rFonts w:ascii="Calibri" w:hAnsi="Calibri" w:cs="Times New Roman"/>
      <w:kern w:val="0"/>
      <w:sz w:val="21"/>
    </w:rPr>
  </w:style>
  <w:style w:type="table" w:styleId="4">
    <w:name w:val="Table Grid"/>
    <w:basedOn w:val="3"/>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6">
    <w:name w:val="样式2"/>
    <w:basedOn w:val="7"/>
    <w:qFormat/>
    <w:uiPriority w:val="0"/>
    <w:pPr>
      <w:spacing w:line="560" w:lineRule="exact"/>
      <w:ind w:firstLine="643" w:firstLineChars="200"/>
      <w:jc w:val="both"/>
    </w:pPr>
    <w:rPr>
      <w:rFonts w:ascii="仿宋_GB2312" w:hAnsi="仿宋" w:eastAsia="仿宋_GB2312"/>
      <w:b/>
      <w:bCs/>
      <w:szCs w:val="32"/>
    </w:rPr>
  </w:style>
  <w:style w:type="paragraph" w:customStyle="1" w:styleId="7">
    <w:name w:val="@标题"/>
    <w:basedOn w:val="1"/>
    <w:next w:val="8"/>
    <w:qFormat/>
    <w:uiPriority w:val="0"/>
    <w:pPr>
      <w:keepNext/>
      <w:spacing w:before="50" w:beforeLines="50" w:after="50" w:afterLines="50"/>
      <w:jc w:val="center"/>
      <w:outlineLvl w:val="1"/>
    </w:pPr>
    <w:rPr>
      <w:rFonts w:ascii="Calibri" w:hAnsi="Calibri" w:eastAsia="黑体"/>
      <w:kern w:val="32"/>
      <w:sz w:val="32"/>
    </w:rPr>
  </w:style>
  <w:style w:type="paragraph" w:customStyle="1" w:styleId="8">
    <w:name w:val="@正文"/>
    <w:basedOn w:val="9"/>
    <w:qFormat/>
    <w:uiPriority w:val="0"/>
    <w:pPr>
      <w:wordWrap/>
      <w:spacing w:line="240" w:lineRule="auto"/>
      <w:ind w:firstLine="200" w:firstLineChars="200"/>
      <w:jc w:val="both"/>
    </w:pPr>
    <w:rPr>
      <w:rFonts w:ascii="Calibri" w:hAnsi="Calibri" w:eastAsia="宋体" w:cs="Calibri"/>
      <w:color w:val="000000"/>
      <w:kern w:val="24"/>
      <w:sz w:val="24"/>
      <w:szCs w:val="24"/>
    </w:rPr>
  </w:style>
  <w:style w:type="paragraph" w:customStyle="1" w:styleId="9">
    <w:name w:val="※正文"/>
    <w:basedOn w:val="1"/>
    <w:next w:val="1"/>
    <w:qFormat/>
    <w:uiPriority w:val="0"/>
    <w:pPr>
      <w:wordWrap w:val="0"/>
      <w:spacing w:line="400" w:lineRule="exact"/>
    </w:pPr>
    <w:rPr>
      <w:rFonts w:ascii="Calibri Light" w:hAnsi="Calibri Light" w:eastAsia="华文仿宋"/>
      <w:sz w:val="28"/>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2025-08-27T03:10:00Z</dcterms:created>
  <dc:creator>傑。</dc:creator>
  <cp:lastModifiedBy>傑。</cp:lastModifiedBy>
  <dcterms:modified xsi:type="dcterms:W3CDTF">2025-08-27T03:10:34Z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E5E741C3BA584E0996D0BD0B2404B17C_11</vt:lpwstr>
  </property>
  <property fmtid="{D5CDD505-2E9C-101B-9397-08002B2CF9AE}" pid="4" name="KSOTemplateDocerSaveRecord">
    <vt:lpwstr>eyJoZGlkIjoiMWYyM2ZiYWNjNzEyZWY3MmUwNjczNGRhMjYzNTQ4OWYiLCJ1c2VySWQiOiI2NDk3MDkwMjIifQ==</vt:lpwstr>
  </property>
</Properties>
</file>