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版本号：SZT2025-SN-XC-ZC-HW-085720250827001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急诊楼基础设备采购项目（带量采）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SZT2025-SN-XC-ZC-HW-0857</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急诊楼基础设备采购项目（带量采）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SZT2025-SN-XC-ZC-HW-0857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急诊楼基础设备采购项目（带量采）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该项目用于我院航天城急诊楼开业用，满足急诊抢救基本需求，保障临床救治工作顺利开展。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1、代理商或生产厂家资质：投标人为代理商须提供医疗器械经营许可证或医疗器械经营备案凭证；如生产厂家投标须提供医疗器械生产许可证或医疗器械生产备案凭证；</w:t>
      </w:r>
    </w:p>
    <w:p>
      <w:pPr>
        <w:pStyle w:val="null3"/>
      </w:pPr>
      <w:r>
        <w:rPr>
          <w:rFonts w:ascii="仿宋_GB2312" w:hAnsi="仿宋_GB2312" w:cs="仿宋_GB2312" w:eastAsia="仿宋_GB2312"/>
        </w:rPr>
        <w:t>2、医疗器械注册证或备案凭证：属于医疗器械的产品需提供医疗器械注册证或备案凭证；</w:t>
      </w:r>
    </w:p>
    <w:p>
      <w:pPr>
        <w:pStyle w:val="null3"/>
      </w:pPr>
      <w:r>
        <w:rPr>
          <w:rFonts w:ascii="仿宋_GB2312" w:hAnsi="仿宋_GB2312" w:cs="仿宋_GB2312" w:eastAsia="仿宋_GB2312"/>
        </w:rPr>
        <w:t>3、法定代表人授权委托：法定代表人参加投标的，须提供法定代表人身份证明；法定代表人授权他人参加投标的，须提供法定代表人授权委托书，被授权代表本单位证明:开标截止前近三个月的社会保险缴纳证明。(法定代表人参加只需提供法定代表人身份证明)；</w:t>
      </w:r>
    </w:p>
    <w:p>
      <w:pPr>
        <w:pStyle w:val="null3"/>
      </w:pPr>
      <w:r>
        <w:rPr>
          <w:rFonts w:ascii="仿宋_GB2312" w:hAnsi="仿宋_GB2312" w:cs="仿宋_GB2312" w:eastAsia="仿宋_GB2312"/>
        </w:rPr>
        <w:t>4、本项目不接受联合体参加：本项目不接受联合体参加；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西安市新城区解放路21号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西安市人民医院（西安市第四医院）经办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029-61220013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代理服务费收费标准：招标代理服务费的收取参见国家计委颁布的《招标代理服务收费管理暂行办法》（计价格[2002]1980号）和（发改办价格[2003]857号）货物类收费标准按预算金额计算下浮30%收取。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1、按照合同约定时间，按院方指定地点提供货物，配合验收工作，并负责安装、调试、提供现场技术培训，保证使用人员正常操作设备的各种功能。 2、由供应商负责，运杂费已包含在合同总价内，包括从货物供应地点所含的运输费、装卸费、仓储费、保险费等。 3、定期派技术人员到现场走访，给予检查维护，一年不少于2次。 4、供应商应终身免费提供维护手册、维修手册、软件备份、故障代码表、备件清单、零部件、维修密码等维护维修必须的材料和信息。</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该项目用于我院航天城急诊楼开业用，满足急诊抢救基本需求，保障临床救治工作顺利开展。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ABS双摇病床（称重床）、轮椅、手术头灯、臂式血压计、输液泵、耳鼻喉综合诊疗台、药品医用阴凉柜、药品医用冷藏柜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标的名称：ABS双摇病床（称重床）、轮椅、手术头灯、臂式血压计、输液泵、耳鼻喉综合诊疗台、药品医用阴凉柜、药品医用冷藏柜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一、技术参数要求</w:t>
            </w:r>
          </w:p>
          <w:p>
            <w:pPr>
              <w:pStyle w:val="null3"/>
            </w:pPr>
            <w:r>
              <w:rPr>
                <w:rFonts w:ascii="仿宋_GB2312" w:hAnsi="仿宋_GB2312" w:cs="仿宋_GB2312" w:eastAsia="仿宋_GB2312"/>
              </w:rPr>
              <w:t>品目1ABS双摇病床（称重床）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整体升降，背部升降，膝部升降，前倾后倾</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内置称重系统，称重精度值≤0.1kg</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一键式正面离床椅位、足部电动伸缩，床面具有自动复合回退系统</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离床报警等功能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 xml:space="preserve">背板折起角度：≥70°，最大曲腿角度： </w:t>
            </w:r>
            <w:r>
              <w:rPr>
                <w:rFonts w:ascii="仿宋_GB2312" w:hAnsi="仿宋_GB2312" w:cs="仿宋_GB2312" w:eastAsia="仿宋_GB2312"/>
                <w:sz w:val="21"/>
              </w:rPr>
              <w:t>≥30°</w:t>
            </w:r>
            <w:r>
              <w:rPr>
                <w:rFonts w:ascii="仿宋_GB2312" w:hAnsi="仿宋_GB2312" w:cs="仿宋_GB2312" w:eastAsia="仿宋_GB2312"/>
              </w:rPr>
              <w:t>，左右倾斜角度：≥15°，前后倾斜角度：≥12°</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（二）配置要求:（单台）</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专用床垫1张、输液架2根、可滑动引流挂钩8个</w:t>
            </w:r>
          </w:p>
          <w:p>
            <w:pPr>
              <w:pStyle w:val="null3"/>
            </w:pPr>
            <w:r>
              <w:rPr>
                <w:rFonts w:ascii="仿宋_GB2312" w:hAnsi="仿宋_GB2312" w:cs="仿宋_GB2312" w:eastAsia="仿宋_GB2312"/>
              </w:rPr>
              <w:t>床体：长2240×宽1040×高500/800mm±10mm，床垫：高回弹海绵10±2mm，外罩面料PVC防水透气，防滑。</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品目2 轮椅</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可调节脚踏（拆卸/抬起/折叠）</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防摔安全带（下坡防前倾），防滑扶手垫</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双安全手刹，</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加厚坐背垫，</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舒适PU扶手，</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PU万向轮</w:t>
            </w:r>
            <w:r>
              <w:rPr>
                <w:rFonts w:ascii="仿宋_GB2312" w:hAnsi="仿宋_GB2312" w:cs="仿宋_GB2312" w:eastAsia="仿宋_GB2312"/>
                <w:sz w:val="21"/>
              </w:rPr>
              <w:t>360</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脚踏板可抬可折叠，</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提拉座垫中部位置可收起轮椅，</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宽度≥40cm，深度≥40cm，承重≥</w:t>
            </w:r>
            <w:r>
              <w:rPr>
                <w:rFonts w:ascii="仿宋_GB2312" w:hAnsi="仿宋_GB2312" w:cs="仿宋_GB2312" w:eastAsia="仿宋_GB2312"/>
                <w:sz w:val="21"/>
              </w:rPr>
              <w:t>100Kg</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（二）配置要求:（单台）输液架1个</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品目3手术头灯</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无线医用头灯提供稳定的照明。</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适用范围：外科手术</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亮度调节 1-4档可调</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照度（200mm处） ≥30000Lux</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工作状态全重 ≤200g</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色温 5000K~65000K纯白光，光源 LED光源</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光源寿命 ≥50000h</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灯头直径Φ15~30mm, 长度*30~50mm</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具有智能记忆常用亮度</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充电电池容量 ≥ 2500mAh ，最大亮度下的连续使用时间≥ 6 小时，最大充电时间</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4 小时</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sz w:val="21"/>
                <w:color w:val="333333"/>
              </w:rPr>
              <w:t>具有低电压提示功能，充电</w:t>
            </w:r>
            <w:r>
              <w:rPr>
                <w:rFonts w:ascii="仿宋_GB2312" w:hAnsi="仿宋_GB2312" w:cs="仿宋_GB2312" w:eastAsia="仿宋_GB2312"/>
                <w:sz w:val="21"/>
                <w:color w:val="333333"/>
              </w:rPr>
              <w:t>/满电提示功能</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（二）配置要求:（单台）</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头灯灯头1套 、头带1套、 充电锂电池2个 、充电器1个、 USB充电线1条 、包装盒1个</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品目4臂式血压计</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用于刚入院患者的必须初筛，比如高血压、糖尿病、肾病患者的监测。</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适用于人体上臂部位的血压测量</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测量方法：示波测定法</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数字式显示</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测量范围：压力0～299mmHg，精度：+3mmHg（+0.4kPa）</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脉率数40次/分～180次/分，脉搏数精度≤±5%</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（二）配置要求:（单台）</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内置干电池1套、配置充电座1个、袖袋1个</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品目5输液泵</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支持输血功能（并提供证明文件）.支持临床常用输血管路，无需专用输血管路</w:t>
            </w:r>
          </w:p>
        </w:tc>
      </w:tr>
      <w:tr>
        <w:tc>
          <w:tcPr>
            <w:tcW w:type="dxa" w:w="2769"/>
          </w:tcPr>
          <w:p>
            <w:pPr>
              <w:pStyle w:val="null3"/>
            </w:pPr>
            <w:r>
              <w:rPr>
                <w:rFonts w:ascii="仿宋_GB2312" w:hAnsi="仿宋_GB2312" w:cs="仿宋_GB2312" w:eastAsia="仿宋_GB2312"/>
              </w:rPr>
              <w:t>46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输液精度≤±5%</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速率范围：0.1-2000ml/h, 最小步进0.01ml/h</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≥8种输液模式：至少包含速度模式、时间模式、体重模式、梯度模式、序列模式、剂量时间模式、点滴模式</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彩色显示屏，≥3英寸</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具备阻塞前预警提示功能，泵可自动识别压力上升并在屏幕上进行提示</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（二）配置要求:（单台）</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输液泵主机1台、电源线1根、固定夹1个</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品目6耳鼻喉综合诊疗台</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供耳鼻喉科检查和诊治用，主要由正压系统、负压系统、加热除雾系统、照明系统以及器械收纳装置组成</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喷枪由正压泵通过正压气路系统提供稳定正压，压力大小可调，控制喷枪喷雾；</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吸引由负压泵通过负压气路系统提供稳定负压，压力大小可调，控制负压吸引；</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带有新风加热除雾系统，通过热风对间接喉镜进行加热除雾</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三关节万向转动照射灯设计</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具有器械收纳装置，≥2个分区</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工作主机柜：参考尺寸（1600mm*600mm*800mm），高强度钢化玻璃台面，</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药物喷枪：二直一弯；采用进口电子阀门控制喷枪气路；喷枪金属部分全部采用316L不锈钢；可快速换药喷枪</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（二）配置要求:（单台）</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工作台面1张、主机柜1个、药物喷枪2直11弯、吸枪1只、正负压泵各1个、加热除雾装置1个、观片灯组件1套、医生椅1把、电动检查椅1张</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品目7药品医用阴凉柜</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具有GSP标准认证，对需要阴凉储存的药品进行恒温存储</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具有USB数据记录/WiFi智联，远程监测功能</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温度记录精度≤0.1℃</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具有温湿度监测报警系统：数显监测、高低温报警</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制冷方式 风冷</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照明装置LED</w:t>
            </w:r>
          </w:p>
        </w:tc>
      </w:tr>
      <w:tr>
        <w:tc>
          <w:tcPr>
            <w:tcW w:type="dxa" w:w="2769"/>
          </w:tcPr>
          <w:p>
            <w:pPr>
              <w:pStyle w:val="null3"/>
            </w:pPr>
            <w:r>
              <w:rPr>
                <w:rFonts w:ascii="仿宋_GB2312" w:hAnsi="仿宋_GB2312" w:cs="仿宋_GB2312" w:eastAsia="仿宋_GB2312"/>
              </w:rPr>
              <w:t>71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容量≥1000L</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隔板≥6层</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阴凉模式8℃—20℃</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柜门材质双层中空玻璃</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（二）配置要求:（单台）</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无</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品目8药品医用冷藏柜</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具有GSP标准认证，对需要冷藏储存的药品进行恒温存储</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具有USB数据记录/WiFi智联，远程监测功能</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温度记录精度≤0.1℃</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具有温湿度监测报警系统：数显监测、高低温报警</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制冷方式 风冷</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照明装置LED</w:t>
            </w:r>
          </w:p>
        </w:tc>
      </w:tr>
      <w:tr>
        <w:tc>
          <w:tcPr>
            <w:tcW w:type="dxa" w:w="2769"/>
          </w:tcPr>
          <w:p>
            <w:pPr>
              <w:pStyle w:val="null3"/>
            </w:pPr>
            <w:r>
              <w:rPr>
                <w:rFonts w:ascii="仿宋_GB2312" w:hAnsi="仿宋_GB2312" w:cs="仿宋_GB2312" w:eastAsia="仿宋_GB2312"/>
              </w:rPr>
              <w:t>84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容量≥400L，单开门</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隔板≥5层</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冷藏模式2℃—8℃</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柜门材质双层中空玻璃</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（二）配置要求:（单台）</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二、接口及数据要求</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pPr>
            <w:r>
              <w:rPr>
                <w:rFonts w:ascii="仿宋_GB2312" w:hAnsi="仿宋_GB2312" w:cs="仿宋_GB2312" w:eastAsia="仿宋_GB2312"/>
              </w:rPr>
              <w:t>1. 负责系统升级，负责与我院HIS、LIS、PACS等我院集成平台对接，并承担所接系统软件工作站、接口、配件及由此产生的所有费用。（含高清采集卡、采集盒、视频线、脚踏、手控等）。</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2.设备具有时间同步功能机制。</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3.工作站为windows系列中文操作系统，保证工作站在连接设备后仍有可用网口。</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4.设备具有串口、USB、网口、DICOM端口之一的通讯端口。如通信接口特殊，不在上述范围内，需提供转换为上4类接口的相应转换头。</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rPr>
              <w:t>5.所采设备应根据各设备输出口，确定相关数据信息，如：手柄和脚踏板需 USB口。</w:t>
            </w:r>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p>
            <w:pPr>
              <w:pStyle w:val="null3"/>
            </w:pPr>
            <w:r>
              <w:rPr>
                <w:rFonts w:ascii="仿宋_GB2312" w:hAnsi="仿宋_GB2312" w:cs="仿宋_GB2312" w:eastAsia="仿宋_GB2312"/>
              </w:rPr>
              <w:t>三、服务要求</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中标商需按照设备安装场地现场情况，及设备正常运行需求为目的，其中所产生的所有人工、材料、运输、安装、配套设备、计量检测等费用均由中标方承担。</w:t>
            </w:r>
          </w:p>
        </w:tc>
      </w:tr>
      <w:tr>
        <w:tc>
          <w:tcPr>
            <w:tcW w:type="dxa" w:w="2769"/>
          </w:tcPr>
          <w:p>
            <w:pPr>
              <w:pStyle w:val="null3"/>
            </w:pPr>
            <w:r>
              <w:rPr>
                <w:rFonts w:ascii="仿宋_GB2312" w:hAnsi="仿宋_GB2312" w:cs="仿宋_GB2312" w:eastAsia="仿宋_GB2312"/>
              </w:rPr>
              <w:t>97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整机免费保修期为三年（含光源灯泡等消耗性配件），（从验收合格之日起开始计算）,根据《医疗器械监督管理条例》要求，免费保修期截止至设备报废，免费提供设备维护、软件升级的技术支持和指导，配合医院完成设备维修、保养相关工作。免费保修期内，同一主要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全部费用由乙方承担；</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操作人员的技术培训时间不得少于一周，提供培训计划。</w:t>
            </w:r>
          </w:p>
        </w:tc>
      </w:tr>
      <w:tr>
        <w:tc>
          <w:tcPr>
            <w:tcW w:type="dxa" w:w="2769"/>
          </w:tcPr>
          <w:p>
            <w:pPr>
              <w:pStyle w:val="null3"/>
            </w:pPr>
            <w:r>
              <w:rPr>
                <w:rFonts w:ascii="仿宋_GB2312" w:hAnsi="仿宋_GB2312" w:cs="仿宋_GB2312" w:eastAsia="仿宋_GB2312"/>
              </w:rPr>
              <w:t>99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提供生产厂家出具的≥3年的质保声明或质保承诺书。</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提供陕西近五年内用户名单和相关联系方式。</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9"/>
              <w:gridCol w:w="737"/>
              <w:gridCol w:w="466"/>
              <w:gridCol w:w="466"/>
            </w:tblGrid>
            <w:tr>
              <w:tc>
                <w:tcPr>
                  <w:tcW w:type="dxa" w:w="37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品目</w:t>
                  </w:r>
                </w:p>
              </w:tc>
              <w:tc>
                <w:tcPr>
                  <w:tcW w:type="dxa" w:w="73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分项名称</w:t>
                  </w:r>
                </w:p>
              </w:tc>
              <w:tc>
                <w:tcPr>
                  <w:tcW w:type="dxa" w:w="4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单价</w:t>
                  </w:r>
                  <w:r>
                    <w:rPr>
                      <w:rFonts w:ascii="仿宋_GB2312" w:hAnsi="仿宋_GB2312" w:cs="仿宋_GB2312" w:eastAsia="仿宋_GB2312"/>
                      <w:sz w:val="24"/>
                      <w:b/>
                    </w:rPr>
                    <w:t>限价</w:t>
                  </w:r>
                </w:p>
                <w:p>
                  <w:pPr>
                    <w:pStyle w:val="null3"/>
                    <w:jc w:val="center"/>
                  </w:pPr>
                  <w:r>
                    <w:rPr>
                      <w:rFonts w:ascii="仿宋_GB2312" w:hAnsi="仿宋_GB2312" w:cs="仿宋_GB2312" w:eastAsia="仿宋_GB2312"/>
                      <w:sz w:val="24"/>
                      <w:b/>
                    </w:rPr>
                    <w:t>（万元）</w:t>
                  </w:r>
                </w:p>
              </w:tc>
              <w:tc>
                <w:tcPr>
                  <w:tcW w:type="dxa" w:w="46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备注</w:t>
                  </w:r>
                </w:p>
              </w:tc>
            </w:tr>
            <w:tr>
              <w:tc>
                <w:tcPr>
                  <w:tcW w:type="dxa" w:w="3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w:t>
                  </w:r>
                </w:p>
              </w:tc>
              <w:tc>
                <w:tcPr>
                  <w:tcW w:type="dxa" w:w="7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ABS双摇病床</w:t>
                  </w:r>
                </w:p>
                <w:p>
                  <w:pPr>
                    <w:pStyle w:val="null3"/>
                    <w:jc w:val="center"/>
                  </w:pPr>
                  <w:r>
                    <w:rPr>
                      <w:rFonts w:ascii="仿宋_GB2312" w:hAnsi="仿宋_GB2312" w:cs="仿宋_GB2312" w:eastAsia="仿宋_GB2312"/>
                      <w:sz w:val="24"/>
                    </w:rPr>
                    <w:t>（称重床）</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4</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核心产品</w:t>
                  </w:r>
                </w:p>
              </w:tc>
            </w:tr>
            <w:tr>
              <w:tc>
                <w:tcPr>
                  <w:tcW w:type="dxa" w:w="3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w:t>
                  </w:r>
                </w:p>
              </w:tc>
              <w:tc>
                <w:tcPr>
                  <w:tcW w:type="dxa" w:w="7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轮椅</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0.095</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3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7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手术头灯</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0.54</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3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7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臂式血压计</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0.02</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3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7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输液泵</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0.54</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3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耳鼻喉综合诊疗台</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6.5</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3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7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药品医用阴凉柜</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37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8</w:t>
                  </w:r>
                </w:p>
              </w:tc>
              <w:tc>
                <w:tcPr>
                  <w:tcW w:type="dxa" w:w="7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药品医用冷藏柜</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46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合同签订后，自接到甲方通知之日起，每批次30个日历日内完成货物的安装、调试并正常运行，不得延期。</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无预付款，每批次货物到达甲方指定地点，安装、调试完毕、提供国家或行业标准的合格验收证明以及出具所有设备生产厂家提供的3年保修协议等，乙方完成自检合格后，提交甲方进行第一次验收，甲方自第一次验收合格且收到发票之日起，十个工作日内内无息支付每批次验收合格产品对应金额的95%，否则若因乙方不能及时提供发票或提供的发票不符合要求的，甲方付款期限顺延，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货物第一次验收合格满36个月后，进行二次验收，验收合格后达到付款条件起10个工作日内，支付合同总金额的5%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有关规定以及院方招标文件的质量要求和技术指标、供应商的投标文件及承诺与本合同约定标准进行验收；双方如对质量要求和技术指标的约定标准有相互抵触或异议的事项，由院方在招标与投标文件中按质量要求和技术指标比较优胜的原则确定该项的约定标准进行验收； 2、验收时如发现所交付的货物有缺项、次品、损坏或其它不符合标准及本合同约定之情形者，院方应做出详尽的现场记录，记录形式包括摄像、拍照、供应商证明人的说明，并由双方签署备忘录，此现场记录或备忘录可用作补充缺失和更换损坏部件和更换符合要求的整机之有效证据，由此产生的时间延误与相关费用由供应商承担，验收期限相应顺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详见具体技术（参数）要求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未按合同要求提供货物或质量不能满足本合同、招标文件、投标文件等相关文件要求的，乙方须在合同约定的交货期内无条件更换合格的货物交付给甲方，若甲方有实际损失的乙方还应赔偿甲方的实际损失。否则，甲方有权解除合同，合同自书面解除通知到达乙方之日起解除，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同时甲方有权对乙方的违约行为报监管机构进行相应的处罚。 2、乙方逾期交付货物的，除应及时交足货物外，同时向甲方支付逾期交货部分货款总额的百分之一/天的违约金；逾期交货超过10天，甲方有权解除合同，合同自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一.支付约定（备注：因系统限制，支付约定以此为准） 无预付款，每批次货物到达甲方指定地点，安装、调试完毕、提供国家或行业标准的合格验收证明以及出具所有设备生产厂家提供的3年保修协议等，乙方完成自检合格后，提交甲方进行第一次验收，甲方自第一次验收合格且收到发票之日起，十个工作日内内无息支付每批次验收合格产品对应金额的95%，否则若因乙方不能及时提供发票或提供的发票不符合要求的，甲方付款期限顺延，且不承担任何责任。 货物第一次验收合格满36个月后，进行二次验收，验收合格后达到付款条件起10个工作日内，支付合同总金额的5%。 二.功能：符合急诊重症检查、救治工作开展。 三.质量要求：符合国家有关规定以及院方招标文件的质量要求和技术指标，确保技术指标先进、质量性能可靠、进货渠道正常，配置合理，全面满足采购要求。 四.中标供应商在领取中标通知书时提供3套纸质投标文件（1正2副），纸质版投标文件应与线上电子投标文件保持一致并加盖公章。 五.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六.进入相关部门“黑名单”的投标人以及有行贿、串标等违法违规行为并经查实的投标人不能参与本院采购项目的投标活动。对“黑名单”中投标人采取“一票否决”及“随时叫停”机制，在报名、资格审核、评审、公示、合同签订等各环节一旦发现并查实有行贿等违法违规行为的，立即取消其相关资格且终止合同签订。 七.根据西安市财政局《关于促进政府采购公平竞争优化营商环境的通知》（市财函[2021]431号）文中“第16条规定 投标人登记免费领取采购文件的，如不参与项目投标，应在递交投标（或相应）文件截止时间前一日以书面形式告知采购代理机构。否则，采购代理机构可以向财政部门反映情况并提供相应的佐证。投标人一年内累计出现三次该情形，将被监管部门记录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2、具有良好的商业信誉和健全的财务会计制度（提供2024年度财务审计报告或响应文件递交截止时间前近6个月内的银行资信证明）； 3、具有依法缴纳税收和社会保障资金的良好记录（同时提供投标文件递交截止时间前12个月内缴存的任意时段的社保及税收缴纳证明；依法不需要缴纳的应提供相关证明文件)； 4、具有履行合同所必需的设备和专业技术能力； 5、参加采购活动前三年内在经营活动中没有重大违法纪录，以及未被列入失信被执行人、重大税收违法案件当事人名单、政府采购严重违法失信行为记录名单的书面声明；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具有良好的商业信誉和健全的财务会计制度（提供2024年度财务审计报告或响应文件递交截止时间前近6个月内的银行资信证明）；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代理商或生产厂家资质</w:t>
            </w:r>
          </w:p>
        </w:tc>
        <w:tc>
          <w:tcPr>
            <w:tcW w:type="dxa" w:w="3322"/>
          </w:tcPr>
          <w:p>
            <w:pPr>
              <w:pStyle w:val="null3"/>
            </w:pPr>
            <w:r>
              <w:rPr>
                <w:rFonts w:ascii="仿宋_GB2312" w:hAnsi="仿宋_GB2312" w:cs="仿宋_GB2312" w:eastAsia="仿宋_GB2312"/>
              </w:rPr>
              <w:t>投标人为代理商须提供医疗器械经营许可证或医疗器械经营备案凭证；如生产厂家投标须提供医疗器械生产许可证或医疗器械生产备案凭证；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医疗器械注册证或备案凭证</w:t>
            </w:r>
          </w:p>
        </w:tc>
        <w:tc>
          <w:tcPr>
            <w:tcW w:type="dxa" w:w="3322"/>
          </w:tcPr>
          <w:p>
            <w:pPr>
              <w:pStyle w:val="null3"/>
            </w:pPr>
            <w:r>
              <w:rPr>
                <w:rFonts w:ascii="仿宋_GB2312" w:hAnsi="仿宋_GB2312" w:cs="仿宋_GB2312" w:eastAsia="仿宋_GB2312"/>
              </w:rPr>
              <w:t>属于医疗器械的产品需提供医疗器械注册证或备案凭证；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被授权代表本单位证明:开标截止前近三个月的社会保险缴纳证明。(法定代表人参加只需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本项目不接受联合体参加</w:t>
            </w:r>
          </w:p>
        </w:tc>
        <w:tc>
          <w:tcPr>
            <w:tcW w:type="dxa" w:w="3322"/>
          </w:tcPr>
          <w:p>
            <w:pPr>
              <w:pStyle w:val="null3"/>
            </w:pPr>
            <w:r>
              <w:rPr>
                <w:rFonts w:ascii="仿宋_GB2312" w:hAnsi="仿宋_GB2312" w:cs="仿宋_GB2312" w:eastAsia="仿宋_GB2312"/>
              </w:rPr>
              <w:t>本项目不接受联合体参加；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合同条款偏离表.docx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投标报价未超出采购预算及各品目单价最高限价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★采购内容</w:t>
            </w:r>
          </w:p>
        </w:tc>
        <w:tc>
          <w:tcPr>
            <w:tcW w:type="dxa" w:w="3322"/>
          </w:tcPr>
          <w:p>
            <w:pPr>
              <w:pStyle w:val="null3"/>
            </w:pPr>
            <w:r>
              <w:rPr>
                <w:rFonts w:ascii="仿宋_GB2312" w:hAnsi="仿宋_GB2312" w:cs="仿宋_GB2312" w:eastAsia="仿宋_GB2312"/>
              </w:rPr>
              <w:t>★参数必须满足要求，且提供证明材料，包括但不限于包括但不限于官网截图或产品彩页或检测报告或加盖厂商公章的技术参数说明等（“技术参数偏离表”中描述与提供的证明材料不一致的，以证明材料为准），不满足或未提供证明材料作为废标处理。★服务要求提供声明或承诺。</w:t>
            </w:r>
          </w:p>
        </w:tc>
        <w:tc>
          <w:tcPr>
            <w:tcW w:type="dxa" w:w="1661"/>
          </w:tcPr>
          <w:p>
            <w:pPr>
              <w:pStyle w:val="null3"/>
            </w:pPr>
            <w:r>
              <w:rPr>
                <w:rFonts w:ascii="仿宋_GB2312" w:hAnsi="仿宋_GB2312" w:cs="仿宋_GB2312" w:eastAsia="仿宋_GB2312"/>
              </w:rPr>
              <w:t>规格、技术参数偏离表.docx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支付方式及交货时间</w:t>
            </w:r>
          </w:p>
        </w:tc>
        <w:tc>
          <w:tcPr>
            <w:tcW w:type="dxa" w:w="3322"/>
          </w:tcPr>
          <w:p>
            <w:pPr>
              <w:pStyle w:val="null3"/>
            </w:pPr>
            <w:r>
              <w:rPr>
                <w:rFonts w:ascii="仿宋_GB2312" w:hAnsi="仿宋_GB2312" w:cs="仿宋_GB2312" w:eastAsia="仿宋_GB2312"/>
              </w:rPr>
              <w:t>支付方式及交货时间完全响应</w:t>
            </w:r>
          </w:p>
        </w:tc>
        <w:tc>
          <w:tcPr>
            <w:tcW w:type="dxa" w:w="1661"/>
          </w:tcPr>
          <w:p>
            <w:pPr>
              <w:pStyle w:val="null3"/>
            </w:pPr>
            <w:r>
              <w:rPr>
                <w:rFonts w:ascii="仿宋_GB2312" w:hAnsi="仿宋_GB2312" w:cs="仿宋_GB2312" w:eastAsia="仿宋_GB2312"/>
              </w:rPr>
              <w:t>开标一览表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投标文件签字盖章合格</w:t>
            </w:r>
          </w:p>
        </w:tc>
        <w:tc>
          <w:tcPr>
            <w:tcW w:type="dxa" w:w="1661"/>
          </w:tcPr>
          <w:p>
            <w:pPr>
              <w:pStyle w:val="null3"/>
            </w:pPr>
            <w:r>
              <w:rPr>
                <w:rFonts w:ascii="仿宋_GB2312" w:hAnsi="仿宋_GB2312" w:cs="仿宋_GB2312" w:eastAsia="仿宋_GB2312"/>
              </w:rPr>
              <w:t>开标一览表 报价一览表及分项报价表.docx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供应商是否按要求提供“参加政府采购活动行为自律承诺书”、“陕西省政府采购供货商拒绝政府采购领域商业贿赂承诺书”、“供应商参加政府采购活动承诺书”</w:t>
            </w:r>
          </w:p>
        </w:tc>
        <w:tc>
          <w:tcPr>
            <w:tcW w:type="dxa" w:w="1661"/>
          </w:tcPr>
          <w:p>
            <w:pPr>
              <w:pStyle w:val="null3"/>
            </w:pPr>
            <w:r>
              <w:rPr>
                <w:rFonts w:ascii="仿宋_GB2312" w:hAnsi="仿宋_GB2312" w:cs="仿宋_GB2312" w:eastAsia="仿宋_GB2312"/>
              </w:rPr>
              <w:t>参加政府采购活动行为自律承诺书（一）.docx 陕西省政府采购供货商拒绝政府采购领域商业贿赂承诺书.docx 参加政府采购活动行为自律承诺书（二）.docx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投标产品符合使用需求，配置技术功能完整合理，其型号、技术参数清晰明确，根据投标产品的技术指标和性能对招标文件的响应程度计分。其响应技术指标和性能完全满足招标文件要求计30分。 无标识参数为一般参数，按要求逐条响应，不满足一项扣0.5分，扣完本项分值为止。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投标方案</w:t>
            </w:r>
          </w:p>
        </w:tc>
        <w:tc>
          <w:tcPr>
            <w:tcW w:type="dxa" w:w="2492"/>
          </w:tcPr>
          <w:p>
            <w:pPr>
              <w:pStyle w:val="null3"/>
            </w:pPr>
            <w:r>
              <w:rPr>
                <w:rFonts w:ascii="仿宋_GB2312" w:hAnsi="仿宋_GB2312" w:cs="仿宋_GB2312" w:eastAsia="仿宋_GB2312"/>
              </w:rPr>
              <w:t>投标方案的完善程度及投标产品的实际使用普及程度，配置功能完整程度，运行稳定状况。 1.投标方案描述详细，各部分功能配置完整，满足或优于招标文件要求。能够实现项目建设目标，各个系统配置合理，实用、先进，满足今后扩展性的要求得5分； 2.投标方案描述完整，各部分功能配置基本满足招标文件要求，能够基本实现项目建设目标得3分； 3.投标方案部分描述，功能配置部分满足招标文件要求，能够基本实现项目建设目标得1分； 4.投标方案不能满足建设目标或无方案得0分。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投标产品货源渠道正常（包括但不限于销售协议、代理协议、原厂授权等），符合国家的标准和有关规定，有完备可靠的质量保证措施，经过有关部门检测。能保证使用单位正常使用和维护。提供详细、具体、丰富的资料证明文件得5分； 2.投标产品货源渠道正常（包括但不限于销售协议、代理协议、原厂授权等），符合国家的标准和有关规定，有质量保证措施，经过有关部门检测。能保证使用单位正常使用和维护。提供部分资料证明文件得3分； 3.投标产品货源渠道正常（包括但不限于销售协议、代理协议、原厂授权等），符合国家的标准和有关规定。基本能保证使用单位正常使用和维护。提供部分资料证明文件得1分； 4.未提供相关资料证明文件得0分。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供应商针对本项目提供具体可行的设备选型方案，包括但不限于：①所投产品型号、功能、技术规格等详细信息描述；②根据所投产品品牌与配置清单，设备配置先进、选型科学合理，从配置完整性、性能稳定性、兼容性、行业使用广泛性等方面描述（供应商须提供证明材料，包括但不限于所投设备产品临床使用优势、市场销售情况等）；③确保设备供应渠道正常、检验手续合法有效、无产权纠纷（供应商须提供证明材料，包括但不限于授权函、销售协议、代理协议等）。 设备选型方案思路清晰、科学合理、可行性强、完全满足采购人需求得10分；设备选型方案思路清晰、科学合理、可行性较强、满足采购人需求得7分；设备选型方案合理完善、可行性较强、基本满足采购人需求得4分；设备选型方案有缺漏项、可行性一般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技术培训</w:t>
            </w:r>
          </w:p>
        </w:tc>
        <w:tc>
          <w:tcPr>
            <w:tcW w:type="dxa" w:w="2492"/>
          </w:tcPr>
          <w:p>
            <w:pPr>
              <w:pStyle w:val="null3"/>
            </w:pPr>
            <w:r>
              <w:rPr>
                <w:rFonts w:ascii="仿宋_GB2312" w:hAnsi="仿宋_GB2312" w:cs="仿宋_GB2312" w:eastAsia="仿宋_GB2312"/>
              </w:rPr>
              <w:t>供应商提供技术培训方案，操作人员的技术培训时间不得少于一周。 1.供应商提供详细的技术培训方案，包括现场培训及培训人员的配备等，完全满足招标文件要求并能提供更多的培训内容等得5分； 2.供应商提供的技术培训、现场培训方案较详细，基本能满足用户需求得3分； 3.供应商提供的技术支持培训方案简单，能够满足用户需求得1分； 4.供应商未提供相关内容得0分。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1.售后服务条款具体、可行，有详细的售后服务措施承诺；在产品发生故障后的补救措施等方面，有详细的服务承诺和实施方案；明确质保期限和保修方式等有承诺得5分； 2.售后服务条款可行，有完整的售后服务措施承诺；在产品发生故障后的补救措施等方面，有明确的服务承诺和实施方案得3分； 3.售后服务条款可行，售后服务措施简单得1分； 4.供应商未提供相关内容得0分。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提供2021年1月1日以来同类核心产品业绩，每提供1份合同得2分，最高5份，共10分。（以加盖供应商公章完整合同复印件为准）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满足招标文件要求且投标价格单价合计最低的投标报价为评标基准价，其价格分为满分30分。其他供应商的价格分统一按照下列公式计算：投标报价得分=（评标基准价/投标报价）×30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详见附件：参加政府采购活动行为自律承诺书（二）.docx</w:t>
      </w:r>
    </w:p>
    <w:p>
      <w:pPr>
        <w:pStyle w:val="null3"/>
        <w:ind w:firstLine="960"/>
      </w:pPr>
      <w:r>
        <w:rPr>
          <w:rFonts w:ascii="仿宋_GB2312" w:hAnsi="仿宋_GB2312" w:cs="仿宋_GB2312" w:eastAsia="仿宋_GB2312"/>
        </w:rPr>
        <w:t>详见附件：参加政府采购活动行为自律承诺书（一）.docx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详见附件：人员、方案.docx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详见附件：合同条款偏离表.docx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