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8673C">
      <w:pPr>
        <w:rPr>
          <w:rFonts w:hint="eastAsia" w:ascii="黑体" w:hAnsi="宋体" w:eastAsia="黑体" w:cs="仿宋_GB2312"/>
          <w:color w:val="auto"/>
          <w:sz w:val="32"/>
          <w:szCs w:val="32"/>
        </w:rPr>
      </w:pPr>
      <w:r>
        <w:rPr>
          <w:rFonts w:hint="eastAsia" w:ascii="黑体" w:hAnsi="宋体" w:eastAsia="黑体" w:cs="仿宋_GB2312"/>
          <w:color w:val="auto"/>
          <w:sz w:val="32"/>
          <w:szCs w:val="32"/>
        </w:rPr>
        <w:t>项目名称：</w:t>
      </w:r>
    </w:p>
    <w:p w14:paraId="52E9E44F">
      <w:pPr>
        <w:rPr>
          <w:rFonts w:hint="eastAsia" w:ascii="黑体" w:eastAsia="黑体"/>
          <w:color w:val="auto"/>
          <w:sz w:val="32"/>
          <w:szCs w:val="32"/>
        </w:rPr>
      </w:pPr>
      <w:r>
        <w:rPr>
          <w:rFonts w:hint="eastAsia" w:ascii="黑体" w:hAnsi="宋体" w:eastAsia="黑体" w:cs="仿宋_GB2312"/>
          <w:color w:val="auto"/>
          <w:sz w:val="32"/>
          <w:szCs w:val="32"/>
        </w:rPr>
        <w:t>项目编号：</w:t>
      </w:r>
      <w:r>
        <w:rPr>
          <w:rFonts w:hint="eastAsia" w:ascii="黑体" w:eastAsia="黑体"/>
          <w:color w:val="auto"/>
          <w:sz w:val="32"/>
          <w:szCs w:val="32"/>
        </w:rPr>
        <w:t xml:space="preserve">                      </w:t>
      </w:r>
    </w:p>
    <w:p w14:paraId="68993AE2">
      <w:pPr>
        <w:jc w:val="center"/>
        <w:rPr>
          <w:rFonts w:hint="eastAsia" w:ascii="黑体" w:eastAsia="黑体"/>
          <w:color w:val="auto"/>
          <w:sz w:val="52"/>
          <w:szCs w:val="52"/>
        </w:rPr>
      </w:pPr>
    </w:p>
    <w:p w14:paraId="52C18E70">
      <w:pPr>
        <w:jc w:val="center"/>
        <w:rPr>
          <w:rFonts w:hint="eastAsia" w:ascii="黑体" w:eastAsia="黑体"/>
          <w:color w:val="auto"/>
          <w:sz w:val="52"/>
          <w:szCs w:val="52"/>
        </w:rPr>
      </w:pPr>
    </w:p>
    <w:p w14:paraId="3CC420EB">
      <w:pPr>
        <w:jc w:val="center"/>
        <w:rPr>
          <w:rFonts w:hint="eastAsia" w:ascii="黑体" w:hAnsi="宋体" w:eastAsia="黑体" w:cs="仿宋_GB2312"/>
          <w:bCs/>
          <w:color w:val="auto"/>
          <w:sz w:val="52"/>
          <w:szCs w:val="52"/>
        </w:rPr>
      </w:pPr>
      <w:r>
        <w:rPr>
          <w:rFonts w:hint="eastAsia" w:ascii="黑体" w:hAnsi="宋体" w:eastAsia="黑体" w:cs="仿宋_GB2312"/>
          <w:bCs/>
          <w:color w:val="auto"/>
          <w:sz w:val="52"/>
          <w:szCs w:val="52"/>
        </w:rPr>
        <w:t>西安市人民医院（西安市第四医院）</w:t>
      </w:r>
    </w:p>
    <w:p w14:paraId="1343F2E5">
      <w:pPr>
        <w:jc w:val="center"/>
        <w:rPr>
          <w:rFonts w:ascii="黑体" w:eastAsia="黑体"/>
          <w:color w:val="auto"/>
          <w:sz w:val="72"/>
          <w:szCs w:val="72"/>
        </w:rPr>
      </w:pPr>
      <w:r>
        <w:rPr>
          <w:rFonts w:hint="eastAsia" w:ascii="黑体" w:hAnsi="黑体" w:eastAsia="黑体" w:cs="黑体"/>
          <w:bCs/>
          <w:snapToGrid w:val="0"/>
          <w:color w:val="auto"/>
          <w:sz w:val="52"/>
          <w:szCs w:val="52"/>
        </w:rPr>
        <w:t>医疗设备采购合同</w:t>
      </w:r>
    </w:p>
    <w:p w14:paraId="29C94772">
      <w:pPr>
        <w:jc w:val="center"/>
        <w:rPr>
          <w:rFonts w:hint="eastAsia" w:ascii="黑体" w:eastAsia="黑体"/>
          <w:color w:val="auto"/>
          <w:sz w:val="30"/>
          <w:szCs w:val="30"/>
        </w:rPr>
      </w:pPr>
    </w:p>
    <w:p w14:paraId="594BF977">
      <w:pPr>
        <w:jc w:val="center"/>
        <w:rPr>
          <w:rFonts w:hint="eastAsia" w:ascii="黑体" w:eastAsia="黑体"/>
          <w:color w:val="auto"/>
          <w:sz w:val="30"/>
          <w:szCs w:val="30"/>
        </w:rPr>
      </w:pPr>
    </w:p>
    <w:p w14:paraId="5E1C87BA">
      <w:pPr>
        <w:jc w:val="center"/>
        <w:rPr>
          <w:rFonts w:hint="eastAsia" w:ascii="黑体" w:eastAsia="黑体"/>
          <w:color w:val="auto"/>
          <w:sz w:val="30"/>
          <w:szCs w:val="30"/>
        </w:rPr>
      </w:pPr>
    </w:p>
    <w:p w14:paraId="28FBBCA6">
      <w:pPr>
        <w:jc w:val="center"/>
        <w:rPr>
          <w:rFonts w:hint="eastAsia" w:ascii="黑体" w:eastAsia="黑体"/>
          <w:color w:val="auto"/>
          <w:sz w:val="30"/>
          <w:szCs w:val="30"/>
        </w:rPr>
      </w:pPr>
    </w:p>
    <w:p w14:paraId="220411FC">
      <w:pPr>
        <w:jc w:val="both"/>
        <w:rPr>
          <w:rFonts w:hint="eastAsia" w:ascii="黑体" w:eastAsia="黑体"/>
          <w:color w:val="auto"/>
          <w:sz w:val="30"/>
          <w:szCs w:val="30"/>
        </w:rPr>
      </w:pPr>
    </w:p>
    <w:p w14:paraId="661891F6">
      <w:pPr>
        <w:jc w:val="center"/>
        <w:rPr>
          <w:rFonts w:hint="eastAsia" w:ascii="黑体" w:eastAsia="黑体"/>
          <w:color w:val="auto"/>
          <w:sz w:val="30"/>
          <w:szCs w:val="30"/>
        </w:rPr>
      </w:pPr>
    </w:p>
    <w:p w14:paraId="6D73C9DE">
      <w:pPr>
        <w:ind w:firstLine="2080" w:firstLineChars="650"/>
        <w:rPr>
          <w:rFonts w:hint="eastAsia" w:ascii="黑体" w:eastAsia="黑体"/>
          <w:color w:val="auto"/>
          <w:sz w:val="32"/>
          <w:szCs w:val="32"/>
        </w:rPr>
      </w:pPr>
      <w:r>
        <w:rPr>
          <w:rFonts w:hint="eastAsia" w:ascii="黑体" w:eastAsia="黑体"/>
          <w:color w:val="auto"/>
          <w:sz w:val="32"/>
          <w:szCs w:val="32"/>
        </w:rPr>
        <w:t>甲  方：西安市人民医院（</w:t>
      </w:r>
      <w:r>
        <w:rPr>
          <w:rFonts w:hint="eastAsia" w:ascii="黑体" w:hAnsi="宋体" w:eastAsia="黑体"/>
          <w:color w:val="auto"/>
          <w:sz w:val="32"/>
          <w:szCs w:val="32"/>
        </w:rPr>
        <w:t>西安市第四医院</w:t>
      </w:r>
      <w:r>
        <w:rPr>
          <w:rFonts w:hint="eastAsia" w:ascii="黑体" w:eastAsia="黑体"/>
          <w:color w:val="auto"/>
          <w:sz w:val="32"/>
          <w:szCs w:val="32"/>
        </w:rPr>
        <w:t>）</w:t>
      </w:r>
    </w:p>
    <w:p w14:paraId="19AA0568">
      <w:pPr>
        <w:tabs>
          <w:tab w:val="left" w:pos="480"/>
        </w:tabs>
        <w:ind w:firstLine="640" w:firstLineChars="200"/>
        <w:rPr>
          <w:rFonts w:hint="eastAsia" w:ascii="黑体" w:hAnsi="黑体" w:eastAsia="黑体"/>
          <w:color w:val="auto"/>
          <w:sz w:val="32"/>
          <w:szCs w:val="32"/>
        </w:rPr>
      </w:pPr>
      <w:r>
        <w:rPr>
          <w:rFonts w:hint="eastAsia" w:ascii="黑体" w:eastAsia="黑体"/>
          <w:color w:val="auto"/>
          <w:sz w:val="32"/>
          <w:szCs w:val="32"/>
        </w:rPr>
        <w:t xml:space="preserve">         </w:t>
      </w:r>
      <w:r>
        <w:rPr>
          <w:rFonts w:hint="eastAsia" w:ascii="黑体" w:hAnsi="黑体" w:eastAsia="黑体"/>
          <w:color w:val="auto"/>
          <w:sz w:val="32"/>
          <w:szCs w:val="32"/>
        </w:rPr>
        <w:t>乙  方：</w:t>
      </w:r>
    </w:p>
    <w:p w14:paraId="3522A314">
      <w:pPr>
        <w:rPr>
          <w:rFonts w:hint="eastAsia" w:ascii="黑体" w:eastAsia="黑体"/>
          <w:color w:val="auto"/>
          <w:sz w:val="30"/>
          <w:szCs w:val="30"/>
        </w:rPr>
      </w:pPr>
      <w:r>
        <w:rPr>
          <w:rFonts w:hint="eastAsia" w:ascii="黑体" w:eastAsia="黑体"/>
          <w:color w:val="auto"/>
          <w:sz w:val="32"/>
          <w:szCs w:val="32"/>
        </w:rPr>
        <w:t xml:space="preserve">             </w:t>
      </w:r>
      <w:r>
        <w:rPr>
          <w:rFonts w:hint="eastAsia" w:ascii="宋体" w:hAnsi="宋体"/>
          <w:color w:val="auto"/>
          <w:sz w:val="32"/>
          <w:szCs w:val="21"/>
        </w:rPr>
        <w:t>鉴证</w:t>
      </w:r>
      <w:r>
        <w:rPr>
          <w:rFonts w:hint="eastAsia" w:ascii="黑体" w:eastAsia="黑体"/>
          <w:color w:val="auto"/>
          <w:sz w:val="32"/>
          <w:szCs w:val="32"/>
        </w:rPr>
        <w:t>方：</w:t>
      </w:r>
    </w:p>
    <w:p w14:paraId="2F4D1891">
      <w:pPr>
        <w:jc w:val="center"/>
        <w:rPr>
          <w:rFonts w:hint="eastAsia" w:ascii="黑体" w:eastAsia="黑体"/>
          <w:color w:val="auto"/>
          <w:sz w:val="32"/>
          <w:szCs w:val="32"/>
        </w:rPr>
      </w:pPr>
    </w:p>
    <w:p w14:paraId="173949D5">
      <w:pPr>
        <w:jc w:val="center"/>
        <w:rPr>
          <w:rFonts w:hint="eastAsia" w:ascii="黑体" w:eastAsia="黑体"/>
          <w:color w:val="auto"/>
          <w:sz w:val="32"/>
          <w:szCs w:val="32"/>
        </w:rPr>
      </w:pPr>
    </w:p>
    <w:p w14:paraId="7BB1AEA6">
      <w:pPr>
        <w:jc w:val="center"/>
        <w:rPr>
          <w:rFonts w:hint="eastAsia" w:ascii="黑体" w:eastAsia="黑体"/>
          <w:color w:val="auto"/>
          <w:sz w:val="32"/>
          <w:szCs w:val="32"/>
          <w:u w:val="single"/>
        </w:rPr>
      </w:pPr>
      <w:r>
        <w:rPr>
          <w:rFonts w:hint="eastAsia" w:ascii="黑体" w:eastAsia="黑体"/>
          <w:color w:val="auto"/>
          <w:sz w:val="32"/>
          <w:szCs w:val="32"/>
        </w:rPr>
        <w:t>年  月</w:t>
      </w:r>
    </w:p>
    <w:p w14:paraId="22ABD69D">
      <w:pPr>
        <w:jc w:val="center"/>
        <w:rPr>
          <w:rFonts w:hint="eastAsia" w:ascii="黑体" w:eastAsia="黑体"/>
          <w:color w:val="auto"/>
          <w:sz w:val="32"/>
          <w:szCs w:val="32"/>
        </w:rPr>
      </w:pPr>
      <w:r>
        <w:rPr>
          <w:rFonts w:hint="eastAsia" w:ascii="黑体" w:eastAsia="黑体"/>
          <w:color w:val="auto"/>
          <w:sz w:val="32"/>
          <w:szCs w:val="32"/>
        </w:rPr>
        <w:t>中国  西安</w:t>
      </w:r>
    </w:p>
    <w:p w14:paraId="2AC793F3">
      <w:pPr>
        <w:jc w:val="center"/>
        <w:rPr>
          <w:rFonts w:hint="eastAsia" w:ascii="黑体" w:eastAsia="黑体"/>
          <w:color w:val="auto"/>
          <w:sz w:val="32"/>
          <w:szCs w:val="32"/>
        </w:rPr>
      </w:pPr>
    </w:p>
    <w:p w14:paraId="55EE2106">
      <w:pPr>
        <w:tabs>
          <w:tab w:val="left" w:pos="480"/>
        </w:tabs>
        <w:spacing w:line="600" w:lineRule="exact"/>
        <w:ind w:firstLine="560" w:firstLineChars="200"/>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供 货 合 同</w:t>
      </w:r>
    </w:p>
    <w:p w14:paraId="1651AC06">
      <w:pPr>
        <w:spacing w:line="60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甲方：西安市人民医院（西安市第四医院）</w:t>
      </w:r>
    </w:p>
    <w:p w14:paraId="535902A9">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1C608B95">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726DF6F9">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乙方： </w:t>
      </w:r>
    </w:p>
    <w:p w14:paraId="2AE3A651">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7E1C883F">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4A9745B2">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鉴证方： </w:t>
      </w:r>
    </w:p>
    <w:p w14:paraId="1A7B6F0F">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7FBF0160">
      <w:pPr>
        <w:tabs>
          <w:tab w:val="left" w:pos="480"/>
        </w:tabs>
        <w:spacing w:line="600" w:lineRule="exac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24B95E66">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鉴证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鉴证方确认，达成如下条款。</w:t>
      </w:r>
    </w:p>
    <w:p w14:paraId="3AE41C73">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一、合同标的物内容及数量（以投标文件正本和澄清表〈函〉为准）</w:t>
      </w:r>
    </w:p>
    <w:p w14:paraId="714A639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（一）合同最高限价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655"/>
        <w:gridCol w:w="1725"/>
        <w:gridCol w:w="2955"/>
        <w:gridCol w:w="1205"/>
      </w:tblGrid>
      <w:tr w14:paraId="2A324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7445B745">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2655" w:type="dxa"/>
            <w:tcBorders>
              <w:top w:val="single" w:color="auto" w:sz="4" w:space="0"/>
              <w:left w:val="single" w:color="auto" w:sz="4" w:space="0"/>
              <w:bottom w:val="single" w:color="auto" w:sz="4" w:space="0"/>
              <w:right w:val="single" w:color="auto" w:sz="4" w:space="0"/>
            </w:tcBorders>
            <w:noWrap w:val="0"/>
            <w:vAlign w:val="center"/>
          </w:tcPr>
          <w:p w14:paraId="07ADCFD2">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货物名称</w:t>
            </w:r>
          </w:p>
        </w:tc>
        <w:tc>
          <w:tcPr>
            <w:tcW w:w="1725" w:type="dxa"/>
            <w:tcBorders>
              <w:top w:val="single" w:color="auto" w:sz="4" w:space="0"/>
              <w:left w:val="single" w:color="auto" w:sz="4" w:space="0"/>
              <w:bottom w:val="single" w:color="auto" w:sz="4" w:space="0"/>
              <w:right w:val="single" w:color="auto" w:sz="4" w:space="0"/>
            </w:tcBorders>
            <w:noWrap w:val="0"/>
            <w:vAlign w:val="center"/>
          </w:tcPr>
          <w:p w14:paraId="3EE0DE6E">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数量</w:t>
            </w:r>
          </w:p>
        </w:tc>
        <w:tc>
          <w:tcPr>
            <w:tcW w:w="2955" w:type="dxa"/>
            <w:tcBorders>
              <w:top w:val="single" w:color="auto" w:sz="4" w:space="0"/>
              <w:left w:val="single" w:color="auto" w:sz="4" w:space="0"/>
              <w:bottom w:val="single" w:color="auto" w:sz="4" w:space="0"/>
              <w:right w:val="single" w:color="auto" w:sz="4" w:space="0"/>
            </w:tcBorders>
            <w:noWrap w:val="0"/>
            <w:vAlign w:val="center"/>
          </w:tcPr>
          <w:p w14:paraId="07122C58">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合同最高限价</w:t>
            </w:r>
          </w:p>
        </w:tc>
        <w:tc>
          <w:tcPr>
            <w:tcW w:w="1205" w:type="dxa"/>
            <w:tcBorders>
              <w:top w:val="single" w:color="auto" w:sz="4" w:space="0"/>
              <w:left w:val="single" w:color="auto" w:sz="4" w:space="0"/>
              <w:bottom w:val="single" w:color="auto" w:sz="4" w:space="0"/>
              <w:right w:val="single" w:color="auto" w:sz="4" w:space="0"/>
            </w:tcBorders>
            <w:noWrap w:val="0"/>
            <w:vAlign w:val="center"/>
          </w:tcPr>
          <w:p w14:paraId="13216F8F">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备注</w:t>
            </w:r>
          </w:p>
        </w:tc>
      </w:tr>
      <w:tr w14:paraId="3141B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278D2D44">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w:t>
            </w:r>
          </w:p>
        </w:tc>
        <w:tc>
          <w:tcPr>
            <w:tcW w:w="2655" w:type="dxa"/>
            <w:tcBorders>
              <w:top w:val="single" w:color="auto" w:sz="4" w:space="0"/>
              <w:left w:val="single" w:color="auto" w:sz="4" w:space="0"/>
              <w:bottom w:val="single" w:color="auto" w:sz="4" w:space="0"/>
              <w:right w:val="single" w:color="auto" w:sz="4" w:space="0"/>
            </w:tcBorders>
            <w:noWrap w:val="0"/>
            <w:vAlign w:val="center"/>
          </w:tcPr>
          <w:p w14:paraId="4F466466">
            <w:pPr>
              <w:tabs>
                <w:tab w:val="left" w:pos="480"/>
              </w:tabs>
              <w:jc w:val="center"/>
              <w:rPr>
                <w:rFonts w:hint="eastAsia" w:ascii="仿宋_GB2312" w:hAnsi="仿宋_GB2312" w:eastAsia="仿宋_GB2312" w:cs="仿宋_GB2312"/>
                <w:color w:val="auto"/>
                <w:sz w:val="24"/>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138062DE">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1批</w:t>
            </w:r>
          </w:p>
        </w:tc>
        <w:tc>
          <w:tcPr>
            <w:tcW w:w="2955" w:type="dxa"/>
            <w:tcBorders>
              <w:top w:val="single" w:color="auto" w:sz="4" w:space="0"/>
              <w:left w:val="single" w:color="auto" w:sz="4" w:space="0"/>
              <w:bottom w:val="single" w:color="auto" w:sz="4" w:space="0"/>
              <w:right w:val="single" w:color="auto" w:sz="4" w:space="0"/>
            </w:tcBorders>
            <w:noWrap w:val="0"/>
            <w:vAlign w:val="center"/>
          </w:tcPr>
          <w:p w14:paraId="423F745F">
            <w:pPr>
              <w:tabs>
                <w:tab w:val="left" w:pos="480"/>
              </w:tabs>
              <w:jc w:val="center"/>
              <w:rPr>
                <w:rFonts w:hint="eastAsia" w:ascii="仿宋_GB2312" w:hAnsi="仿宋_GB2312" w:eastAsia="仿宋_GB2312" w:cs="仿宋_GB2312"/>
                <w:color w:val="auto"/>
                <w:sz w:val="24"/>
              </w:rPr>
            </w:pPr>
          </w:p>
        </w:tc>
        <w:tc>
          <w:tcPr>
            <w:tcW w:w="1205" w:type="dxa"/>
            <w:tcBorders>
              <w:top w:val="single" w:color="auto" w:sz="4" w:space="0"/>
              <w:left w:val="single" w:color="auto" w:sz="4" w:space="0"/>
              <w:bottom w:val="single" w:color="auto" w:sz="4" w:space="0"/>
              <w:right w:val="single" w:color="auto" w:sz="4" w:space="0"/>
            </w:tcBorders>
            <w:noWrap w:val="0"/>
            <w:vAlign w:val="center"/>
          </w:tcPr>
          <w:p w14:paraId="6E8A9DD5">
            <w:pPr>
              <w:tabs>
                <w:tab w:val="left" w:pos="480"/>
              </w:tabs>
              <w:jc w:val="center"/>
              <w:rPr>
                <w:rFonts w:hint="eastAsia" w:ascii="仿宋_GB2312" w:hAnsi="仿宋_GB2312" w:eastAsia="仿宋_GB2312" w:cs="仿宋_GB2312"/>
                <w:color w:val="auto"/>
                <w:sz w:val="24"/>
              </w:rPr>
            </w:pPr>
          </w:p>
        </w:tc>
      </w:tr>
      <w:tr w14:paraId="04CBA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045CD506">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说明</w:t>
            </w:r>
          </w:p>
        </w:tc>
        <w:tc>
          <w:tcPr>
            <w:tcW w:w="8540" w:type="dxa"/>
            <w:gridSpan w:val="4"/>
            <w:tcBorders>
              <w:top w:val="single" w:color="auto" w:sz="4" w:space="0"/>
              <w:left w:val="single" w:color="auto" w:sz="4" w:space="0"/>
              <w:bottom w:val="single" w:color="auto" w:sz="4" w:space="0"/>
              <w:right w:val="single" w:color="auto" w:sz="4" w:space="0"/>
            </w:tcBorders>
            <w:noWrap w:val="0"/>
            <w:vAlign w:val="center"/>
          </w:tcPr>
          <w:p w14:paraId="53E0E722">
            <w:pPr>
              <w:tabs>
                <w:tab w:val="left" w:pos="480"/>
              </w:tabs>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合同最高限价人民币：（大写）       （小写）</w:t>
            </w:r>
          </w:p>
        </w:tc>
      </w:tr>
    </w:tbl>
    <w:p w14:paraId="41F0DCF7">
      <w:pPr>
        <w:tabs>
          <w:tab w:val="left" w:pos="480"/>
        </w:tabs>
        <w:spacing w:line="600" w:lineRule="exact"/>
        <w:ind w:firstLine="560" w:firstLineChars="200"/>
        <w:rPr>
          <w:rFonts w:hint="eastAsia" w:ascii="仿宋_GB2312" w:hAnsi="仿宋_GB2312" w:eastAsia="仿宋_GB2312" w:cs="仿宋_GB2312"/>
          <w:color w:val="auto"/>
          <w:sz w:val="28"/>
          <w:szCs w:val="28"/>
        </w:rPr>
      </w:pPr>
    </w:p>
    <w:p w14:paraId="731BEB99">
      <w:pPr>
        <w:tabs>
          <w:tab w:val="left" w:pos="480"/>
        </w:tabs>
        <w:spacing w:line="600" w:lineRule="exact"/>
        <w:ind w:firstLine="560" w:firstLineChars="200"/>
        <w:rPr>
          <w:rFonts w:hint="eastAsia" w:ascii="仿宋_GB2312" w:hAnsi="仿宋_GB2312" w:eastAsia="仿宋_GB2312" w:cs="仿宋_GB2312"/>
          <w:color w:val="auto"/>
          <w:sz w:val="28"/>
          <w:szCs w:val="28"/>
        </w:rPr>
      </w:pPr>
    </w:p>
    <w:p w14:paraId="61F4B1D7">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（二）明细报价</w:t>
      </w:r>
    </w:p>
    <w:tbl>
      <w:tblPr>
        <w:tblStyle w:val="5"/>
        <w:tblW w:w="0" w:type="auto"/>
        <w:tblInd w:w="106" w:type="dxa"/>
        <w:tblLayout w:type="fixed"/>
        <w:tblCellMar>
          <w:top w:w="0" w:type="dxa"/>
          <w:left w:w="108" w:type="dxa"/>
          <w:bottom w:w="0" w:type="dxa"/>
          <w:right w:w="108" w:type="dxa"/>
        </w:tblCellMar>
      </w:tblPr>
      <w:tblGrid>
        <w:gridCol w:w="1226"/>
        <w:gridCol w:w="1065"/>
        <w:gridCol w:w="1399"/>
        <w:gridCol w:w="2970"/>
        <w:gridCol w:w="1350"/>
        <w:gridCol w:w="1065"/>
      </w:tblGrid>
      <w:tr w14:paraId="617076B6">
        <w:tblPrEx>
          <w:tblCellMar>
            <w:top w:w="0" w:type="dxa"/>
            <w:left w:w="108" w:type="dxa"/>
            <w:bottom w:w="0" w:type="dxa"/>
            <w:right w:w="108" w:type="dxa"/>
          </w:tblCellMar>
        </w:tblPrEx>
        <w:trPr>
          <w:trHeight w:val="57" w:hRule="atLeast"/>
        </w:trPr>
        <w:tc>
          <w:tcPr>
            <w:tcW w:w="1226" w:type="dxa"/>
            <w:tcBorders>
              <w:top w:val="single" w:color="auto" w:sz="4" w:space="0"/>
              <w:left w:val="single" w:color="auto" w:sz="4" w:space="0"/>
              <w:bottom w:val="single" w:color="auto" w:sz="4" w:space="0"/>
              <w:right w:val="single" w:color="auto" w:sz="4" w:space="0"/>
            </w:tcBorders>
            <w:noWrap w:val="0"/>
            <w:vAlign w:val="center"/>
          </w:tcPr>
          <w:p w14:paraId="25C60CAB">
            <w:pPr>
              <w:widowControl/>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序号</w:t>
            </w:r>
          </w:p>
        </w:tc>
        <w:tc>
          <w:tcPr>
            <w:tcW w:w="1065" w:type="dxa"/>
            <w:tcBorders>
              <w:top w:val="single" w:color="auto" w:sz="4" w:space="0"/>
              <w:left w:val="nil"/>
              <w:bottom w:val="single" w:color="auto" w:sz="4" w:space="0"/>
              <w:right w:val="single" w:color="auto" w:sz="4" w:space="0"/>
            </w:tcBorders>
            <w:noWrap w:val="0"/>
            <w:vAlign w:val="center"/>
          </w:tcPr>
          <w:p w14:paraId="0C37F59B">
            <w:pPr>
              <w:widowControl/>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货物名称</w:t>
            </w:r>
          </w:p>
        </w:tc>
        <w:tc>
          <w:tcPr>
            <w:tcW w:w="1399" w:type="dxa"/>
            <w:tcBorders>
              <w:top w:val="single" w:color="auto" w:sz="4" w:space="0"/>
              <w:left w:val="nil"/>
              <w:bottom w:val="single" w:color="auto" w:sz="4" w:space="0"/>
              <w:right w:val="single" w:color="auto" w:sz="4" w:space="0"/>
            </w:tcBorders>
            <w:noWrap w:val="0"/>
            <w:vAlign w:val="center"/>
          </w:tcPr>
          <w:p w14:paraId="777DA722">
            <w:pPr>
              <w:widowControl/>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品牌及产地</w:t>
            </w:r>
          </w:p>
        </w:tc>
        <w:tc>
          <w:tcPr>
            <w:tcW w:w="2970" w:type="dxa"/>
            <w:tcBorders>
              <w:top w:val="single" w:color="auto" w:sz="4" w:space="0"/>
              <w:left w:val="nil"/>
              <w:bottom w:val="single" w:color="auto" w:sz="4" w:space="0"/>
              <w:right w:val="single" w:color="auto" w:sz="4" w:space="0"/>
            </w:tcBorders>
            <w:noWrap w:val="0"/>
            <w:vAlign w:val="center"/>
          </w:tcPr>
          <w:p w14:paraId="5BED6CCC">
            <w:pPr>
              <w:widowControl/>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规格型号</w:t>
            </w:r>
          </w:p>
        </w:tc>
        <w:tc>
          <w:tcPr>
            <w:tcW w:w="1350" w:type="dxa"/>
            <w:tcBorders>
              <w:top w:val="single" w:color="auto" w:sz="4" w:space="0"/>
              <w:left w:val="nil"/>
              <w:bottom w:val="single" w:color="auto" w:sz="4" w:space="0"/>
              <w:right w:val="single" w:color="auto" w:sz="4" w:space="0"/>
            </w:tcBorders>
            <w:noWrap w:val="0"/>
            <w:vAlign w:val="center"/>
          </w:tcPr>
          <w:p w14:paraId="1C4125D0">
            <w:pPr>
              <w:widowControl/>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单位</w:t>
            </w:r>
          </w:p>
        </w:tc>
        <w:tc>
          <w:tcPr>
            <w:tcW w:w="1065" w:type="dxa"/>
            <w:tcBorders>
              <w:top w:val="single" w:color="auto" w:sz="4" w:space="0"/>
              <w:left w:val="nil"/>
              <w:bottom w:val="single" w:color="auto" w:sz="4" w:space="0"/>
              <w:right w:val="single" w:color="auto" w:sz="4" w:space="0"/>
            </w:tcBorders>
            <w:noWrap/>
            <w:vAlign w:val="center"/>
          </w:tcPr>
          <w:p w14:paraId="3DC06725">
            <w:pPr>
              <w:widowControl/>
              <w:jc w:val="center"/>
              <w:rPr>
                <w:rFonts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单价（元）</w:t>
            </w:r>
          </w:p>
        </w:tc>
      </w:tr>
      <w:tr w14:paraId="38D7C5A0">
        <w:tblPrEx>
          <w:tblCellMar>
            <w:top w:w="0" w:type="dxa"/>
            <w:left w:w="108" w:type="dxa"/>
            <w:bottom w:w="0" w:type="dxa"/>
            <w:right w:w="108" w:type="dxa"/>
          </w:tblCellMar>
        </w:tblPrEx>
        <w:trPr>
          <w:trHeight w:val="57" w:hRule="atLeast"/>
        </w:trPr>
        <w:tc>
          <w:tcPr>
            <w:tcW w:w="1226" w:type="dxa"/>
            <w:tcBorders>
              <w:top w:val="single" w:color="auto" w:sz="4" w:space="0"/>
              <w:left w:val="single" w:color="auto" w:sz="4" w:space="0"/>
              <w:bottom w:val="single" w:color="auto" w:sz="4" w:space="0"/>
              <w:right w:val="single" w:color="auto" w:sz="4" w:space="0"/>
            </w:tcBorders>
            <w:noWrap/>
            <w:vAlign w:val="center"/>
          </w:tcPr>
          <w:p w14:paraId="771717D6">
            <w:pPr>
              <w:widowControl/>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1</w:t>
            </w:r>
          </w:p>
        </w:tc>
        <w:tc>
          <w:tcPr>
            <w:tcW w:w="1065" w:type="dxa"/>
            <w:tcBorders>
              <w:top w:val="single" w:color="auto" w:sz="4" w:space="0"/>
              <w:left w:val="nil"/>
              <w:bottom w:val="single" w:color="auto" w:sz="4" w:space="0"/>
              <w:right w:val="single" w:color="auto" w:sz="4" w:space="0"/>
            </w:tcBorders>
            <w:noWrap w:val="0"/>
            <w:vAlign w:val="center"/>
          </w:tcPr>
          <w:p w14:paraId="0FA60D86">
            <w:pPr>
              <w:widowControl/>
              <w:jc w:val="left"/>
              <w:rPr>
                <w:rFonts w:hint="eastAsia" w:ascii="仿宋_GB2312" w:hAnsi="仿宋_GB2312" w:eastAsia="仿宋_GB2312" w:cs="仿宋_GB2312"/>
                <w:color w:val="auto"/>
                <w:kern w:val="0"/>
                <w:szCs w:val="21"/>
              </w:rPr>
            </w:pPr>
          </w:p>
        </w:tc>
        <w:tc>
          <w:tcPr>
            <w:tcW w:w="1399" w:type="dxa"/>
            <w:tcBorders>
              <w:top w:val="single" w:color="auto" w:sz="4" w:space="0"/>
              <w:left w:val="nil"/>
              <w:bottom w:val="single" w:color="auto" w:sz="4" w:space="0"/>
              <w:right w:val="single" w:color="auto" w:sz="4" w:space="0"/>
            </w:tcBorders>
            <w:noWrap w:val="0"/>
            <w:vAlign w:val="center"/>
          </w:tcPr>
          <w:p w14:paraId="6707C794">
            <w:pPr>
              <w:widowControl/>
              <w:jc w:val="left"/>
              <w:rPr>
                <w:rFonts w:hint="eastAsia" w:ascii="仿宋_GB2312" w:hAnsi="仿宋_GB2312" w:eastAsia="仿宋_GB2312" w:cs="仿宋_GB2312"/>
                <w:color w:val="auto"/>
                <w:kern w:val="0"/>
                <w:szCs w:val="21"/>
              </w:rPr>
            </w:pPr>
          </w:p>
        </w:tc>
        <w:tc>
          <w:tcPr>
            <w:tcW w:w="2970" w:type="dxa"/>
            <w:tcBorders>
              <w:top w:val="single" w:color="auto" w:sz="4" w:space="0"/>
              <w:left w:val="nil"/>
              <w:bottom w:val="single" w:color="auto" w:sz="4" w:space="0"/>
              <w:right w:val="single" w:color="auto" w:sz="4" w:space="0"/>
            </w:tcBorders>
            <w:noWrap w:val="0"/>
            <w:vAlign w:val="center"/>
          </w:tcPr>
          <w:p w14:paraId="14EFE2FE">
            <w:pPr>
              <w:widowControl/>
              <w:jc w:val="left"/>
              <w:rPr>
                <w:rFonts w:hint="eastAsia" w:ascii="仿宋_GB2312" w:hAnsi="仿宋_GB2312" w:eastAsia="仿宋_GB2312" w:cs="仿宋_GB2312"/>
                <w:color w:val="auto"/>
                <w:kern w:val="0"/>
                <w:szCs w:val="21"/>
              </w:rPr>
            </w:pPr>
          </w:p>
        </w:tc>
        <w:tc>
          <w:tcPr>
            <w:tcW w:w="1350" w:type="dxa"/>
            <w:tcBorders>
              <w:top w:val="single" w:color="auto" w:sz="4" w:space="0"/>
              <w:left w:val="nil"/>
              <w:bottom w:val="single" w:color="auto" w:sz="4" w:space="0"/>
              <w:right w:val="single" w:color="auto" w:sz="4" w:space="0"/>
            </w:tcBorders>
            <w:noWrap w:val="0"/>
            <w:vAlign w:val="center"/>
          </w:tcPr>
          <w:p w14:paraId="2939EC7D">
            <w:pPr>
              <w:widowControl/>
              <w:jc w:val="center"/>
              <w:rPr>
                <w:rFonts w:hint="eastAsia" w:ascii="仿宋_GB2312" w:hAnsi="仿宋_GB2312" w:eastAsia="仿宋_GB2312" w:cs="仿宋_GB2312"/>
                <w:color w:val="auto"/>
                <w:kern w:val="0"/>
                <w:szCs w:val="21"/>
              </w:rPr>
            </w:pPr>
          </w:p>
        </w:tc>
        <w:tc>
          <w:tcPr>
            <w:tcW w:w="1065" w:type="dxa"/>
            <w:tcBorders>
              <w:top w:val="single" w:color="auto" w:sz="4" w:space="0"/>
              <w:left w:val="nil"/>
              <w:bottom w:val="single" w:color="auto" w:sz="4" w:space="0"/>
              <w:right w:val="single" w:color="auto" w:sz="4" w:space="0"/>
            </w:tcBorders>
            <w:noWrap/>
            <w:vAlign w:val="center"/>
          </w:tcPr>
          <w:p w14:paraId="73737BCA">
            <w:pPr>
              <w:widowControl/>
              <w:jc w:val="center"/>
              <w:textAlignment w:val="top"/>
              <w:rPr>
                <w:rFonts w:hint="eastAsia" w:ascii="仿宋_GB2312" w:hAnsi="仿宋_GB2312" w:eastAsia="仿宋_GB2312" w:cs="仿宋_GB2312"/>
                <w:color w:val="auto"/>
                <w:kern w:val="0"/>
                <w:szCs w:val="21"/>
              </w:rPr>
            </w:pPr>
          </w:p>
        </w:tc>
      </w:tr>
      <w:tr w14:paraId="6A752D44">
        <w:tblPrEx>
          <w:tblCellMar>
            <w:top w:w="0" w:type="dxa"/>
            <w:left w:w="108" w:type="dxa"/>
            <w:bottom w:w="0" w:type="dxa"/>
            <w:right w:w="108" w:type="dxa"/>
          </w:tblCellMar>
        </w:tblPrEx>
        <w:trPr>
          <w:trHeight w:val="57" w:hRule="atLeast"/>
        </w:trPr>
        <w:tc>
          <w:tcPr>
            <w:tcW w:w="1226" w:type="dxa"/>
            <w:tcBorders>
              <w:top w:val="single" w:color="auto" w:sz="4" w:space="0"/>
              <w:left w:val="single" w:color="auto" w:sz="4" w:space="0"/>
              <w:bottom w:val="single" w:color="auto" w:sz="4" w:space="0"/>
              <w:right w:val="single" w:color="auto" w:sz="4" w:space="0"/>
            </w:tcBorders>
            <w:noWrap/>
            <w:vAlign w:val="center"/>
          </w:tcPr>
          <w:p w14:paraId="2D91A544">
            <w:pPr>
              <w:widowControl/>
              <w:jc w:val="center"/>
              <w:rPr>
                <w:rFonts w:hint="eastAsia" w:ascii="仿宋_GB2312" w:hAnsi="仿宋_GB2312" w:eastAsia="仿宋_GB2312" w:cs="仿宋_GB2312"/>
                <w:color w:val="auto"/>
                <w:kern w:val="0"/>
                <w:szCs w:val="21"/>
              </w:rPr>
            </w:pPr>
            <w:r>
              <w:rPr>
                <w:rFonts w:ascii="仿宋_GB2312" w:hAnsi="仿宋_GB2312" w:eastAsia="仿宋_GB2312" w:cs="仿宋_GB2312"/>
                <w:color w:val="auto"/>
                <w:kern w:val="0"/>
                <w:szCs w:val="21"/>
              </w:rPr>
              <w:t>…</w:t>
            </w:r>
          </w:p>
        </w:tc>
        <w:tc>
          <w:tcPr>
            <w:tcW w:w="1065" w:type="dxa"/>
            <w:tcBorders>
              <w:top w:val="single" w:color="auto" w:sz="4" w:space="0"/>
              <w:left w:val="nil"/>
              <w:bottom w:val="single" w:color="auto" w:sz="4" w:space="0"/>
              <w:right w:val="single" w:color="auto" w:sz="4" w:space="0"/>
            </w:tcBorders>
            <w:noWrap w:val="0"/>
            <w:vAlign w:val="center"/>
          </w:tcPr>
          <w:p w14:paraId="2DC97B28">
            <w:pPr>
              <w:widowControl/>
              <w:jc w:val="left"/>
              <w:rPr>
                <w:rFonts w:hint="eastAsia" w:ascii="仿宋_GB2312" w:hAnsi="仿宋_GB2312" w:eastAsia="仿宋_GB2312" w:cs="仿宋_GB2312"/>
                <w:color w:val="auto"/>
                <w:kern w:val="0"/>
                <w:szCs w:val="21"/>
              </w:rPr>
            </w:pPr>
          </w:p>
        </w:tc>
        <w:tc>
          <w:tcPr>
            <w:tcW w:w="1399" w:type="dxa"/>
            <w:tcBorders>
              <w:top w:val="single" w:color="auto" w:sz="4" w:space="0"/>
              <w:left w:val="nil"/>
              <w:bottom w:val="single" w:color="auto" w:sz="4" w:space="0"/>
              <w:right w:val="single" w:color="auto" w:sz="4" w:space="0"/>
            </w:tcBorders>
            <w:noWrap w:val="0"/>
            <w:vAlign w:val="center"/>
          </w:tcPr>
          <w:p w14:paraId="00E4AF46">
            <w:pPr>
              <w:widowControl/>
              <w:jc w:val="left"/>
              <w:rPr>
                <w:rFonts w:hint="eastAsia" w:ascii="仿宋_GB2312" w:hAnsi="仿宋_GB2312" w:eastAsia="仿宋_GB2312" w:cs="仿宋_GB2312"/>
                <w:color w:val="auto"/>
                <w:kern w:val="0"/>
                <w:szCs w:val="21"/>
              </w:rPr>
            </w:pPr>
          </w:p>
        </w:tc>
        <w:tc>
          <w:tcPr>
            <w:tcW w:w="2970" w:type="dxa"/>
            <w:tcBorders>
              <w:top w:val="single" w:color="auto" w:sz="4" w:space="0"/>
              <w:left w:val="nil"/>
              <w:bottom w:val="single" w:color="auto" w:sz="4" w:space="0"/>
              <w:right w:val="single" w:color="auto" w:sz="4" w:space="0"/>
            </w:tcBorders>
            <w:noWrap w:val="0"/>
            <w:vAlign w:val="center"/>
          </w:tcPr>
          <w:p w14:paraId="2E468CE2">
            <w:pPr>
              <w:widowControl/>
              <w:jc w:val="left"/>
              <w:rPr>
                <w:rFonts w:hint="eastAsia" w:ascii="仿宋_GB2312" w:hAnsi="仿宋_GB2312" w:eastAsia="仿宋_GB2312" w:cs="仿宋_GB2312"/>
                <w:color w:val="auto"/>
                <w:kern w:val="0"/>
                <w:szCs w:val="21"/>
              </w:rPr>
            </w:pPr>
          </w:p>
        </w:tc>
        <w:tc>
          <w:tcPr>
            <w:tcW w:w="1350" w:type="dxa"/>
            <w:tcBorders>
              <w:top w:val="single" w:color="auto" w:sz="4" w:space="0"/>
              <w:left w:val="nil"/>
              <w:bottom w:val="single" w:color="auto" w:sz="4" w:space="0"/>
              <w:right w:val="single" w:color="auto" w:sz="4" w:space="0"/>
            </w:tcBorders>
            <w:noWrap w:val="0"/>
            <w:vAlign w:val="center"/>
          </w:tcPr>
          <w:p w14:paraId="75F4876A">
            <w:pPr>
              <w:widowControl/>
              <w:jc w:val="center"/>
              <w:rPr>
                <w:rFonts w:hint="eastAsia" w:ascii="仿宋_GB2312" w:hAnsi="仿宋_GB2312" w:eastAsia="仿宋_GB2312" w:cs="仿宋_GB2312"/>
                <w:color w:val="auto"/>
                <w:kern w:val="0"/>
                <w:szCs w:val="21"/>
              </w:rPr>
            </w:pPr>
          </w:p>
        </w:tc>
        <w:tc>
          <w:tcPr>
            <w:tcW w:w="1065" w:type="dxa"/>
            <w:tcBorders>
              <w:top w:val="single" w:color="auto" w:sz="4" w:space="0"/>
              <w:left w:val="nil"/>
              <w:bottom w:val="single" w:color="auto" w:sz="4" w:space="0"/>
              <w:right w:val="single" w:color="auto" w:sz="4" w:space="0"/>
            </w:tcBorders>
            <w:noWrap/>
            <w:vAlign w:val="center"/>
          </w:tcPr>
          <w:p w14:paraId="1248041E">
            <w:pPr>
              <w:widowControl/>
              <w:jc w:val="center"/>
              <w:textAlignment w:val="top"/>
              <w:rPr>
                <w:rFonts w:hint="eastAsia" w:ascii="仿宋_GB2312" w:hAnsi="仿宋_GB2312" w:eastAsia="仿宋_GB2312" w:cs="仿宋_GB2312"/>
                <w:color w:val="auto"/>
                <w:kern w:val="0"/>
                <w:szCs w:val="21"/>
              </w:rPr>
            </w:pPr>
          </w:p>
        </w:tc>
      </w:tr>
      <w:tr w14:paraId="77453184">
        <w:tblPrEx>
          <w:tblCellMar>
            <w:top w:w="0" w:type="dxa"/>
            <w:left w:w="108" w:type="dxa"/>
            <w:bottom w:w="0" w:type="dxa"/>
            <w:right w:w="108" w:type="dxa"/>
          </w:tblCellMar>
        </w:tblPrEx>
        <w:trPr>
          <w:trHeight w:val="57" w:hRule="atLeast"/>
        </w:trPr>
        <w:tc>
          <w:tcPr>
            <w:tcW w:w="1226" w:type="dxa"/>
            <w:tcBorders>
              <w:top w:val="single" w:color="auto" w:sz="4" w:space="0"/>
              <w:left w:val="single" w:color="auto" w:sz="4" w:space="0"/>
              <w:bottom w:val="single" w:color="auto" w:sz="4" w:space="0"/>
              <w:right w:val="single" w:color="auto" w:sz="4" w:space="0"/>
            </w:tcBorders>
            <w:noWrap/>
            <w:vAlign w:val="center"/>
          </w:tcPr>
          <w:p w14:paraId="3188ADA4">
            <w:pPr>
              <w:widowControl/>
              <w:jc w:val="center"/>
              <w:rPr>
                <w:rFonts w:hint="eastAsia" w:ascii="仿宋_GB2312" w:hAnsi="仿宋_GB2312" w:eastAsia="仿宋_GB2312" w:cs="仿宋_GB2312"/>
                <w:color w:val="auto"/>
                <w:kern w:val="0"/>
                <w:szCs w:val="21"/>
              </w:rPr>
            </w:pPr>
            <w:r>
              <w:rPr>
                <w:rFonts w:ascii="仿宋_GB2312" w:hAnsi="仿宋_GB2312" w:eastAsia="仿宋_GB2312" w:cs="仿宋_GB2312"/>
                <w:color w:val="auto"/>
                <w:kern w:val="0"/>
                <w:szCs w:val="21"/>
              </w:rPr>
              <w:t>…</w:t>
            </w:r>
          </w:p>
        </w:tc>
        <w:tc>
          <w:tcPr>
            <w:tcW w:w="1065" w:type="dxa"/>
            <w:tcBorders>
              <w:top w:val="single" w:color="auto" w:sz="4" w:space="0"/>
              <w:left w:val="nil"/>
              <w:bottom w:val="single" w:color="auto" w:sz="4" w:space="0"/>
              <w:right w:val="single" w:color="auto" w:sz="4" w:space="0"/>
            </w:tcBorders>
            <w:noWrap w:val="0"/>
            <w:vAlign w:val="center"/>
          </w:tcPr>
          <w:p w14:paraId="4B468D25">
            <w:pPr>
              <w:widowControl/>
              <w:jc w:val="left"/>
              <w:rPr>
                <w:rFonts w:hint="eastAsia" w:ascii="仿宋_GB2312" w:hAnsi="仿宋_GB2312" w:eastAsia="仿宋_GB2312" w:cs="仿宋_GB2312"/>
                <w:color w:val="auto"/>
                <w:kern w:val="0"/>
                <w:szCs w:val="21"/>
              </w:rPr>
            </w:pPr>
          </w:p>
        </w:tc>
        <w:tc>
          <w:tcPr>
            <w:tcW w:w="1399" w:type="dxa"/>
            <w:tcBorders>
              <w:top w:val="single" w:color="auto" w:sz="4" w:space="0"/>
              <w:left w:val="nil"/>
              <w:bottom w:val="single" w:color="auto" w:sz="4" w:space="0"/>
              <w:right w:val="single" w:color="auto" w:sz="4" w:space="0"/>
            </w:tcBorders>
            <w:noWrap w:val="0"/>
            <w:vAlign w:val="center"/>
          </w:tcPr>
          <w:p w14:paraId="0E43CCAB">
            <w:pPr>
              <w:widowControl/>
              <w:jc w:val="left"/>
              <w:rPr>
                <w:rFonts w:hint="eastAsia" w:ascii="仿宋_GB2312" w:hAnsi="仿宋_GB2312" w:eastAsia="仿宋_GB2312" w:cs="仿宋_GB2312"/>
                <w:color w:val="auto"/>
                <w:kern w:val="0"/>
                <w:szCs w:val="21"/>
              </w:rPr>
            </w:pPr>
          </w:p>
        </w:tc>
        <w:tc>
          <w:tcPr>
            <w:tcW w:w="2970" w:type="dxa"/>
            <w:tcBorders>
              <w:top w:val="single" w:color="auto" w:sz="4" w:space="0"/>
              <w:left w:val="nil"/>
              <w:bottom w:val="single" w:color="auto" w:sz="4" w:space="0"/>
              <w:right w:val="single" w:color="auto" w:sz="4" w:space="0"/>
            </w:tcBorders>
            <w:noWrap w:val="0"/>
            <w:vAlign w:val="center"/>
          </w:tcPr>
          <w:p w14:paraId="54C1F2E3">
            <w:pPr>
              <w:widowControl/>
              <w:jc w:val="left"/>
              <w:rPr>
                <w:rFonts w:hint="eastAsia" w:ascii="仿宋_GB2312" w:hAnsi="仿宋_GB2312" w:eastAsia="仿宋_GB2312" w:cs="仿宋_GB2312"/>
                <w:color w:val="auto"/>
                <w:kern w:val="0"/>
                <w:szCs w:val="21"/>
              </w:rPr>
            </w:pPr>
          </w:p>
        </w:tc>
        <w:tc>
          <w:tcPr>
            <w:tcW w:w="1350" w:type="dxa"/>
            <w:tcBorders>
              <w:top w:val="single" w:color="auto" w:sz="4" w:space="0"/>
              <w:left w:val="nil"/>
              <w:bottom w:val="single" w:color="auto" w:sz="4" w:space="0"/>
              <w:right w:val="single" w:color="auto" w:sz="4" w:space="0"/>
            </w:tcBorders>
            <w:noWrap w:val="0"/>
            <w:vAlign w:val="center"/>
          </w:tcPr>
          <w:p w14:paraId="3786587A">
            <w:pPr>
              <w:widowControl/>
              <w:jc w:val="center"/>
              <w:rPr>
                <w:rFonts w:hint="eastAsia" w:ascii="仿宋_GB2312" w:hAnsi="仿宋_GB2312" w:eastAsia="仿宋_GB2312" w:cs="仿宋_GB2312"/>
                <w:color w:val="auto"/>
                <w:kern w:val="0"/>
                <w:szCs w:val="21"/>
              </w:rPr>
            </w:pPr>
          </w:p>
        </w:tc>
        <w:tc>
          <w:tcPr>
            <w:tcW w:w="1065" w:type="dxa"/>
            <w:tcBorders>
              <w:top w:val="single" w:color="auto" w:sz="4" w:space="0"/>
              <w:left w:val="nil"/>
              <w:bottom w:val="single" w:color="auto" w:sz="4" w:space="0"/>
              <w:right w:val="single" w:color="auto" w:sz="4" w:space="0"/>
            </w:tcBorders>
            <w:noWrap/>
            <w:vAlign w:val="center"/>
          </w:tcPr>
          <w:p w14:paraId="63E6ADF4">
            <w:pPr>
              <w:widowControl/>
              <w:jc w:val="center"/>
              <w:textAlignment w:val="top"/>
              <w:rPr>
                <w:rFonts w:hint="eastAsia" w:ascii="仿宋_GB2312" w:hAnsi="仿宋_GB2312" w:eastAsia="仿宋_GB2312" w:cs="仿宋_GB2312"/>
                <w:color w:val="auto"/>
                <w:kern w:val="0"/>
                <w:szCs w:val="21"/>
              </w:rPr>
            </w:pPr>
          </w:p>
        </w:tc>
      </w:tr>
    </w:tbl>
    <w:p w14:paraId="65FD10DB">
      <w:pPr>
        <w:tabs>
          <w:tab w:val="left" w:pos="480"/>
        </w:tabs>
        <w:spacing w:line="600" w:lineRule="exact"/>
        <w:ind w:firstLine="280" w:firstLineChars="1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二、合同价款</w:t>
      </w:r>
    </w:p>
    <w:p w14:paraId="2811D48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（一）合同最高限价为人民币（大写）       （￥       ）。</w:t>
      </w:r>
    </w:p>
    <w:p w14:paraId="0CB4A3A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（二）合同价款包括：设备采购费（货物费、运输费（含保险费）、装卸费）、拆除费、安装调试费、检测验收、培训、技术服务、税金及其它</w:t>
      </w:r>
      <w:r>
        <w:rPr>
          <w:rFonts w:hint="eastAsia" w:ascii="仿宋_GB2312" w:hAnsi="仿宋" w:eastAsia="仿宋_GB2312" w:cs="仿宋_GB2312"/>
          <w:bCs/>
          <w:color w:val="auto"/>
          <w:sz w:val="28"/>
          <w:szCs w:val="28"/>
          <w:lang w:bidi="ar"/>
        </w:rPr>
        <w:t>乙方履行合同义务所需的全部</w:t>
      </w:r>
      <w:r>
        <w:rPr>
          <w:rFonts w:hint="eastAsia" w:ascii="仿宋_GB2312" w:hAnsi="仿宋_GB2312" w:eastAsia="仿宋_GB2312" w:cs="仿宋_GB2312"/>
          <w:color w:val="auto"/>
          <w:sz w:val="28"/>
          <w:szCs w:val="28"/>
        </w:rPr>
        <w:t>费用。</w:t>
      </w:r>
    </w:p>
    <w:p w14:paraId="52150606">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（三）合同价款一次性包死，不受市场价格变化因素的影响。</w:t>
      </w:r>
    </w:p>
    <w:p w14:paraId="7A7F2C3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（四）自合同签订之日起  年或项目最终结算达到最高限价，以上两个条件任何一个先到合同自动终止。</w:t>
      </w:r>
    </w:p>
    <w:p w14:paraId="04B92DAD">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三、款项结算</w:t>
      </w:r>
    </w:p>
    <w:p w14:paraId="29B5287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（一）无预付款，每批次货物到达甲方指定地点，安装、调试完毕、提供国家或行业标准的合格验收证明以及出具所有设备生产厂家提供的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年保修协议等，</w:t>
      </w:r>
      <w:r>
        <w:rPr>
          <w:rFonts w:hint="eastAsia" w:ascii="仿宋_GB2312" w:hAnsi="仿宋_GB2312" w:eastAsia="仿宋_GB2312" w:cs="仿宋_GB2312"/>
          <w:b/>
          <w:bCs/>
          <w:color w:val="auto"/>
          <w:sz w:val="28"/>
          <w:szCs w:val="28"/>
        </w:rPr>
        <w:t>乙方完成自检合格后，提交甲方进行第一次验收，甲方自第一次验收合格且收到发票之日起</w:t>
      </w:r>
      <w:r>
        <w:rPr>
          <w:rFonts w:hint="eastAsia" w:ascii="仿宋_GB2312" w:hAnsi="仿宋_GB2312" w:eastAsia="仿宋_GB2312" w:cs="仿宋_GB2312"/>
          <w:color w:val="auto"/>
          <w:sz w:val="28"/>
          <w:szCs w:val="28"/>
        </w:rPr>
        <w:t>，十个工作日内内无息支付每批次验收合格产品对应金额的95%，若因乙方不能及时提供发票或提供的发票不符合要求的，甲方付款期限顺延，且不承担任何责任。</w:t>
      </w:r>
    </w:p>
    <w:p w14:paraId="23B56989">
      <w:pPr>
        <w:pStyle w:val="4"/>
        <w:ind w:left="0" w:leftChars="0" w:firstLine="560"/>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（二）</w:t>
      </w:r>
      <w:r>
        <w:rPr>
          <w:rFonts w:hint="eastAsia" w:ascii="仿宋_GB2312" w:hAnsi="仿宋_GB2312" w:eastAsia="仿宋_GB2312" w:cs="仿宋_GB2312"/>
          <w:b/>
          <w:bCs/>
          <w:color w:val="auto"/>
          <w:sz w:val="28"/>
          <w:szCs w:val="28"/>
        </w:rPr>
        <w:t>货物第一次验收合格满   个月后，进行二次验收，验收合格后无息支付每批次验收合格产品对应金额总价5%。</w:t>
      </w:r>
    </w:p>
    <w:p w14:paraId="3D3C9473">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（三）支付方式：银行转帐。</w:t>
      </w:r>
    </w:p>
    <w:p w14:paraId="21166B7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乙方确认以下信息为收款信息：</w:t>
      </w:r>
    </w:p>
    <w:p w14:paraId="255C5E5D">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开户名：</w:t>
      </w:r>
    </w:p>
    <w:p w14:paraId="1E1E1E4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开户行：</w:t>
      </w:r>
    </w:p>
    <w:p w14:paraId="707527DF">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账号：</w:t>
      </w:r>
    </w:p>
    <w:p w14:paraId="2FE69A89">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（四）结算方式：所有货物验收合格后，乙方持发票（按每批次验收合格金额由乙方直开甲方）、项目验收单、采购合同，到甲方办理资金结算。</w:t>
      </w:r>
    </w:p>
    <w:p w14:paraId="641D80E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四、双方的权利和义务</w:t>
      </w:r>
    </w:p>
    <w:p w14:paraId="13976A5A">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（一）甲方的权利和义务</w:t>
      </w:r>
    </w:p>
    <w:p w14:paraId="182508F9">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甲方权利：组织使用单位严格按照招标文件及投标文件要求和标准验收货物。</w:t>
      </w:r>
    </w:p>
    <w:p w14:paraId="52776DB4">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甲方义务：积极配合乙方安装、调试等工作；组织、开展验收工作。</w:t>
      </w:r>
    </w:p>
    <w:p w14:paraId="464FA61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（二）乙方的权利和义务</w:t>
      </w:r>
    </w:p>
    <w:p w14:paraId="7B767CF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乙方权利：按照合同约定要求甲方及时付款。</w:t>
      </w:r>
    </w:p>
    <w:p w14:paraId="0C6CD1B7">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包括但不限于甲方因维权产生的诉讼费、公证费、保全费以及律师费等）。</w:t>
      </w:r>
    </w:p>
    <w:p w14:paraId="4A38EF6C">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乙方保证货物后期可与甲方各类信息化网络系统双向接口免费对接，即供应商应负责与甲方及甲方信息化网络系统供应商的接口均完成对接，过程中所产生的全部费用由乙方承担。</w:t>
      </w:r>
    </w:p>
    <w:p w14:paraId="7C0C1C1D">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五、交货条件：</w:t>
      </w:r>
    </w:p>
    <w:p w14:paraId="53DB1ABC">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（一）交货地点：甲方指定地点。</w:t>
      </w:r>
    </w:p>
    <w:p w14:paraId="25993597">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（二）交货期：</w:t>
      </w:r>
      <w:bookmarkStart w:id="0" w:name="_Hlk203465266"/>
      <w:r>
        <w:rPr>
          <w:rFonts w:hint="eastAsia" w:ascii="仿宋_GB2312" w:hAnsi="仿宋_GB2312" w:eastAsia="仿宋_GB2312" w:cs="仿宋_GB2312"/>
          <w:color w:val="auto"/>
          <w:sz w:val="28"/>
          <w:szCs w:val="28"/>
        </w:rPr>
        <w:t>自接到甲方通知之日起，每批次  个日历日内完成货物的安装、调试并正常运行，不得延期</w:t>
      </w:r>
      <w:bookmarkEnd w:id="0"/>
      <w:r>
        <w:rPr>
          <w:rFonts w:hint="eastAsia" w:ascii="仿宋_GB2312" w:hAnsi="仿宋_GB2312" w:eastAsia="仿宋_GB2312" w:cs="仿宋_GB2312"/>
          <w:color w:val="auto"/>
          <w:sz w:val="28"/>
          <w:szCs w:val="28"/>
        </w:rPr>
        <w:t>。</w:t>
      </w:r>
    </w:p>
    <w:p w14:paraId="749F1B7E">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六、运输</w:t>
      </w:r>
    </w:p>
    <w:p w14:paraId="5F68150A">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（一）运输由乙方负责，运杂费已包含在合同总价内，包括从货物供应地点所含的运输费、装卸费、仓储费、保险费等，全部费用。</w:t>
      </w:r>
    </w:p>
    <w:p w14:paraId="629DA48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（二）运输方式由乙方自行选择，但必须保证按期交货。</w:t>
      </w:r>
    </w:p>
    <w:p w14:paraId="71848DEB">
      <w:pPr>
        <w:tabs>
          <w:tab w:val="left" w:pos="480"/>
        </w:tabs>
        <w:spacing w:line="360" w:lineRule="exact"/>
        <w:ind w:firstLine="560" w:firstLineChars="200"/>
        <w:rPr>
          <w:rFonts w:hint="eastAsia" w:ascii="仿宋_GB2312" w:hAnsi="仿宋" w:eastAsia="仿宋_GB2312" w:cs="仿宋_GB2312"/>
          <w:bCs/>
          <w:color w:val="auto"/>
          <w:kern w:val="36"/>
          <w:sz w:val="28"/>
          <w:szCs w:val="28"/>
        </w:rPr>
      </w:pPr>
      <w:r>
        <w:rPr>
          <w:rFonts w:hint="eastAsia" w:ascii="仿宋_GB2312" w:hAnsi="仿宋_GB2312" w:eastAsia="仿宋_GB2312" w:cs="仿宋_GB2312"/>
          <w:color w:val="auto"/>
          <w:sz w:val="28"/>
          <w:szCs w:val="28"/>
        </w:rPr>
        <w:t>（三）</w:t>
      </w:r>
      <w:r>
        <w:rPr>
          <w:rFonts w:hint="eastAsia" w:ascii="仿宋_GB2312" w:hAnsi="仿宋" w:eastAsia="仿宋_GB2312" w:cs="仿宋_GB2312"/>
          <w:bCs/>
          <w:color w:val="auto"/>
          <w:kern w:val="36"/>
          <w:sz w:val="28"/>
          <w:szCs w:val="28"/>
          <w:lang w:bidi="ar"/>
        </w:rPr>
        <w:t>货物验收合格前产生的一切毁损、灭失的风险及质量问题均由乙方承担。</w:t>
      </w:r>
    </w:p>
    <w:p w14:paraId="7C06E451">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七、质量保证</w:t>
      </w:r>
    </w:p>
    <w:p w14:paraId="5554E7C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乙方所供货物必须执行下列条款：</w:t>
      </w:r>
    </w:p>
    <w:p w14:paraId="04FDDCA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（一）保证技术指标先进、质量性能可靠、进货渠道正常，配置合理，全面满足谈判要求。</w:t>
      </w:r>
    </w:p>
    <w:p w14:paraId="0D5706C1">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（二）符合国家有关规范要求，确保达到最佳运行状态。</w:t>
      </w:r>
    </w:p>
    <w:p w14:paraId="7236C7C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（三）具有良好的外观，适合安装场所的使用。</w:t>
      </w:r>
    </w:p>
    <w:p w14:paraId="08306487">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（四）自安装、调试正常运行且甲方验收合格之日起（以入账时间为准)。</w:t>
      </w:r>
    </w:p>
    <w:p w14:paraId="25662F8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整机免费保修期为三年（含光源灯泡等消耗性配件），（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全部费用由乙方承担；</w:t>
      </w:r>
    </w:p>
    <w:p w14:paraId="105E340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2、30天内，如出现质量问题，可以选择换货或退货；</w:t>
      </w:r>
    </w:p>
    <w:p w14:paraId="20216CDA">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3、30至60天内，如出现质量问题，可选择换货。</w:t>
      </w:r>
    </w:p>
    <w:p w14:paraId="1B8EFFCF">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设备因产品质量或设计缺陷等问题，而发生的医疗差错或医疗纠纷由乙方及生产厂商负全部责任。由此给甲方造成损失的，乙方应负责全额赔偿（包括但不限于甲方因维权产生的诉讼费、公证费、保全费以及律师费等）。</w:t>
      </w:r>
    </w:p>
    <w:p w14:paraId="3F1F1884">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（六）保证设备后期可与甲方各类信息化网络系统免费无缝链接。</w:t>
      </w:r>
    </w:p>
    <w:p w14:paraId="79B85E40">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八、售后服务</w:t>
      </w:r>
    </w:p>
    <w:p w14:paraId="7D179FFA">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乙方所供货物提供以下售后服务：</w:t>
      </w:r>
    </w:p>
    <w:p w14:paraId="410B15FC">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bCs/>
          <w:color w:val="auto"/>
          <w:sz w:val="28"/>
          <w:szCs w:val="28"/>
        </w:rPr>
        <w:t>保修期内：</w:t>
      </w:r>
    </w:p>
    <w:p w14:paraId="60E5E629">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1、发生质量问题，接到甲方通知后，应于2小时内派出专业的维修人员到现场进行检测维修，发生的全部费用由乙方承担，若需送回生产厂家，乙方承担往返费用；</w:t>
      </w:r>
    </w:p>
    <w:p w14:paraId="4280F626">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2、定期派技术人员到现场走访，给予检查维护，一年不少于2次；</w:t>
      </w:r>
    </w:p>
    <w:p w14:paraId="3E46F5E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3、排除故障的期限不得超过48小时。否则甲方有权指定第三方维修，维修等全部费用由乙方承担。</w:t>
      </w:r>
    </w:p>
    <w:p w14:paraId="7DC998C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4、对质保期内采购设备配备软件免费更新。</w:t>
      </w:r>
    </w:p>
    <w:p w14:paraId="281C1E84">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5、若违反以上任何一条，乙方还需向甲方按合同总价款的_30_%（与招标文件一致）支付违约金。</w:t>
      </w:r>
    </w:p>
    <w:p w14:paraId="6DAB37B9">
      <w:pPr>
        <w:tabs>
          <w:tab w:val="left" w:pos="480"/>
        </w:tabs>
        <w:spacing w:line="600" w:lineRule="exact"/>
        <w:ind w:firstLine="560" w:firstLineChars="200"/>
        <w:rPr>
          <w:rFonts w:hint="eastAsia" w:ascii="仿宋_GB2312" w:hAnsi="仿宋_GB2312" w:eastAsia="仿宋_GB2312" w:cs="仿宋_GB2312"/>
          <w:b/>
          <w:bCs/>
          <w:color w:val="auto"/>
          <w:sz w:val="28"/>
          <w:szCs w:val="28"/>
        </w:rPr>
      </w:pPr>
      <w:r>
        <w:rPr>
          <w:rFonts w:hint="eastAsia" w:ascii="仿宋_GB2312" w:hAnsi="仿宋_GB2312" w:eastAsia="仿宋_GB2312" w:cs="仿宋_GB2312"/>
          <w:bCs/>
          <w:color w:val="auto"/>
          <w:sz w:val="28"/>
          <w:szCs w:val="28"/>
        </w:rPr>
        <w:t>（二）</w:t>
      </w:r>
      <w:r>
        <w:rPr>
          <w:rFonts w:hint="eastAsia" w:ascii="仿宋_GB2312" w:hAnsi="仿宋_GB2312" w:eastAsia="仿宋_GB2312" w:cs="仿宋_GB2312"/>
          <w:b/>
          <w:bCs/>
          <w:color w:val="auto"/>
          <w:sz w:val="28"/>
          <w:szCs w:val="28"/>
        </w:rPr>
        <w:t>保修期结束后，乙方免费提供全面保养维护并进行自检、</w:t>
      </w:r>
      <w:r>
        <w:rPr>
          <w:rFonts w:hint="eastAsia" w:ascii="华文仿宋" w:hAnsi="华文仿宋" w:eastAsia="华文仿宋" w:cs="华文仿宋"/>
          <w:b/>
          <w:bCs/>
          <w:color w:val="auto"/>
          <w:sz w:val="28"/>
          <w:szCs w:val="28"/>
        </w:rPr>
        <w:t>系统测试</w:t>
      </w:r>
      <w:r>
        <w:rPr>
          <w:rFonts w:hint="eastAsia" w:ascii="仿宋_GB2312" w:hAnsi="仿宋_GB2312" w:eastAsia="仿宋_GB2312" w:cs="仿宋_GB2312"/>
          <w:b/>
          <w:bCs/>
          <w:color w:val="auto"/>
          <w:sz w:val="28"/>
          <w:szCs w:val="28"/>
        </w:rPr>
        <w:t>，确保正常运行。</w:t>
      </w:r>
    </w:p>
    <w:p w14:paraId="101C0A7C">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443FB1F3">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九、技术与服务</w:t>
      </w:r>
    </w:p>
    <w:p w14:paraId="3AD5448F">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（一）技术资料：</w:t>
      </w:r>
    </w:p>
    <w:p w14:paraId="7F0DB67A">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1、货物合格证；</w:t>
      </w:r>
    </w:p>
    <w:p w14:paraId="0DFD3DCD">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2、货物使用说明书（中文）；</w:t>
      </w:r>
    </w:p>
    <w:p w14:paraId="7BB3063F">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3、项目竣工资料、检验测试报告；</w:t>
      </w:r>
    </w:p>
    <w:p w14:paraId="6D320E4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4、进口医疗设备报关单与商检证明；</w:t>
      </w:r>
    </w:p>
    <w:p w14:paraId="606A9420">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5、其它资料。</w:t>
      </w:r>
    </w:p>
    <w:p w14:paraId="70836A17">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（二）服务承诺：以投标文件、澄清表（函）、合同和随货物的相关文件为准。</w:t>
      </w:r>
    </w:p>
    <w:p w14:paraId="611FA01E">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（三）培训：乙方须在设备安装调试完成后免费对甲方操作人员进行使用、保养等技术培训,确保被培训人员掌握相关操作技术、具备操作技能可进行日常保养为止。</w:t>
      </w:r>
    </w:p>
    <w:p w14:paraId="055C4082">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十、验收</w:t>
      </w:r>
    </w:p>
    <w:p w14:paraId="34A58A5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验收由甲方组织，乙方配合进行：</w:t>
      </w:r>
    </w:p>
    <w:p w14:paraId="58B88C5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4D3FEC5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4066941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64B945B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（四）乙方向甲方提交货物实施过程中的所有资料以便甲方日后管理和维护。</w:t>
      </w:r>
    </w:p>
    <w:p w14:paraId="39852D9E">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（五）甲方在验收合格后，填写项目验收单（一式贰份）作为对本项目最终认可。</w:t>
      </w:r>
    </w:p>
    <w:p w14:paraId="035C466D">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（六）验收依据：</w:t>
      </w:r>
    </w:p>
    <w:p w14:paraId="29BEB223">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1、招标文件、投标文件、澄清表（函）；</w:t>
      </w:r>
    </w:p>
    <w:p w14:paraId="6E5D01CE">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2、本合同及附件文本；</w:t>
      </w:r>
    </w:p>
    <w:p w14:paraId="4374EF3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3、国家相应的标准、规范。</w:t>
      </w:r>
    </w:p>
    <w:p w14:paraId="788C11F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4、完成培训内容并书面留档。</w:t>
      </w:r>
    </w:p>
    <w:p w14:paraId="035A2932">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十一、违约责任</w:t>
      </w:r>
    </w:p>
    <w:p w14:paraId="4B6CD02E">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（一）双方按《政府采购法》、《</w:t>
      </w:r>
      <w:r>
        <w:rPr>
          <w:rFonts w:hint="eastAsia" w:ascii="仿宋" w:hAnsi="仿宋" w:eastAsia="仿宋" w:cs="仿宋"/>
          <w:bCs/>
          <w:color w:val="auto"/>
          <w:sz w:val="28"/>
          <w:szCs w:val="28"/>
        </w:rPr>
        <w:t>中华人民共和国民法典</w:t>
      </w:r>
      <w:r>
        <w:rPr>
          <w:rFonts w:hint="eastAsia" w:ascii="仿宋_GB2312" w:hAnsi="仿宋_GB2312" w:eastAsia="仿宋_GB2312" w:cs="仿宋_GB2312"/>
          <w:color w:val="auto"/>
          <w:sz w:val="28"/>
          <w:szCs w:val="28"/>
        </w:rPr>
        <w:t>》中的相关条款执行。</w:t>
      </w:r>
    </w:p>
    <w:p w14:paraId="0D6BA94E">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（二）乙方未按合同要求提供货物或质量不能满足</w:t>
      </w:r>
      <w:r>
        <w:rPr>
          <w:rFonts w:hint="eastAsia" w:ascii="仿宋_GB2312" w:hAnsi="仿宋" w:eastAsia="仿宋_GB2312" w:cs="仿宋_GB2312"/>
          <w:color w:val="auto"/>
          <w:sz w:val="28"/>
          <w:szCs w:val="28"/>
          <w:lang w:bidi="ar"/>
        </w:rPr>
        <w:t>本合同、招标文件、投标文件等相关文件</w:t>
      </w:r>
      <w:r>
        <w:rPr>
          <w:rFonts w:hint="eastAsia" w:ascii="仿宋_GB2312" w:hAnsi="仿宋_GB2312" w:eastAsia="仿宋_GB2312" w:cs="仿宋_GB2312"/>
          <w:color w:val="auto"/>
          <w:sz w:val="28"/>
          <w:szCs w:val="28"/>
        </w:rPr>
        <w:t>要求的，乙方须在合同约定的交货期内无条件更换合格的货物交付给甲方，若甲方有实际损失的乙方还应赔偿甲方的实际损失。否则，甲方有权解除合同，合同自甲方书面解除通知到达乙方之日起解除</w:t>
      </w:r>
      <w:r>
        <w:rPr>
          <w:rFonts w:hint="eastAsia" w:ascii="仿宋" w:hAnsi="仿宋" w:eastAsia="仿宋" w:cs="仿宋"/>
          <w:bCs/>
          <w:color w:val="auto"/>
          <w:sz w:val="28"/>
          <w:szCs w:val="28"/>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_GB2312" w:hAnsi="仿宋_GB2312" w:eastAsia="仿宋_GB2312" w:cs="仿宋_GB2312"/>
          <w:color w:val="auto"/>
          <w:sz w:val="28"/>
          <w:szCs w:val="28"/>
        </w:rPr>
        <w:t>。同时甲方有权对乙方的违约行为报监管机构进行相应的处罚。</w:t>
      </w:r>
    </w:p>
    <w:p w14:paraId="09FA77CF">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 w:hAnsi="仿宋" w:eastAsia="仿宋" w:cs="仿宋"/>
          <w:bCs/>
          <w:color w:val="auto"/>
          <w:sz w:val="28"/>
          <w:szCs w:val="28"/>
        </w:rPr>
        <w:t>（三）</w:t>
      </w:r>
      <w:r>
        <w:rPr>
          <w:rFonts w:hint="eastAsia" w:ascii="仿宋_GB2312" w:hAnsi="仿宋_GB2312" w:eastAsia="仿宋_GB2312" w:cs="仿宋_GB2312"/>
          <w:color w:val="auto"/>
          <w:sz w:val="28"/>
          <w:szCs w:val="28"/>
        </w:rPr>
        <w:t>乙方逾期交付货物的，除应及时交足货物外，同时向甲方支付逾期交货部分货款总额的百分之一/天的违约金；逾期交货超过10天，甲方有权解除合同，合同自甲方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7AA5CBBF">
      <w:pPr>
        <w:widowControl/>
        <w:tabs>
          <w:tab w:val="left" w:pos="480"/>
        </w:tabs>
        <w:ind w:firstLine="560" w:firstLineChars="200"/>
        <w:jc w:val="left"/>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十二、合同争议解决的方式</w:t>
      </w:r>
    </w:p>
    <w:p w14:paraId="06CD834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本合同在履行过程中发生的争议，由甲、乙双方当事人协商解决，协商不成的依法向甲方所在地人民法院起诉。</w:t>
      </w:r>
    </w:p>
    <w:p w14:paraId="10BE12E6">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十三、合同生效</w:t>
      </w:r>
    </w:p>
    <w:p w14:paraId="7607F169">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本合同一式捌份，甲方执陆份，乙方、鉴证方各执壹份，均具有同等法律效力。本合同经甲、乙、鉴证方各方签字盖章后生效，合同执行完毕后，自动终止（合同的服务承诺则长期有效）。</w:t>
      </w:r>
    </w:p>
    <w:p w14:paraId="2991B11F">
      <w:pPr>
        <w:tabs>
          <w:tab w:val="left" w:pos="480"/>
        </w:tabs>
        <w:spacing w:line="600" w:lineRule="exact"/>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十四、其他事项</w:t>
      </w:r>
    </w:p>
    <w:p w14:paraId="5685C6D1">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（一）鉴证方作为政府集中采购代理机构对合同进行确认。</w:t>
      </w:r>
    </w:p>
    <w:p w14:paraId="11ABF22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（二）西安市财政局政府采购管理处在合同的履行期间以及履行期后，可以随时检查项目的执行情况，对采购内容、标准进行调查核实，并对发现的问题进行处理。</w:t>
      </w:r>
    </w:p>
    <w:p w14:paraId="5765645E">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（三）招标文件、投标文件、澄清表（函）、中标通知书、合同附件均成为合同不可分割的部分，与本合同具有同等法律效力。</w:t>
      </w:r>
    </w:p>
    <w:p w14:paraId="06DF7C2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（四）合同未尽事宜，由甲、乙双方协商，经鉴证方确认后签订补充协议，作为合同补充，补充协议与原合同具有同等法律效力。补充协议与原合同约定不一致的，以补充协议为准。</w:t>
      </w:r>
    </w:p>
    <w:p w14:paraId="334C3150">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（五）合同一经签订，不得擅自变更、解除或终止合同。对确需变更、解除、终止合同的，应按规定履行相应的手续。</w:t>
      </w:r>
    </w:p>
    <w:p w14:paraId="7180ED81">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（六）本合同按照中华人民共和国的现行法律进行解释。</w:t>
      </w:r>
    </w:p>
    <w:p w14:paraId="3C1B9BB8">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（七）本合同附件作为本合同的组成部份，与本合同具有同等法律效力。</w:t>
      </w:r>
    </w:p>
    <w:p w14:paraId="2E584214">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（以下无正文）</w:t>
      </w:r>
    </w:p>
    <w:p w14:paraId="1A2A8460">
      <w:pPr>
        <w:pStyle w:val="7"/>
        <w:ind w:firstLine="56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w:t>
      </w:r>
    </w:p>
    <w:p w14:paraId="11D40137">
      <w:pPr>
        <w:pStyle w:val="7"/>
        <w:numPr>
          <w:ilvl w:val="0"/>
          <w:numId w:val="1"/>
        </w:numPr>
        <w:ind w:firstLine="56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西安市人民医院（西安市第四医院）</w:t>
      </w:r>
      <w:r>
        <w:rPr>
          <w:rFonts w:hint="eastAsia" w:ascii="仿宋_GB2312" w:hAnsi="仿宋_GB2312" w:eastAsia="仿宋_GB2312" w:cs="仿宋_GB2312"/>
          <w:color w:val="auto"/>
          <w:sz w:val="28"/>
          <w:szCs w:val="28"/>
          <w:u w:val="single"/>
        </w:rPr>
        <w:t xml:space="preserve">              项</w:t>
      </w:r>
      <w:r>
        <w:rPr>
          <w:rFonts w:hint="eastAsia" w:ascii="仿宋_GB2312" w:hAnsi="仿宋_GB2312" w:eastAsia="仿宋_GB2312" w:cs="仿宋_GB2312"/>
          <w:color w:val="auto"/>
          <w:sz w:val="28"/>
          <w:szCs w:val="28"/>
        </w:rPr>
        <w:t>目配置清单</w:t>
      </w:r>
    </w:p>
    <w:p w14:paraId="077FF83A">
      <w:pPr>
        <w:numPr>
          <w:ilvl w:val="0"/>
          <w:numId w:val="1"/>
        </w:num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品目耗材报价表</w:t>
      </w:r>
    </w:p>
    <w:p w14:paraId="7ACDB0F2">
      <w:pPr>
        <w:pStyle w:val="7"/>
        <w:numPr>
          <w:ilvl w:val="0"/>
          <w:numId w:val="1"/>
        </w:numPr>
        <w:ind w:firstLine="56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采购需求表</w:t>
      </w:r>
    </w:p>
    <w:p w14:paraId="49AD9769">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甲方：西安市人民医院            乙方：</w:t>
      </w:r>
    </w:p>
    <w:p w14:paraId="11C708EB">
      <w:pPr>
        <w:tabs>
          <w:tab w:val="left" w:pos="480"/>
        </w:tabs>
        <w:spacing w:line="600" w:lineRule="exact"/>
        <w:ind w:firstLine="1120" w:firstLineChars="4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（西安市第四医院）            </w:t>
      </w:r>
    </w:p>
    <w:p w14:paraId="176A3CA0">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地址：西安市新城区解放路21号   地址：</w:t>
      </w:r>
    </w:p>
    <w:p w14:paraId="6BA2418B">
      <w:pPr>
        <w:tabs>
          <w:tab w:val="left" w:pos="480"/>
        </w:tabs>
        <w:spacing w:line="600" w:lineRule="exact"/>
        <w:rPr>
          <w:rFonts w:hint="eastAsia" w:ascii="仿宋_GB2312" w:hAnsi="仿宋_GB2312" w:eastAsia="仿宋_GB2312" w:cs="仿宋_GB2312"/>
          <w:color w:val="auto"/>
          <w:sz w:val="28"/>
          <w:szCs w:val="28"/>
        </w:rPr>
      </w:pPr>
    </w:p>
    <w:p w14:paraId="5CF1B6C9">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                     法定代表人：</w:t>
      </w:r>
    </w:p>
    <w:p w14:paraId="1971119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                       联系电话：</w:t>
      </w:r>
    </w:p>
    <w:p w14:paraId="4F43F876">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签订日期：2022年  月  日        签订日期：2022年  月  日</w:t>
      </w:r>
    </w:p>
    <w:p w14:paraId="3A03F522">
      <w:pPr>
        <w:tabs>
          <w:tab w:val="left" w:pos="480"/>
        </w:tabs>
        <w:spacing w:line="600" w:lineRule="exact"/>
        <w:rPr>
          <w:rFonts w:hint="eastAsia" w:ascii="仿宋_GB2312" w:hAnsi="仿宋_GB2312" w:eastAsia="仿宋_GB2312" w:cs="仿宋_GB2312"/>
          <w:color w:val="auto"/>
          <w:sz w:val="28"/>
          <w:szCs w:val="28"/>
        </w:rPr>
      </w:pPr>
    </w:p>
    <w:p w14:paraId="4C4FA9ED">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鉴证方：</w:t>
      </w:r>
    </w:p>
    <w:p w14:paraId="40C8FDE5">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  址：</w:t>
      </w:r>
    </w:p>
    <w:p w14:paraId="7FAC5132">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w:t>
      </w:r>
    </w:p>
    <w:p w14:paraId="61BACC0B">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代理人：</w:t>
      </w:r>
    </w:p>
    <w:p w14:paraId="40DC895D">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p w14:paraId="32AABA1A">
      <w:pPr>
        <w:tabs>
          <w:tab w:val="left" w:pos="480"/>
        </w:tabs>
        <w:spacing w:line="6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签订日期：2022年  月  日</w:t>
      </w:r>
    </w:p>
    <w:p w14:paraId="622FB477">
      <w:pPr>
        <w:tabs>
          <w:tab w:val="left" w:pos="675"/>
        </w:tabs>
        <w:rPr>
          <w:rFonts w:hint="eastAsia" w:ascii="仿宋_GB2312" w:hAnsi="仿宋_GB2312" w:eastAsia="仿宋_GB2312" w:cs="仿宋_GB2312"/>
          <w:color w:val="auto"/>
          <w:sz w:val="32"/>
          <w:szCs w:val="32"/>
        </w:rPr>
      </w:pPr>
    </w:p>
    <w:p w14:paraId="18759D87">
      <w:pPr>
        <w:tabs>
          <w:tab w:val="left" w:pos="675"/>
        </w:tabs>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附件1：</w:t>
      </w:r>
    </w:p>
    <w:p w14:paraId="63E0DB2A">
      <w:pPr>
        <w:tabs>
          <w:tab w:val="left" w:pos="675"/>
        </w:tabs>
        <w:jc w:val="center"/>
        <w:rPr>
          <w:rFonts w:hint="eastAsia" w:ascii="仿宋_GB2312" w:hAnsi="仿宋_GB2312" w:eastAsia="仿宋_GB2312" w:cs="仿宋_GB2312"/>
          <w:color w:val="auto"/>
          <w:sz w:val="32"/>
          <w:szCs w:val="32"/>
        </w:rPr>
      </w:pPr>
    </w:p>
    <w:p w14:paraId="08551C8F">
      <w:pPr>
        <w:tabs>
          <w:tab w:val="left" w:pos="675"/>
        </w:tabs>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西安市人民医院（西安市第四医院）</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配置清单</w:t>
      </w:r>
    </w:p>
    <w:p w14:paraId="18E03399">
      <w:pPr>
        <w:tabs>
          <w:tab w:val="left" w:pos="675"/>
        </w:tabs>
        <w:jc w:val="center"/>
        <w:rPr>
          <w:rFonts w:hint="eastAsia" w:ascii="仿宋_GB2312" w:hAnsi="仿宋_GB2312" w:eastAsia="仿宋_GB2312" w:cs="仿宋_GB2312"/>
          <w:color w:val="auto"/>
          <w:sz w:val="30"/>
          <w:szCs w:val="3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2761"/>
        <w:gridCol w:w="910"/>
        <w:gridCol w:w="969"/>
        <w:gridCol w:w="969"/>
      </w:tblGrid>
      <w:tr w14:paraId="6467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522C3B5F">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779A3814">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货物名称</w:t>
            </w:r>
          </w:p>
        </w:tc>
        <w:tc>
          <w:tcPr>
            <w:tcW w:w="2761" w:type="dxa"/>
            <w:tcBorders>
              <w:top w:val="single" w:color="auto" w:sz="4" w:space="0"/>
              <w:left w:val="single" w:color="auto" w:sz="4" w:space="0"/>
              <w:bottom w:val="single" w:color="auto" w:sz="4" w:space="0"/>
              <w:right w:val="single" w:color="auto" w:sz="4" w:space="0"/>
            </w:tcBorders>
            <w:noWrap w:val="0"/>
            <w:vAlign w:val="center"/>
          </w:tcPr>
          <w:p w14:paraId="3E2D138D">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规格参数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385E8A74">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数量</w:t>
            </w:r>
          </w:p>
        </w:tc>
        <w:tc>
          <w:tcPr>
            <w:tcW w:w="969" w:type="dxa"/>
            <w:tcBorders>
              <w:top w:val="single" w:color="auto" w:sz="4" w:space="0"/>
              <w:left w:val="single" w:color="auto" w:sz="4" w:space="0"/>
              <w:bottom w:val="single" w:color="auto" w:sz="4" w:space="0"/>
              <w:right w:val="single" w:color="auto" w:sz="4" w:space="0"/>
            </w:tcBorders>
            <w:noWrap w:val="0"/>
            <w:vAlign w:val="top"/>
          </w:tcPr>
          <w:p w14:paraId="1D5C6BE9">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产地</w:t>
            </w:r>
          </w:p>
        </w:tc>
        <w:tc>
          <w:tcPr>
            <w:tcW w:w="969" w:type="dxa"/>
            <w:tcBorders>
              <w:top w:val="single" w:color="auto" w:sz="4" w:space="0"/>
              <w:left w:val="single" w:color="auto" w:sz="4" w:space="0"/>
              <w:bottom w:val="single" w:color="auto" w:sz="4" w:space="0"/>
              <w:right w:val="single" w:color="auto" w:sz="4" w:space="0"/>
            </w:tcBorders>
            <w:noWrap w:val="0"/>
            <w:vAlign w:val="top"/>
          </w:tcPr>
          <w:p w14:paraId="531EEA07">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备注</w:t>
            </w:r>
          </w:p>
        </w:tc>
      </w:tr>
      <w:tr w14:paraId="6E3F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F306C2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6C325BA">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31C726CF">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666DDF45">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2A5A7D1">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DE0097F">
            <w:pPr>
              <w:tabs>
                <w:tab w:val="left" w:pos="480"/>
              </w:tabs>
              <w:jc w:val="center"/>
              <w:rPr>
                <w:rFonts w:hint="eastAsia" w:ascii="仿宋_GB2312" w:hAnsi="仿宋_GB2312" w:eastAsia="仿宋_GB2312" w:cs="仿宋_GB2312"/>
                <w:color w:val="auto"/>
                <w:szCs w:val="21"/>
              </w:rPr>
            </w:pPr>
          </w:p>
        </w:tc>
      </w:tr>
      <w:tr w14:paraId="0EC8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B956E3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13F473B">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E4D8D92">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2E032C59">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5324CDFF">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DF1BF24">
            <w:pPr>
              <w:tabs>
                <w:tab w:val="left" w:pos="480"/>
              </w:tabs>
              <w:jc w:val="center"/>
              <w:rPr>
                <w:rFonts w:hint="eastAsia" w:ascii="仿宋_GB2312" w:hAnsi="仿宋_GB2312" w:eastAsia="仿宋_GB2312" w:cs="仿宋_GB2312"/>
                <w:color w:val="auto"/>
                <w:szCs w:val="21"/>
              </w:rPr>
            </w:pPr>
          </w:p>
        </w:tc>
      </w:tr>
      <w:tr w14:paraId="31FFA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CE9E6CA">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5B34562">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7516FEE4">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42EA4FF9">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7C6DD2AD">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76AA247">
            <w:pPr>
              <w:tabs>
                <w:tab w:val="left" w:pos="480"/>
              </w:tabs>
              <w:jc w:val="center"/>
              <w:rPr>
                <w:rFonts w:hint="eastAsia" w:ascii="仿宋_GB2312" w:hAnsi="仿宋_GB2312" w:eastAsia="仿宋_GB2312" w:cs="仿宋_GB2312"/>
                <w:color w:val="auto"/>
                <w:szCs w:val="21"/>
              </w:rPr>
            </w:pPr>
          </w:p>
        </w:tc>
      </w:tr>
      <w:tr w14:paraId="1386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B9508DC">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5E3E8B6">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4EAAEDB">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1FCA437F">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11CEA00A">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9858379">
            <w:pPr>
              <w:tabs>
                <w:tab w:val="left" w:pos="480"/>
              </w:tabs>
              <w:jc w:val="center"/>
              <w:rPr>
                <w:rFonts w:hint="eastAsia" w:ascii="仿宋_GB2312" w:hAnsi="仿宋_GB2312" w:eastAsia="仿宋_GB2312" w:cs="仿宋_GB2312"/>
                <w:color w:val="auto"/>
                <w:szCs w:val="21"/>
              </w:rPr>
            </w:pPr>
          </w:p>
        </w:tc>
      </w:tr>
      <w:tr w14:paraId="674DA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6E7A2AC">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B6A5F03">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A7A0886">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4FCA1F02">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604298C">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FF2421E">
            <w:pPr>
              <w:tabs>
                <w:tab w:val="left" w:pos="480"/>
              </w:tabs>
              <w:jc w:val="center"/>
              <w:rPr>
                <w:rFonts w:hint="eastAsia" w:ascii="仿宋_GB2312" w:hAnsi="仿宋_GB2312" w:eastAsia="仿宋_GB2312" w:cs="仿宋_GB2312"/>
                <w:color w:val="auto"/>
                <w:szCs w:val="21"/>
              </w:rPr>
            </w:pPr>
          </w:p>
        </w:tc>
      </w:tr>
      <w:tr w14:paraId="69D96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1A81974">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D5A5DEA">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8BDEEE2">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2330BD61">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7303E2E7">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F8227AD">
            <w:pPr>
              <w:tabs>
                <w:tab w:val="left" w:pos="480"/>
              </w:tabs>
              <w:jc w:val="center"/>
              <w:rPr>
                <w:rFonts w:hint="eastAsia" w:ascii="仿宋_GB2312" w:hAnsi="仿宋_GB2312" w:eastAsia="仿宋_GB2312" w:cs="仿宋_GB2312"/>
                <w:color w:val="auto"/>
                <w:szCs w:val="21"/>
              </w:rPr>
            </w:pPr>
          </w:p>
        </w:tc>
      </w:tr>
      <w:tr w14:paraId="1F995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7ABAD53">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336A709">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7E488BD">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1F8075F8">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0BA3738E">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00E064E">
            <w:pPr>
              <w:tabs>
                <w:tab w:val="left" w:pos="480"/>
              </w:tabs>
              <w:jc w:val="center"/>
              <w:rPr>
                <w:rFonts w:hint="eastAsia" w:ascii="仿宋_GB2312" w:hAnsi="仿宋_GB2312" w:eastAsia="仿宋_GB2312" w:cs="仿宋_GB2312"/>
                <w:color w:val="auto"/>
                <w:szCs w:val="21"/>
              </w:rPr>
            </w:pPr>
          </w:p>
        </w:tc>
      </w:tr>
      <w:tr w14:paraId="07C42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19BC49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B1BC28B">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D361ECC">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2FFE11A9">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6C7EAD73">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8F30484">
            <w:pPr>
              <w:tabs>
                <w:tab w:val="left" w:pos="480"/>
              </w:tabs>
              <w:jc w:val="center"/>
              <w:rPr>
                <w:rFonts w:hint="eastAsia" w:ascii="仿宋_GB2312" w:hAnsi="仿宋_GB2312" w:eastAsia="仿宋_GB2312" w:cs="仿宋_GB2312"/>
                <w:color w:val="auto"/>
                <w:szCs w:val="21"/>
              </w:rPr>
            </w:pPr>
          </w:p>
        </w:tc>
      </w:tr>
      <w:tr w14:paraId="3EB4D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23DCBAB">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7B051E6">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5807BF6A">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05D51611">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C3A1673">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0230E61">
            <w:pPr>
              <w:tabs>
                <w:tab w:val="left" w:pos="480"/>
              </w:tabs>
              <w:jc w:val="center"/>
              <w:rPr>
                <w:rFonts w:hint="eastAsia" w:ascii="仿宋_GB2312" w:hAnsi="仿宋_GB2312" w:eastAsia="仿宋_GB2312" w:cs="仿宋_GB2312"/>
                <w:color w:val="auto"/>
                <w:szCs w:val="21"/>
              </w:rPr>
            </w:pPr>
          </w:p>
        </w:tc>
      </w:tr>
      <w:tr w14:paraId="4B7DE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19EB552">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7F95580">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998F8EB">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67028704">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43C4AAB">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C21FD13">
            <w:pPr>
              <w:tabs>
                <w:tab w:val="left" w:pos="480"/>
              </w:tabs>
              <w:jc w:val="center"/>
              <w:rPr>
                <w:rFonts w:hint="eastAsia" w:ascii="仿宋_GB2312" w:hAnsi="仿宋_GB2312" w:eastAsia="仿宋_GB2312" w:cs="仿宋_GB2312"/>
                <w:color w:val="auto"/>
                <w:szCs w:val="21"/>
              </w:rPr>
            </w:pPr>
          </w:p>
        </w:tc>
      </w:tr>
      <w:tr w14:paraId="1C260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3130CCD">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E84BFEC">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7FE538CF">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696ADE60">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0C8B66E1">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AC6EE16">
            <w:pPr>
              <w:tabs>
                <w:tab w:val="left" w:pos="480"/>
              </w:tabs>
              <w:jc w:val="center"/>
              <w:rPr>
                <w:rFonts w:hint="eastAsia" w:ascii="仿宋_GB2312" w:hAnsi="仿宋_GB2312" w:eastAsia="仿宋_GB2312" w:cs="仿宋_GB2312"/>
                <w:color w:val="auto"/>
                <w:szCs w:val="21"/>
              </w:rPr>
            </w:pPr>
          </w:p>
        </w:tc>
      </w:tr>
      <w:tr w14:paraId="025E5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7DD1187">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0EE1517">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7B9A16D">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6F1B7BCB">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657CDE17">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1A9BA6E">
            <w:pPr>
              <w:tabs>
                <w:tab w:val="left" w:pos="480"/>
              </w:tabs>
              <w:jc w:val="center"/>
              <w:rPr>
                <w:rFonts w:hint="eastAsia" w:ascii="仿宋_GB2312" w:hAnsi="仿宋_GB2312" w:eastAsia="仿宋_GB2312" w:cs="仿宋_GB2312"/>
                <w:color w:val="auto"/>
                <w:szCs w:val="21"/>
              </w:rPr>
            </w:pPr>
          </w:p>
        </w:tc>
      </w:tr>
      <w:tr w14:paraId="38151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43D861D">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EAECB9C">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6F1F6B34">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408A6BEC">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6AFDCD8">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09039D6">
            <w:pPr>
              <w:tabs>
                <w:tab w:val="left" w:pos="480"/>
              </w:tabs>
              <w:jc w:val="center"/>
              <w:rPr>
                <w:rFonts w:hint="eastAsia" w:ascii="仿宋_GB2312" w:hAnsi="仿宋_GB2312" w:eastAsia="仿宋_GB2312" w:cs="仿宋_GB2312"/>
                <w:color w:val="auto"/>
                <w:szCs w:val="21"/>
              </w:rPr>
            </w:pPr>
          </w:p>
        </w:tc>
      </w:tr>
      <w:tr w14:paraId="3965D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921600C">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667777E">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6355D5BB">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4A51EF76">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91508BF">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AABF891">
            <w:pPr>
              <w:tabs>
                <w:tab w:val="left" w:pos="480"/>
              </w:tabs>
              <w:jc w:val="center"/>
              <w:rPr>
                <w:rFonts w:hint="eastAsia" w:ascii="仿宋_GB2312" w:hAnsi="仿宋_GB2312" w:eastAsia="仿宋_GB2312" w:cs="仿宋_GB2312"/>
                <w:color w:val="auto"/>
                <w:szCs w:val="21"/>
              </w:rPr>
            </w:pPr>
          </w:p>
        </w:tc>
      </w:tr>
      <w:tr w14:paraId="5A73A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409B9A8">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9B61B63">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0D7F857">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43CF475E">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59007567">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B172DAA">
            <w:pPr>
              <w:tabs>
                <w:tab w:val="left" w:pos="480"/>
              </w:tabs>
              <w:jc w:val="center"/>
              <w:rPr>
                <w:rFonts w:hint="eastAsia" w:ascii="仿宋_GB2312" w:hAnsi="仿宋_GB2312" w:eastAsia="仿宋_GB2312" w:cs="仿宋_GB2312"/>
                <w:color w:val="auto"/>
                <w:szCs w:val="21"/>
              </w:rPr>
            </w:pPr>
          </w:p>
        </w:tc>
      </w:tr>
      <w:tr w14:paraId="755FF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FBE3CD3">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4B512D4">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7BD86C8">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187DB0FC">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5F661AB9">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64E2128">
            <w:pPr>
              <w:tabs>
                <w:tab w:val="left" w:pos="480"/>
              </w:tabs>
              <w:jc w:val="center"/>
              <w:rPr>
                <w:rFonts w:hint="eastAsia" w:ascii="仿宋_GB2312" w:hAnsi="仿宋_GB2312" w:eastAsia="仿宋_GB2312" w:cs="仿宋_GB2312"/>
                <w:color w:val="auto"/>
                <w:szCs w:val="21"/>
              </w:rPr>
            </w:pPr>
          </w:p>
        </w:tc>
      </w:tr>
      <w:tr w14:paraId="6D618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E990F57">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1BE0645">
            <w:pPr>
              <w:spacing w:line="440" w:lineRule="exact"/>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6297637E">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32EE9DEA">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0B03347D">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79DD098">
            <w:pPr>
              <w:tabs>
                <w:tab w:val="left" w:pos="480"/>
              </w:tabs>
              <w:jc w:val="center"/>
              <w:rPr>
                <w:rFonts w:hint="eastAsia" w:ascii="仿宋_GB2312" w:hAnsi="仿宋_GB2312" w:eastAsia="仿宋_GB2312" w:cs="仿宋_GB2312"/>
                <w:color w:val="auto"/>
                <w:szCs w:val="21"/>
              </w:rPr>
            </w:pPr>
          </w:p>
        </w:tc>
      </w:tr>
      <w:tr w14:paraId="133D9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EA5FC34">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CEB00F8">
            <w:pPr>
              <w:jc w:val="center"/>
              <w:rPr>
                <w:rFonts w:hint="eastAsia" w:ascii="仿宋_GB2312" w:hAnsi="仿宋_GB2312" w:eastAsia="仿宋_GB2312" w:cs="仿宋_GB2312"/>
                <w:color w:val="auto"/>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8B682B5">
            <w:pPr>
              <w:jc w:val="center"/>
              <w:rPr>
                <w:rFonts w:hint="eastAsia" w:ascii="仿宋_GB2312" w:hAnsi="仿宋_GB2312" w:eastAsia="仿宋_GB2312" w:cs="仿宋_GB2312"/>
                <w:color w:val="auto"/>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0DBACBA9">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4A8DF9A0">
            <w:pPr>
              <w:spacing w:line="440" w:lineRule="exact"/>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E974E2C">
            <w:pPr>
              <w:tabs>
                <w:tab w:val="left" w:pos="480"/>
              </w:tabs>
              <w:jc w:val="center"/>
              <w:rPr>
                <w:rFonts w:hint="eastAsia" w:ascii="仿宋_GB2312" w:hAnsi="仿宋_GB2312" w:eastAsia="仿宋_GB2312" w:cs="仿宋_GB2312"/>
                <w:color w:val="auto"/>
                <w:szCs w:val="21"/>
              </w:rPr>
            </w:pPr>
          </w:p>
        </w:tc>
      </w:tr>
    </w:tbl>
    <w:p w14:paraId="406541A1">
      <w:pPr>
        <w:tabs>
          <w:tab w:val="left" w:pos="3710"/>
        </w:tabs>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注：每个项目填一份附件清单，附件清单内容在标配基础上参照标书内各项目配置要求填写。</w:t>
      </w:r>
    </w:p>
    <w:p w14:paraId="074DC38E">
      <w:pPr>
        <w:tabs>
          <w:tab w:val="left" w:pos="3710"/>
        </w:tabs>
        <w:jc w:val="left"/>
        <w:rPr>
          <w:rFonts w:hint="eastAsia" w:ascii="仿宋_GB2312" w:hAnsi="仿宋_GB2312" w:eastAsia="仿宋_GB2312" w:cs="仿宋_GB2312"/>
          <w:color w:val="auto"/>
        </w:rPr>
      </w:pPr>
    </w:p>
    <w:p w14:paraId="613EEE08">
      <w:pPr>
        <w:tabs>
          <w:tab w:val="left" w:pos="3710"/>
        </w:tabs>
        <w:jc w:val="left"/>
        <w:rPr>
          <w:rFonts w:hint="eastAsia" w:ascii="仿宋_GB2312" w:hAnsi="仿宋_GB2312" w:eastAsia="仿宋_GB2312" w:cs="仿宋_GB2312"/>
          <w:color w:val="auto"/>
        </w:rPr>
      </w:pPr>
    </w:p>
    <w:p w14:paraId="6F4D41A9">
      <w:pPr>
        <w:tabs>
          <w:tab w:val="left" w:pos="3710"/>
        </w:tabs>
        <w:jc w:val="left"/>
        <w:rPr>
          <w:rFonts w:hint="eastAsia" w:ascii="仿宋_GB2312" w:hAnsi="仿宋_GB2312" w:eastAsia="仿宋_GB2312" w:cs="仿宋_GB2312"/>
          <w:color w:val="auto"/>
        </w:rPr>
      </w:pPr>
    </w:p>
    <w:p w14:paraId="79ABF6F0">
      <w:pPr>
        <w:tabs>
          <w:tab w:val="left" w:pos="3710"/>
        </w:tabs>
        <w:jc w:val="left"/>
        <w:rPr>
          <w:rFonts w:hint="eastAsia" w:ascii="仿宋_GB2312" w:hAnsi="仿宋_GB2312" w:eastAsia="仿宋_GB2312" w:cs="仿宋_GB2312"/>
          <w:color w:val="auto"/>
        </w:rPr>
      </w:pPr>
    </w:p>
    <w:p w14:paraId="33FBDD56">
      <w:pPr>
        <w:tabs>
          <w:tab w:val="left" w:pos="675"/>
        </w:tabs>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附件2：</w:t>
      </w:r>
    </w:p>
    <w:p w14:paraId="72E2BEB7">
      <w:pPr>
        <w:tabs>
          <w:tab w:val="left" w:pos="675"/>
        </w:tabs>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品目</w:t>
      </w:r>
      <w:r>
        <w:rPr>
          <w:rFonts w:hint="eastAsia" w:ascii="仿宋_GB2312" w:hAnsi="仿宋_GB2312" w:eastAsia="仿宋_GB2312" w:cs="仿宋_GB2312"/>
          <w:color w:val="auto"/>
          <w:sz w:val="32"/>
          <w:szCs w:val="32"/>
        </w:rPr>
        <w:t>耗材报价表</w:t>
      </w:r>
    </w:p>
    <w:tbl>
      <w:tblPr>
        <w:tblStyle w:val="5"/>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46D22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60279E96">
            <w:pPr>
              <w:spacing w:line="400" w:lineRule="atLeast"/>
              <w:ind w:left="-4664" w:leftChars="-2221" w:right="-3" w:firstLine="4665" w:firstLineChars="1944"/>
              <w:jc w:val="center"/>
              <w:rPr>
                <w:rFonts w:ascii="宋体" w:hAnsi="宋体"/>
                <w:color w:val="auto"/>
                <w:sz w:val="24"/>
              </w:rPr>
            </w:pPr>
            <w:r>
              <w:rPr>
                <w:rFonts w:hint="eastAsia" w:ascii="宋体" w:hAnsi="宋体" w:cs="宋体"/>
                <w:color w:val="auto"/>
                <w:sz w:val="24"/>
              </w:rPr>
              <w:t>序号</w:t>
            </w:r>
          </w:p>
        </w:tc>
        <w:tc>
          <w:tcPr>
            <w:tcW w:w="1182" w:type="dxa"/>
            <w:noWrap w:val="0"/>
            <w:vAlign w:val="center"/>
          </w:tcPr>
          <w:p w14:paraId="116D3F3A">
            <w:pPr>
              <w:spacing w:line="400" w:lineRule="atLeast"/>
              <w:ind w:left="-4664" w:leftChars="-2221" w:right="17" w:firstLine="4665" w:firstLineChars="1944"/>
              <w:jc w:val="center"/>
              <w:rPr>
                <w:rFonts w:hint="eastAsia" w:ascii="宋体" w:hAnsi="宋体"/>
                <w:color w:val="auto"/>
                <w:sz w:val="24"/>
              </w:rPr>
            </w:pPr>
          </w:p>
          <w:p w14:paraId="13135FE6">
            <w:pPr>
              <w:spacing w:line="400" w:lineRule="atLeast"/>
              <w:ind w:left="-4664" w:leftChars="-2221" w:right="17" w:firstLine="4665" w:firstLineChars="1944"/>
              <w:jc w:val="center"/>
              <w:rPr>
                <w:rFonts w:hint="eastAsia" w:ascii="宋体" w:hAnsi="宋体"/>
                <w:color w:val="auto"/>
                <w:sz w:val="24"/>
              </w:rPr>
            </w:pPr>
            <w:r>
              <w:rPr>
                <w:rFonts w:hint="eastAsia" w:ascii="宋体" w:hAnsi="宋体"/>
                <w:color w:val="auto"/>
                <w:sz w:val="24"/>
              </w:rPr>
              <w:t>耗材名称</w:t>
            </w:r>
          </w:p>
        </w:tc>
        <w:tc>
          <w:tcPr>
            <w:tcW w:w="2635" w:type="dxa"/>
            <w:noWrap w:val="0"/>
            <w:vAlign w:val="center"/>
          </w:tcPr>
          <w:p w14:paraId="74DD45A9">
            <w:pPr>
              <w:spacing w:line="400" w:lineRule="atLeast"/>
              <w:ind w:left="-4664" w:leftChars="-2221" w:right="17" w:firstLine="4665" w:firstLineChars="1944"/>
              <w:jc w:val="center"/>
              <w:rPr>
                <w:rFonts w:hint="eastAsia" w:ascii="宋体" w:hAnsi="宋体"/>
                <w:color w:val="auto"/>
                <w:sz w:val="24"/>
              </w:rPr>
            </w:pPr>
            <w:r>
              <w:rPr>
                <w:rFonts w:hint="eastAsia" w:ascii="宋体" w:hAnsi="宋体"/>
                <w:color w:val="auto"/>
                <w:sz w:val="24"/>
              </w:rPr>
              <w:t>产品及包装规格</w:t>
            </w:r>
          </w:p>
        </w:tc>
        <w:tc>
          <w:tcPr>
            <w:tcW w:w="2099" w:type="dxa"/>
            <w:noWrap w:val="0"/>
            <w:vAlign w:val="center"/>
          </w:tcPr>
          <w:p w14:paraId="27634D89">
            <w:pPr>
              <w:spacing w:line="400" w:lineRule="atLeast"/>
              <w:ind w:left="-4664" w:leftChars="-2221" w:right="17" w:firstLine="4665" w:firstLineChars="1944"/>
              <w:jc w:val="center"/>
              <w:rPr>
                <w:rFonts w:ascii="宋体" w:hAnsi="宋体"/>
                <w:color w:val="auto"/>
                <w:sz w:val="24"/>
              </w:rPr>
            </w:pPr>
            <w:r>
              <w:rPr>
                <w:rFonts w:hint="eastAsia" w:ascii="宋体" w:hAnsi="宋体" w:cs="宋体"/>
                <w:color w:val="auto"/>
                <w:sz w:val="24"/>
              </w:rPr>
              <w:t>报价</w:t>
            </w:r>
          </w:p>
        </w:tc>
        <w:tc>
          <w:tcPr>
            <w:tcW w:w="1217" w:type="dxa"/>
            <w:noWrap w:val="0"/>
            <w:vAlign w:val="center"/>
          </w:tcPr>
          <w:p w14:paraId="4837D4A6">
            <w:pPr>
              <w:spacing w:line="400" w:lineRule="atLeast"/>
              <w:ind w:left="-4664" w:leftChars="-2221" w:right="17" w:firstLine="4665" w:firstLineChars="1944"/>
              <w:jc w:val="center"/>
              <w:rPr>
                <w:rFonts w:hint="eastAsia" w:ascii="宋体" w:hAnsi="宋体" w:cs="宋体"/>
                <w:color w:val="auto"/>
                <w:sz w:val="24"/>
              </w:rPr>
            </w:pPr>
            <w:r>
              <w:rPr>
                <w:rFonts w:hint="eastAsia" w:ascii="宋体" w:hAnsi="宋体" w:cs="宋体"/>
                <w:color w:val="auto"/>
                <w:sz w:val="24"/>
              </w:rPr>
              <w:t>制造厂商</w:t>
            </w:r>
          </w:p>
        </w:tc>
        <w:tc>
          <w:tcPr>
            <w:tcW w:w="1434" w:type="dxa"/>
            <w:noWrap w:val="0"/>
            <w:vAlign w:val="center"/>
          </w:tcPr>
          <w:p w14:paraId="45639DDB">
            <w:pPr>
              <w:spacing w:line="400" w:lineRule="atLeast"/>
              <w:ind w:left="-4664" w:leftChars="-2221" w:right="17" w:firstLine="4665" w:firstLineChars="1944"/>
              <w:jc w:val="center"/>
              <w:rPr>
                <w:rFonts w:ascii="宋体" w:hAnsi="宋体"/>
                <w:color w:val="auto"/>
                <w:sz w:val="24"/>
              </w:rPr>
            </w:pPr>
            <w:r>
              <w:rPr>
                <w:rFonts w:hint="eastAsia" w:ascii="宋体" w:hAnsi="宋体" w:cs="宋体"/>
                <w:color w:val="auto"/>
                <w:sz w:val="24"/>
              </w:rPr>
              <w:t>备注</w:t>
            </w:r>
          </w:p>
        </w:tc>
      </w:tr>
      <w:tr w14:paraId="057C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31CC144">
            <w:pPr>
              <w:spacing w:line="400" w:lineRule="atLeast"/>
              <w:ind w:left="-4664" w:leftChars="-2221" w:right="-3" w:firstLine="4665" w:firstLineChars="1944"/>
              <w:jc w:val="center"/>
              <w:rPr>
                <w:rFonts w:hint="eastAsia" w:ascii="宋体" w:hAnsi="宋体" w:cs="宋体"/>
                <w:color w:val="auto"/>
                <w:sz w:val="24"/>
              </w:rPr>
            </w:pPr>
            <w:r>
              <w:rPr>
                <w:rFonts w:hint="eastAsia" w:ascii="宋体" w:hAnsi="宋体" w:cs="宋体"/>
                <w:color w:val="auto"/>
                <w:sz w:val="24"/>
              </w:rPr>
              <w:t>1</w:t>
            </w:r>
          </w:p>
        </w:tc>
        <w:tc>
          <w:tcPr>
            <w:tcW w:w="1182" w:type="dxa"/>
            <w:noWrap w:val="0"/>
            <w:vAlign w:val="center"/>
          </w:tcPr>
          <w:p w14:paraId="67DC5BD0">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52980708">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002FE47E">
            <w:pPr>
              <w:spacing w:line="400" w:lineRule="atLeast"/>
              <w:ind w:left="-4664" w:leftChars="-2221" w:right="17" w:firstLine="4665" w:firstLineChars="1944"/>
              <w:jc w:val="center"/>
              <w:rPr>
                <w:rFonts w:ascii="宋体" w:hAnsi="宋体" w:cs="宋体"/>
                <w:color w:val="auto"/>
                <w:sz w:val="24"/>
              </w:rPr>
            </w:pPr>
          </w:p>
        </w:tc>
        <w:tc>
          <w:tcPr>
            <w:tcW w:w="1217" w:type="dxa"/>
            <w:noWrap w:val="0"/>
            <w:vAlign w:val="center"/>
          </w:tcPr>
          <w:p w14:paraId="346F81BA">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42E2B34B">
            <w:pPr>
              <w:spacing w:line="400" w:lineRule="atLeast"/>
              <w:ind w:left="-4664" w:leftChars="-2221" w:right="17" w:firstLine="4665" w:firstLineChars="1944"/>
              <w:jc w:val="center"/>
              <w:rPr>
                <w:rFonts w:hint="eastAsia" w:ascii="宋体" w:hAnsi="宋体" w:cs="宋体"/>
                <w:color w:val="auto"/>
                <w:sz w:val="24"/>
              </w:rPr>
            </w:pPr>
          </w:p>
        </w:tc>
      </w:tr>
      <w:tr w14:paraId="55318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39D3A5C">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3033FEED">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1D869FF6">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1C555093">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0C71C4F6">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5E5EA5F4">
            <w:pPr>
              <w:spacing w:line="400" w:lineRule="atLeast"/>
              <w:ind w:left="-4664" w:leftChars="-2221" w:right="17" w:firstLine="4665" w:firstLineChars="1944"/>
              <w:jc w:val="center"/>
              <w:rPr>
                <w:rFonts w:hint="eastAsia" w:ascii="宋体" w:hAnsi="宋体" w:cs="宋体"/>
                <w:color w:val="auto"/>
                <w:sz w:val="24"/>
              </w:rPr>
            </w:pPr>
          </w:p>
        </w:tc>
      </w:tr>
      <w:tr w14:paraId="20E2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3997B8A">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4695B056">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1B526F12">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426BEF77">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75CD7ED3">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346DF5C2">
            <w:pPr>
              <w:spacing w:line="400" w:lineRule="atLeast"/>
              <w:ind w:left="-4664" w:leftChars="-2221" w:right="17" w:firstLine="4665" w:firstLineChars="1944"/>
              <w:jc w:val="center"/>
              <w:rPr>
                <w:rFonts w:hint="eastAsia" w:ascii="宋体" w:hAnsi="宋体" w:cs="宋体"/>
                <w:color w:val="auto"/>
                <w:sz w:val="24"/>
              </w:rPr>
            </w:pPr>
          </w:p>
        </w:tc>
      </w:tr>
      <w:tr w14:paraId="21058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B37153B">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52CC76C3">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5BE78F28">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5E64616C">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54EA0065">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542ED2C6">
            <w:pPr>
              <w:spacing w:line="400" w:lineRule="atLeast"/>
              <w:ind w:left="-4664" w:leftChars="-2221" w:right="17" w:firstLine="4665" w:firstLineChars="1944"/>
              <w:jc w:val="center"/>
              <w:rPr>
                <w:rFonts w:hint="eastAsia" w:ascii="宋体" w:hAnsi="宋体" w:cs="宋体"/>
                <w:color w:val="auto"/>
                <w:sz w:val="24"/>
              </w:rPr>
            </w:pPr>
          </w:p>
        </w:tc>
      </w:tr>
    </w:tbl>
    <w:p w14:paraId="1709F10A">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注：每个项目填一份附件清单，附件清单内容参照标书内各项目耗材限价或阳光采购限价填写，不得高于限价。</w:t>
      </w:r>
    </w:p>
    <w:p w14:paraId="6A5D19F6">
      <w:pPr>
        <w:tabs>
          <w:tab w:val="left" w:pos="3710"/>
        </w:tabs>
        <w:jc w:val="left"/>
        <w:rPr>
          <w:rFonts w:hint="eastAsia" w:ascii="宋体" w:hAnsi="宋体" w:cs="宋体"/>
          <w:color w:val="auto"/>
          <w:sz w:val="28"/>
          <w:szCs w:val="28"/>
        </w:rPr>
      </w:pPr>
    </w:p>
    <w:p w14:paraId="6AF55B8B">
      <w:pPr>
        <w:tabs>
          <w:tab w:val="left" w:pos="3710"/>
        </w:tabs>
        <w:jc w:val="left"/>
        <w:rPr>
          <w:rFonts w:hint="eastAsia" w:ascii="宋体" w:hAnsi="宋体" w:cs="宋体"/>
          <w:color w:val="auto"/>
          <w:sz w:val="28"/>
          <w:szCs w:val="28"/>
        </w:rPr>
      </w:pPr>
    </w:p>
    <w:p w14:paraId="2DC3693B">
      <w:pPr>
        <w:tabs>
          <w:tab w:val="left" w:pos="3710"/>
        </w:tabs>
        <w:jc w:val="left"/>
        <w:rPr>
          <w:rFonts w:hint="eastAsia" w:ascii="仿宋_GB2312" w:hAnsi="仿宋_GB2312" w:eastAsia="仿宋_GB2312" w:cs="仿宋_GB2312"/>
          <w:color w:val="auto"/>
        </w:rPr>
      </w:pPr>
    </w:p>
    <w:p w14:paraId="5166CA1F">
      <w:pPr>
        <w:pStyle w:val="7"/>
        <w:tabs>
          <w:tab w:val="left" w:pos="480"/>
        </w:tabs>
        <w:spacing w:line="600" w:lineRule="exact"/>
        <w:ind w:firstLine="0" w:firstLineChars="0"/>
        <w:rPr>
          <w:rFonts w:hint="eastAsia" w:ascii="仿宋_GB2312" w:hAnsi="仿宋_GB2312" w:eastAsia="仿宋_GB2312" w:cs="仿宋_GB2312"/>
          <w:color w:val="auto"/>
          <w:sz w:val="28"/>
          <w:szCs w:val="28"/>
        </w:rPr>
      </w:pPr>
    </w:p>
    <w:p w14:paraId="39255926">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 xml:space="preserve">附件3： </w:t>
      </w:r>
    </w:p>
    <w:p w14:paraId="6A174D2B">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采购需求</w:t>
      </w:r>
    </w:p>
    <w:p w14:paraId="0780F357">
      <w:pPr>
        <w:tabs>
          <w:tab w:val="left" w:pos="3710"/>
        </w:tabs>
        <w:jc w:val="left"/>
        <w:rPr>
          <w:rFonts w:hint="eastAsia" w:ascii="仿宋_GB2312" w:hAnsi="仿宋_GB2312" w:eastAsia="仿宋_GB2312" w:cs="仿宋_GB2312"/>
          <w:color w:val="auto"/>
        </w:rPr>
      </w:pPr>
    </w:p>
    <w:p w14:paraId="58FD72C3">
      <w:pPr>
        <w:rPr>
          <w:rFonts w:hint="eastAsia" w:ascii="黑体" w:hAnsi="宋体" w:eastAsia="黑体" w:cs="仿宋_GB2312"/>
          <w:color w:val="000000"/>
          <w:sz w:val="32"/>
          <w:szCs w:val="32"/>
        </w:rPr>
      </w:pPr>
    </w:p>
    <w:p w14:paraId="437F6AF3">
      <w:pPr>
        <w:rPr>
          <w:rFonts w:hint="eastAsia" w:ascii="黑体" w:hAnsi="宋体" w:eastAsia="黑体" w:cs="仿宋_GB2312"/>
          <w:color w:val="000000"/>
          <w:sz w:val="32"/>
          <w:szCs w:val="32"/>
        </w:rPr>
      </w:pPr>
    </w:p>
    <w:p w14:paraId="1EC57061">
      <w:pPr>
        <w:rPr>
          <w:rFonts w:hint="eastAsia" w:ascii="黑体" w:hAnsi="宋体" w:eastAsia="黑体" w:cs="仿宋_GB2312"/>
          <w:color w:val="000000"/>
          <w:sz w:val="32"/>
          <w:szCs w:val="32"/>
        </w:rPr>
      </w:pPr>
    </w:p>
    <w:p w14:paraId="5242F27B"/>
    <w:p w14:paraId="7F92EC10">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3B49"/>
    <w:multiLevelType w:val="singleLevel"/>
    <w:tmpl w:val="ACB83B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072C1"/>
    <w:rsid w:val="42C26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unhideWhenUsed/>
    <w:qFormat/>
    <w:uiPriority w:val="0"/>
    <w:pPr>
      <w:spacing w:line="360" w:lineRule="auto"/>
      <w:ind w:firstLine="480" w:firstLineChars="200"/>
      <w:jc w:val="left"/>
    </w:pPr>
    <w:rPr>
      <w:rFonts w:ascii="Times New Roman" w:hAnsi="Times New Roman" w:eastAsia="宋体" w:cs="Times New Roman"/>
      <w:kern w:val="0"/>
      <w:sz w:val="24"/>
      <w:szCs w:val="24"/>
    </w:rPr>
  </w:style>
  <w:style w:type="paragraph" w:styleId="3">
    <w:name w:val="envelope return"/>
    <w:basedOn w:val="1"/>
    <w:qFormat/>
    <w:uiPriority w:val="99"/>
    <w:pPr>
      <w:snapToGrid w:val="0"/>
    </w:pPr>
    <w:rPr>
      <w:rFonts w:ascii="Arial" w:hAnsi="Arial" w:cs="Arial"/>
    </w:rPr>
  </w:style>
  <w:style w:type="paragraph" w:styleId="4">
    <w:name w:val="Body Text First Indent 2"/>
    <w:basedOn w:val="2"/>
    <w:next w:val="1"/>
    <w:qFormat/>
    <w:uiPriority w:val="0"/>
    <w:pPr>
      <w:ind w:firstLine="420" w:firstLineChars="200"/>
    </w:pPr>
  </w:style>
  <w:style w:type="paragraph" w:customStyle="1" w:styleId="7">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王馨</cp:lastModifiedBy>
  <dcterms:modified xsi:type="dcterms:W3CDTF">2025-08-27T03:52:22Z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099AF7BACE9E4091A34111D83112AE3C_12</vt:lpwstr>
  </property>
  <property fmtid="{D5CDD505-2E9C-101B-9397-08002B2CF9AE}" pid="4" name="KSOTemplateDocerSaveRecord">
    <vt:lpwstr>eyJoZGlkIjoiMTY5OGYwNzI3M2U0MDZjZTIzODUzMTIxYWQ1YmM3MmQiLCJ1c2VySWQiOiI0ODM0NjExNDgifQ==</vt:lpwstr>
  </property>
</Properties>
</file>