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版本号：JXZB2025-N104120250826001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2025年图书资源采购项目(二次)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JXZB2025-N1041</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2025年图书资源采购项目(二次)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JXZB2025-N1041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2025年图书资源采购项目(二次)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完善学校图书馆数字资源，提高我馆图书资源利用率，更好地服务师生，学校必须持续加强图书资源的建设，才能保障各项工作顺利开展，促进学校转型发展，满足师生研学需求。本项目主要包含数字图书移动图书馆资源、学术期刊文献数据库的1年访问服务，纸质图书采购及入库配套耗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采购包1（图书资源采购项目）：属于专门面向中小企业采购。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证明：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pPr>
        <w:pStyle w:val="null3"/>
      </w:pPr>
      <w:r>
        <w:rPr>
          <w:rFonts w:ascii="仿宋_GB2312" w:hAnsi="仿宋_GB2312" w:cs="仿宋_GB2312" w:eastAsia="仿宋_GB2312"/>
        </w:rPr>
        <w:t>4、社会保障资金缴纳证明：提供投标截止时间前12个月内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以及重点领域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9、非联合体声明：本次项目不接受联合体。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陕西省西安市雁塔区西安市高新区丈八街办唐延路11号禾盛京广中心1幢5单元52304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屈琳妮、贾晓燕、梁乐乐、庞冰倩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029-89525802（转8001）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经甲、乙双方协商一致，以中标金额为基准，下浮10.00%收取（不足4000元的按4000元计取）。在成交通知书发出前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联系电话：029-89525802（转8001）</w:t>
      </w:r>
    </w:p>
    <w:p>
      <w:pPr>
        <w:pStyle w:val="null3"/>
      </w:pPr>
      <w:r>
        <w:rPr>
          <w:rFonts w:ascii="仿宋_GB2312" w:hAnsi="仿宋_GB2312" w:cs="仿宋_GB2312" w:eastAsia="仿宋_GB2312"/>
        </w:rPr>
        <w:t>地址：陕西省西安市高新区唐延路11号禾盛京广中心E座23层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完善学校图书馆数字资源，提高我馆图书资源利用率，更好地服务师生，学校必须持续加强图书资源的建设，才能保障各项工作顺利开展，促进学校转型发展，满足师生研学需求。本项目主要包含数字图书移动图书馆资源、学术期刊文献数据库的1年访问服务，纸质图书采购及入库配套耗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图书资源采购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标的名称：图书资源采购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一、服务内容</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1378"/>
              <w:gridCol w:w="486"/>
              <w:gridCol w:w="417"/>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产品年度</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服务期限</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续订</w:t>
                  </w:r>
                  <w:r>
                    <w:rPr>
                      <w:rFonts w:ascii="仿宋_GB2312" w:hAnsi="仿宋_GB2312" w:cs="仿宋_GB2312" w:eastAsia="仿宋_GB2312"/>
                      <w:sz w:val="21"/>
                    </w:rPr>
                    <w:t>2025年</w:t>
                  </w:r>
                  <w:r>
                    <w:rPr>
                      <w:rFonts w:ascii="仿宋_GB2312" w:hAnsi="仿宋_GB2312" w:cs="仿宋_GB2312" w:eastAsia="仿宋_GB2312"/>
                      <w:sz w:val="21"/>
                    </w:rPr>
                    <w:t>数字图书移动图书馆资源使用服务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年度</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年</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续订</w:t>
                  </w:r>
                  <w:r>
                    <w:rPr>
                      <w:rFonts w:ascii="仿宋_GB2312" w:hAnsi="仿宋_GB2312" w:cs="仿宋_GB2312" w:eastAsia="仿宋_GB2312"/>
                      <w:sz w:val="21"/>
                    </w:rPr>
                    <w:t>2025 年</w:t>
                  </w:r>
                  <w:r>
                    <w:rPr>
                      <w:rFonts w:ascii="仿宋_GB2312" w:hAnsi="仿宋_GB2312" w:cs="仿宋_GB2312" w:eastAsia="仿宋_GB2312"/>
                      <w:sz w:val="21"/>
                    </w:rPr>
                    <w:t>学术期刊文献数据库，包含：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1）中国学术期刊(网络版)C,F,H,J 专辑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2）中国博士学位论文全文数据库 C,F,H,J 专辑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3）中国优秀硕士学位论文全文数据库 C,F,H,J 专辑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4）中国重要会议论文全文数据库 C,F,H,J 专辑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5）《中国精品文艺作品期刊文献库》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6）期刊个刊流量</w:t>
                  </w:r>
                </w:p>
                <w:p>
                  <w:pPr>
                    <w:pStyle w:val="null3"/>
                    <w:jc w:val="left"/>
                  </w:pPr>
                  <w:r>
                    <w:rPr>
                      <w:rFonts w:ascii="仿宋_GB2312" w:hAnsi="仿宋_GB2312" w:cs="仿宋_GB2312" w:eastAsia="仿宋_GB2312"/>
                      <w:sz w:val="21"/>
                    </w:rPr>
                    <w:t>其中总库并发</w:t>
                  </w:r>
                  <w:r>
                    <w:rPr>
                      <w:rFonts w:ascii="仿宋_GB2312" w:hAnsi="仿宋_GB2312" w:cs="仿宋_GB2312" w:eastAsia="仿宋_GB2312"/>
                      <w:sz w:val="21"/>
                    </w:rPr>
                    <w:t>80个，漫游账号50 个</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年度</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年</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纸质图书采购及入库配套耗材</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年度</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年</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二、技术要求</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1"/>
                <w:b/>
              </w:rPr>
              <w:t>（一）续订</w:t>
            </w:r>
            <w:r>
              <w:rPr>
                <w:rFonts w:ascii="仿宋_GB2312" w:hAnsi="仿宋_GB2312" w:cs="仿宋_GB2312" w:eastAsia="仿宋_GB2312"/>
                <w:sz w:val="21"/>
                <w:b/>
              </w:rPr>
              <w:t xml:space="preserve">2025 </w:t>
            </w:r>
            <w:r>
              <w:rPr>
                <w:rFonts w:ascii="仿宋_GB2312" w:hAnsi="仿宋_GB2312" w:cs="仿宋_GB2312" w:eastAsia="仿宋_GB2312"/>
                <w:sz w:val="21"/>
                <w:b/>
              </w:rPr>
              <w:t>年数字图书移动图书馆资源使用服务</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1.所提供电子图书资源需覆盖中图分类法 22 个大类，为了保证图书准确性，保持图书原文原貌，提供不低于 100 万种 PDG 图像格式图书全文在线阅读。</w:t>
            </w:r>
          </w:p>
          <w:p>
            <w:pPr>
              <w:pStyle w:val="null3"/>
              <w:jc w:val="left"/>
            </w:pPr>
            <w:r>
              <w:rPr>
                <w:rFonts w:ascii="仿宋_GB2312" w:hAnsi="仿宋_GB2312" w:cs="仿宋_GB2312" w:eastAsia="仿宋_GB2312"/>
                <w:sz w:val="21"/>
              </w:rPr>
              <w:t>2.★移动图书馆可在不同移动终端上阅读访问。提供适合手机使用的图书资源，需包含图书封面信息、目录及在手机中完成试读，并且通过移动图书馆，可以查询到全国的馆藏信息。</w:t>
            </w:r>
          </w:p>
          <w:p>
            <w:pPr>
              <w:pStyle w:val="null3"/>
              <w:jc w:val="left"/>
            </w:pPr>
            <w:r>
              <w:rPr>
                <w:rFonts w:ascii="仿宋_GB2312" w:hAnsi="仿宋_GB2312" w:cs="仿宋_GB2312" w:eastAsia="仿宋_GB2312"/>
                <w:sz w:val="21"/>
              </w:rPr>
              <w:t>3.★提供适合手机使用的且具有完全自主知识产权的视频，支持有声读物播放，为满足读者视听需求，移动图书馆视频内嵌资源量要求不少于1万集。</w:t>
            </w:r>
          </w:p>
          <w:p>
            <w:pPr>
              <w:pStyle w:val="null3"/>
              <w:jc w:val="left"/>
            </w:pPr>
            <w:r>
              <w:rPr>
                <w:rFonts w:ascii="仿宋_GB2312" w:hAnsi="仿宋_GB2312" w:cs="仿宋_GB2312" w:eastAsia="仿宋_GB2312"/>
                <w:sz w:val="21"/>
              </w:rPr>
              <w:t>4.整合的期刊、论文等摘要页面要显示相关文献来源，且能提供适合移动设备的链接访问，并提供文献传递服务。</w:t>
            </w:r>
          </w:p>
          <w:p>
            <w:pPr>
              <w:pStyle w:val="null3"/>
              <w:jc w:val="left"/>
            </w:pPr>
            <w:r>
              <w:rPr>
                <w:rFonts w:ascii="仿宋_GB2312" w:hAnsi="仿宋_GB2312" w:cs="仿宋_GB2312" w:eastAsia="仿宋_GB2312"/>
                <w:sz w:val="21"/>
              </w:rPr>
              <w:t>5.提供各类资源导航，包括图书、期刊、讲座等，并实现热门资源的推荐。</w:t>
            </w:r>
          </w:p>
          <w:p>
            <w:pPr>
              <w:pStyle w:val="null3"/>
              <w:jc w:val="left"/>
            </w:pPr>
            <w:r>
              <w:rPr>
                <w:rFonts w:ascii="仿宋_GB2312" w:hAnsi="仿宋_GB2312" w:cs="仿宋_GB2312" w:eastAsia="仿宋_GB2312"/>
                <w:sz w:val="21"/>
              </w:rPr>
              <w:t>6.用户在用手机查找文献时，可提出申请将检索结果直接发送到个人邮箱。</w:t>
            </w:r>
          </w:p>
          <w:p>
            <w:pPr>
              <w:pStyle w:val="null3"/>
              <w:jc w:val="left"/>
            </w:pPr>
            <w:r>
              <w:rPr>
                <w:rFonts w:ascii="仿宋_GB2312" w:hAnsi="仿宋_GB2312" w:cs="仿宋_GB2312" w:eastAsia="仿宋_GB2312"/>
                <w:sz w:val="21"/>
              </w:rPr>
              <w:t>7.支持检索结果筛选，支持多种筛选模式，如按时间，标题等。</w:t>
            </w:r>
          </w:p>
          <w:p>
            <w:pPr>
              <w:pStyle w:val="null3"/>
              <w:jc w:val="left"/>
            </w:pPr>
            <w:r>
              <w:rPr>
                <w:rFonts w:ascii="仿宋_GB2312" w:hAnsi="仿宋_GB2312" w:cs="仿宋_GB2312" w:eastAsia="仿宋_GB2312"/>
                <w:sz w:val="21"/>
              </w:rPr>
              <w:t>8.支持横屏阅读，可进行批注，标示等操作。</w:t>
            </w:r>
          </w:p>
          <w:p>
            <w:pPr>
              <w:pStyle w:val="null3"/>
              <w:jc w:val="left"/>
            </w:pPr>
            <w:r>
              <w:rPr>
                <w:rFonts w:ascii="仿宋_GB2312" w:hAnsi="仿宋_GB2312" w:cs="仿宋_GB2312" w:eastAsia="仿宋_GB2312"/>
                <w:sz w:val="21"/>
              </w:rPr>
              <w:t>9.★提供适合不同手机阅读的 EPUB 格式热门图书，不少于 3 万种。图书分类包含经典名著、小说传记、经管理财、历史军事、人生哲学、人文社科、生活保健、文学艺术、政治法律等分类。整合 110 万种以上原貌图书，图书支持收藏、下载。</w:t>
            </w:r>
          </w:p>
          <w:p>
            <w:pPr>
              <w:pStyle w:val="null3"/>
              <w:jc w:val="left"/>
            </w:pPr>
            <w:r>
              <w:rPr>
                <w:rFonts w:ascii="仿宋_GB2312" w:hAnsi="仿宋_GB2312" w:cs="仿宋_GB2312" w:eastAsia="仿宋_GB2312"/>
                <w:sz w:val="21"/>
              </w:rPr>
              <w:t>10.★提供适合广大读者学习的经典视频 11000 集，包含清华大学、北京大学、复旦大学等名校的课程视频及讲座，可以在线进行播放。</w:t>
            </w:r>
          </w:p>
          <w:p>
            <w:pPr>
              <w:pStyle w:val="null3"/>
              <w:jc w:val="left"/>
            </w:pPr>
            <w:r>
              <w:rPr>
                <w:rFonts w:ascii="仿宋_GB2312" w:hAnsi="仿宋_GB2312" w:cs="仿宋_GB2312" w:eastAsia="仿宋_GB2312"/>
                <w:sz w:val="21"/>
              </w:rPr>
              <w:t>11.提供不少于 10000 集听书资源。听书资源需提供包含传奇史话、古代历史、人物传记、国学经典、中国文学、世界名著等分类，最多可提供 30 余种分类。</w:t>
            </w:r>
          </w:p>
          <w:p>
            <w:pPr>
              <w:pStyle w:val="null3"/>
              <w:jc w:val="left"/>
            </w:pPr>
            <w:r>
              <w:rPr>
                <w:rFonts w:ascii="仿宋_GB2312" w:hAnsi="仿宋_GB2312" w:cs="仿宋_GB2312" w:eastAsia="仿宋_GB2312"/>
                <w:sz w:val="21"/>
              </w:rPr>
              <w:t>12.★提供文献传递服务，并且接入全国图书馆参考咨询联盟建立的云传递共享平台。中文文献传递满足率达到 95%以上。传递的文献能够随时随地打开阅读。</w:t>
            </w:r>
          </w:p>
          <w:p>
            <w:pPr>
              <w:pStyle w:val="null3"/>
              <w:jc w:val="left"/>
            </w:pPr>
            <w:r>
              <w:rPr>
                <w:rFonts w:ascii="仿宋_GB2312" w:hAnsi="仿宋_GB2312" w:cs="仿宋_GB2312" w:eastAsia="仿宋_GB2312"/>
                <w:sz w:val="21"/>
              </w:rPr>
              <w:t>13.移动学术资源模块提供包括图书、章节、期刊、视频、论文等多维度的资源，可进行统一检索，且资源频道提供了导航服务。</w:t>
            </w:r>
          </w:p>
          <w:p>
            <w:pPr>
              <w:pStyle w:val="null3"/>
              <w:jc w:val="left"/>
            </w:pPr>
            <w:r>
              <w:rPr>
                <w:rFonts w:ascii="仿宋_GB2312" w:hAnsi="仿宋_GB2312" w:cs="仿宋_GB2312" w:eastAsia="仿宋_GB2312"/>
                <w:sz w:val="21"/>
              </w:rPr>
              <w:t>14.为读者提供个人空间，可添加图书、视频、期刊、讲座等资源，方便读者查找及阅读。</w:t>
            </w:r>
          </w:p>
          <w:p>
            <w:pPr>
              <w:pStyle w:val="null3"/>
              <w:jc w:val="left"/>
            </w:pPr>
            <w:r>
              <w:rPr>
                <w:rFonts w:ascii="仿宋_GB2312" w:hAnsi="仿宋_GB2312" w:cs="仿宋_GB2312" w:eastAsia="仿宋_GB2312"/>
                <w:sz w:val="21"/>
              </w:rPr>
              <w:t>15.★APP 端、小程序端提供作品征集平台，支持上传图片、文字、视频等格式的作品，可设置对作品的投票、点赞、评论等操作权限。</w:t>
            </w:r>
          </w:p>
          <w:p>
            <w:pPr>
              <w:pStyle w:val="null3"/>
              <w:jc w:val="left"/>
            </w:pPr>
            <w:r>
              <w:rPr>
                <w:rFonts w:ascii="仿宋_GB2312" w:hAnsi="仿宋_GB2312" w:cs="仿宋_GB2312" w:eastAsia="仿宋_GB2312"/>
                <w:sz w:val="21"/>
              </w:rPr>
              <w:t>16.手机端支持配置阅读积分大赛，通过看视频、做测评、读经典、观直播等获得积分，进行排行。</w:t>
            </w:r>
          </w:p>
          <w:p>
            <w:pPr>
              <w:pStyle w:val="null3"/>
              <w:jc w:val="left"/>
            </w:pPr>
            <w:r>
              <w:rPr>
                <w:rFonts w:ascii="仿宋_GB2312" w:hAnsi="仿宋_GB2312" w:cs="仿宋_GB2312" w:eastAsia="仿宋_GB2312"/>
                <w:sz w:val="21"/>
              </w:rPr>
              <w:t>17.★APP 端、小程序端提供图书共读功能，通过共同阅读一本书深入了解原著，支持打卡、书评、排行。</w:t>
            </w:r>
          </w:p>
          <w:p>
            <w:pPr>
              <w:pStyle w:val="null3"/>
              <w:jc w:val="left"/>
            </w:pPr>
            <w:r>
              <w:rPr>
                <w:rFonts w:ascii="仿宋_GB2312" w:hAnsi="仿宋_GB2312" w:cs="仿宋_GB2312" w:eastAsia="仿宋_GB2312"/>
                <w:sz w:val="21"/>
              </w:rPr>
              <w:t>18.★APP 端、小程序端提供知识闯关模块，通过灵活配置的活动规则，答题+阅读的方式调动用户的阅读积极性。</w:t>
            </w:r>
          </w:p>
          <w:p>
            <w:pPr>
              <w:pStyle w:val="null3"/>
              <w:jc w:val="left"/>
            </w:pPr>
            <w:r>
              <w:rPr>
                <w:rFonts w:ascii="仿宋_GB2312" w:hAnsi="仿宋_GB2312" w:cs="仿宋_GB2312" w:eastAsia="仿宋_GB2312"/>
                <w:sz w:val="21"/>
              </w:rPr>
              <w:t>19.APP 端、小程序端提供朗读模块，可以生成朗读作品，进行分享。</w:t>
            </w:r>
          </w:p>
          <w:p>
            <w:pPr>
              <w:pStyle w:val="null3"/>
              <w:jc w:val="left"/>
            </w:pPr>
            <w:r>
              <w:rPr>
                <w:rFonts w:ascii="仿宋_GB2312" w:hAnsi="仿宋_GB2312" w:cs="仿宋_GB2312" w:eastAsia="仿宋_GB2312"/>
                <w:sz w:val="21"/>
              </w:rPr>
              <w:t>20.支持对首页资源管理：实现首页图书、期刊、视频、听书等资源的添加、删除。</w:t>
            </w:r>
          </w:p>
          <w:p>
            <w:pPr>
              <w:pStyle w:val="null3"/>
              <w:jc w:val="left"/>
            </w:pPr>
            <w:r>
              <w:rPr>
                <w:rFonts w:ascii="仿宋_GB2312" w:hAnsi="仿宋_GB2312" w:cs="仿宋_GB2312" w:eastAsia="仿宋_GB2312"/>
                <w:sz w:val="21"/>
                <w:b/>
              </w:rPr>
              <w:t>（二）续订</w:t>
            </w:r>
            <w:r>
              <w:rPr>
                <w:rFonts w:ascii="仿宋_GB2312" w:hAnsi="仿宋_GB2312" w:cs="仿宋_GB2312" w:eastAsia="仿宋_GB2312"/>
                <w:sz w:val="21"/>
                <w:b/>
              </w:rPr>
              <w:t>2025 年学术期刊文献数据库</w:t>
            </w:r>
          </w:p>
          <w:p>
            <w:pPr>
              <w:pStyle w:val="null3"/>
              <w:jc w:val="left"/>
            </w:pPr>
            <w:r>
              <w:rPr>
                <w:rFonts w:ascii="仿宋_GB2312" w:hAnsi="仿宋_GB2312" w:cs="仿宋_GB2312" w:eastAsia="仿宋_GB2312"/>
                <w:sz w:val="21"/>
              </w:rPr>
              <w:t>1.资质与版权要求：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应商提供的所有资源必须为正版且彻底解决版权，数据来源合理合法，所有内容均为自有产品或者有销售该产品的合法授权。所提供数据不得是通过破解，盗窃他人数据等非法手段而来。保证院方今后电子资源的使用不受侵权问题的干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2）供应商应具有互联网出版资质，且提供的期刊、博士、硕士、会议、资源须具备正式出版物标准刊号。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3）供应商能够保证学校对所购买的所有内容拥有永久的使用权，可以进行下载、打印、复制等操作。</w:t>
            </w:r>
          </w:p>
          <w:p>
            <w:pPr>
              <w:pStyle w:val="null3"/>
              <w:jc w:val="left"/>
            </w:pPr>
            <w:r>
              <w:rPr>
                <w:rFonts w:ascii="仿宋_GB2312" w:hAnsi="仿宋_GB2312" w:cs="仿宋_GB2312" w:eastAsia="仿宋_GB2312"/>
                <w:sz w:val="21"/>
              </w:rPr>
              <w:t>2.产品技术要求：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1）所列的全文数据库内容能够在统一的平台上进行检索，相互之间可以实现知网节链接，并且可以和以往年度订购的 CNKI 系列数据库资源内容统一使用。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2）更新：网上日更新。网络出版时滞不超过纸质出版 2 个月。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3）数据库能提供完善的用户访问统计和控制功能,并由用户自己随时在后台进行。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4）数据库能提供完善的访问量（日志）统计功能，能按访问总数，检索、浏览、下载分别进行统计，能够按学科专辑专题进行分类统计，能够按时间进行统计。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5）要求系统平台具有完善的可升级与扩展功能，升级方式方便（如可通过网络自动检测升级）。</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6）要求能够提供移动端 APP，并能免费在移动端使用已订购大部分内容。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7）要求厂商能够提供校外漫游服务，并提供 50 个漫游账号。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8）系统能提供完备的检索功能，且对检索结果可以按照需要进行聚类和排序。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10）提供多级目录导航，能够快速定位到页。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11）全文信息完全的数字化，免费提供具有自主知识产权的阅读软件，能够实现期刊论文原始版面结构与样式不失真的显示与打印。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12）数据格式：自定义 CAJ 加密格式同时支持 PDF 格式。对于图像格式能实现OCR 识别转文本。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13）产品数据加工质量</w:t>
            </w:r>
            <w:r>
              <w:rPr>
                <w:rFonts w:ascii="仿宋_GB2312" w:hAnsi="仿宋_GB2312" w:cs="仿宋_GB2312" w:eastAsia="仿宋_GB2312"/>
                <w:sz w:val="21"/>
                <w:b/>
              </w:rPr>
              <w:t>。</w:t>
            </w:r>
          </w:p>
          <w:tbl>
            <w:tblPr>
              <w:tblInd w:type="dxa" w:w="120"/>
              <w:tblBorders>
                <w:top w:val="none" w:color="000000" w:sz="4"/>
                <w:left w:val="none" w:color="000000" w:sz="4"/>
                <w:bottom w:val="none" w:color="000000" w:sz="4"/>
                <w:right w:val="none" w:color="000000" w:sz="4"/>
                <w:insideH w:val="none"/>
                <w:insideV w:val="none"/>
              </w:tblBorders>
            </w:tblPr>
            <w:tblGrid>
              <w:gridCol w:w="385"/>
              <w:gridCol w:w="338"/>
              <w:gridCol w:w="350"/>
              <w:gridCol w:w="863"/>
              <w:gridCol w:w="618"/>
            </w:tblGrid>
            <w:tr>
              <w:tc>
                <w:tcPr>
                  <w:tcW w:type="dxa" w:w="19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指标</w:t>
                  </w:r>
                </w:p>
              </w:tc>
            </w:tr>
            <w:tr>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资源</w:t>
                  </w:r>
                </w:p>
                <w:p>
                  <w:pPr>
                    <w:pStyle w:val="null3"/>
                    <w:jc w:val="left"/>
                  </w:pPr>
                  <w:r>
                    <w:rPr>
                      <w:rFonts w:ascii="仿宋_GB2312" w:hAnsi="仿宋_GB2312" w:cs="仿宋_GB2312" w:eastAsia="仿宋_GB2312"/>
                      <w:sz w:val="21"/>
                    </w:rPr>
                    <w:t>加工</w:t>
                  </w:r>
                </w:p>
              </w:tc>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著录</w:t>
                  </w:r>
                </w:p>
                <w:p>
                  <w:pPr>
                    <w:pStyle w:val="null3"/>
                    <w:jc w:val="left"/>
                  </w:pPr>
                </w:p>
              </w:tc>
              <w:tc>
                <w:tcPr>
                  <w:tcW w:type="dxa" w:w="12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串域、漏标、多标等错误</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中文题名著录文字错误率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其他语种题名著录文字错误率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0.8‰</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中文摘要、英文摘要著录文字错误率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p>
                  <w:pPr>
                    <w:pStyle w:val="null3"/>
                    <w:jc w:val="left"/>
                  </w:pP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基金著录文字错误率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w:t>
                  </w:r>
                </w:p>
                <w:p>
                  <w:pPr>
                    <w:pStyle w:val="null3"/>
                    <w:jc w:val="left"/>
                  </w:pPr>
                  <w:r>
                    <w:rPr>
                      <w:rFonts w:ascii="仿宋_GB2312" w:hAnsi="仿宋_GB2312" w:cs="仿宋_GB2312" w:eastAsia="仿宋_GB2312"/>
                      <w:sz w:val="21"/>
                    </w:rPr>
                    <w:t>描</w:t>
                  </w:r>
                </w:p>
                <w:p>
                  <w:pPr>
                    <w:pStyle w:val="null3"/>
                    <w:jc w:val="left"/>
                  </w:pPr>
                  <w:r>
                    <w:rPr>
                      <w:rFonts w:ascii="仿宋_GB2312" w:hAnsi="仿宋_GB2312" w:cs="仿宋_GB2312" w:eastAsia="仿宋_GB2312"/>
                      <w:sz w:val="21"/>
                    </w:rPr>
                    <w:t>版</w:t>
                  </w:r>
                </w:p>
                <w:p>
                  <w:pPr>
                    <w:pStyle w:val="null3"/>
                    <w:jc w:val="left"/>
                  </w:pPr>
                  <w:r>
                    <w:rPr>
                      <w:rFonts w:ascii="仿宋_GB2312" w:hAnsi="仿宋_GB2312" w:cs="仿宋_GB2312" w:eastAsia="仿宋_GB2312"/>
                      <w:sz w:val="21"/>
                    </w:rPr>
                    <w:t>数</w:t>
                  </w:r>
                </w:p>
                <w:p>
                  <w:pPr>
                    <w:pStyle w:val="null3"/>
                    <w:jc w:val="left"/>
                  </w:pPr>
                  <w:r>
                    <w:rPr>
                      <w:rFonts w:ascii="仿宋_GB2312" w:hAnsi="仿宋_GB2312" w:cs="仿宋_GB2312" w:eastAsia="仿宋_GB2312"/>
                      <w:sz w:val="21"/>
                    </w:rPr>
                    <w:t>据</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篇名、作者文字错误率</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参考文献文字错误率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于</w:t>
                  </w:r>
                  <w:r>
                    <w:rPr>
                      <w:rFonts w:ascii="仿宋_GB2312" w:hAnsi="仿宋_GB2312" w:cs="仿宋_GB2312" w:eastAsia="仿宋_GB2312"/>
                      <w:sz w:val="21"/>
                    </w:rPr>
                    <w:t>0.1%</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其他著录项文字错误率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r>
              <w:tc>
                <w:tcPr>
                  <w:tcW w:type="dxa" w:w="385"/>
                  <w:vMerge/>
                  <w:tcBorders>
                    <w:top w:val="none" w:color="000000" w:sz="4"/>
                    <w:left w:val="single" w:color="000000" w:sz="4"/>
                    <w:bottom w:val="single" w:color="000000" w:sz="4"/>
                    <w:right w:val="single" w:color="000000" w:sz="4"/>
                  </w:tcBorders>
                </w:tcPr>
                <w:p/>
              </w:tc>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标引</w:t>
                  </w: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主题词</w:t>
                  </w:r>
                </w:p>
                <w:p>
                  <w:pPr>
                    <w:pStyle w:val="null3"/>
                    <w:jc w:val="left"/>
                  </w:pPr>
                  <w:r>
                    <w:rPr>
                      <w:rFonts w:ascii="仿宋_GB2312" w:hAnsi="仿宋_GB2312" w:cs="仿宋_GB2312" w:eastAsia="仿宋_GB2312"/>
                      <w:sz w:val="21"/>
                    </w:rPr>
                    <w:t>标引</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正确率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一致度</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关键词</w:t>
                  </w:r>
                </w:p>
                <w:p>
                  <w:pPr>
                    <w:pStyle w:val="null3"/>
                    <w:jc w:val="left"/>
                  </w:pPr>
                  <w:r>
                    <w:rPr>
                      <w:rFonts w:ascii="仿宋_GB2312" w:hAnsi="仿宋_GB2312" w:cs="仿宋_GB2312" w:eastAsia="仿宋_GB2312"/>
                      <w:sz w:val="21"/>
                    </w:rPr>
                    <w:t>标引</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正确率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一致度</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中国图</w:t>
                  </w:r>
                </w:p>
                <w:p>
                  <w:pPr>
                    <w:pStyle w:val="null3"/>
                    <w:jc w:val="left"/>
                  </w:pPr>
                  <w:r>
                    <w:rPr>
                      <w:rFonts w:ascii="仿宋_GB2312" w:hAnsi="仿宋_GB2312" w:cs="仿宋_GB2312" w:eastAsia="仿宋_GB2312"/>
                      <w:sz w:val="21"/>
                    </w:rPr>
                    <w:t>书馆分</w:t>
                  </w:r>
                </w:p>
                <w:p>
                  <w:pPr>
                    <w:pStyle w:val="null3"/>
                    <w:jc w:val="left"/>
                  </w:pPr>
                  <w:r>
                    <w:rPr>
                      <w:rFonts w:ascii="仿宋_GB2312" w:hAnsi="仿宋_GB2312" w:cs="仿宋_GB2312" w:eastAsia="仿宋_GB2312"/>
                      <w:sz w:val="21"/>
                    </w:rPr>
                    <w:t>类法分</w:t>
                  </w:r>
                </w:p>
                <w:p>
                  <w:pPr>
                    <w:pStyle w:val="null3"/>
                    <w:jc w:val="left"/>
                  </w:pPr>
                  <w:r>
                    <w:rPr>
                      <w:rFonts w:ascii="仿宋_GB2312" w:hAnsi="仿宋_GB2312" w:cs="仿宋_GB2312" w:eastAsia="仿宋_GB2312"/>
                      <w:sz w:val="21"/>
                    </w:rPr>
                    <w:t>类号</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标引正确率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标引一致度</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r>
            <w:tr>
              <w:tc>
                <w:tcPr>
                  <w:tcW w:type="dxa" w:w="385"/>
                  <w:vMerge/>
                  <w:tcBorders>
                    <w:top w:val="none" w:color="000000" w:sz="4"/>
                    <w:left w:val="single" w:color="000000" w:sz="4"/>
                    <w:bottom w:val="single" w:color="000000" w:sz="4"/>
                    <w:right w:val="single" w:color="000000" w:sz="4"/>
                  </w:tcBorders>
                </w:tcPr>
                <w:p/>
              </w:tc>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印</w:t>
                  </w:r>
                </w:p>
                <w:p>
                  <w:pPr>
                    <w:pStyle w:val="null3"/>
                    <w:jc w:val="left"/>
                  </w:pPr>
                  <w:r>
                    <w:rPr>
                      <w:rFonts w:ascii="仿宋_GB2312" w:hAnsi="仿宋_GB2312" w:cs="仿宋_GB2312" w:eastAsia="仿宋_GB2312"/>
                      <w:sz w:val="21"/>
                    </w:rPr>
                    <w:t>刷</w:t>
                  </w:r>
                </w:p>
                <w:p>
                  <w:pPr>
                    <w:pStyle w:val="null3"/>
                    <w:jc w:val="left"/>
                  </w:pPr>
                  <w:r>
                    <w:rPr>
                      <w:rFonts w:ascii="仿宋_GB2312" w:hAnsi="仿宋_GB2312" w:cs="仿宋_GB2312" w:eastAsia="仿宋_GB2312"/>
                      <w:sz w:val="21"/>
                    </w:rPr>
                    <w:t>版</w:t>
                  </w:r>
                </w:p>
                <w:p>
                  <w:pPr>
                    <w:pStyle w:val="null3"/>
                    <w:jc w:val="left"/>
                  </w:pPr>
                  <w:r>
                    <w:rPr>
                      <w:rFonts w:ascii="仿宋_GB2312" w:hAnsi="仿宋_GB2312" w:cs="仿宋_GB2312" w:eastAsia="仿宋_GB2312"/>
                      <w:sz w:val="21"/>
                    </w:rPr>
                    <w:t>全</w:t>
                  </w:r>
                </w:p>
                <w:p>
                  <w:pPr>
                    <w:pStyle w:val="null3"/>
                    <w:jc w:val="left"/>
                  </w:pPr>
                  <w:r>
                    <w:rPr>
                      <w:rFonts w:ascii="仿宋_GB2312" w:hAnsi="仿宋_GB2312" w:cs="仿宋_GB2312" w:eastAsia="仿宋_GB2312"/>
                      <w:sz w:val="21"/>
                    </w:rPr>
                    <w:t>文</w:t>
                  </w:r>
                </w:p>
                <w:p>
                  <w:pPr>
                    <w:pStyle w:val="null3"/>
                    <w:jc w:val="left"/>
                  </w:p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文字与灰度图像扫描分辨率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不小于</w:t>
                  </w:r>
                  <w:r>
                    <w:rPr>
                      <w:rFonts w:ascii="仿宋_GB2312" w:hAnsi="仿宋_GB2312" w:cs="仿宋_GB2312" w:eastAsia="仿宋_GB2312"/>
                      <w:sz w:val="21"/>
                    </w:rPr>
                    <w:t>300dpi</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彩色图像扫描分辨率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不小于</w:t>
                  </w:r>
                  <w:r>
                    <w:rPr>
                      <w:rFonts w:ascii="仿宋_GB2312" w:hAnsi="仿宋_GB2312" w:cs="仿宋_GB2312" w:eastAsia="仿宋_GB2312"/>
                      <w:sz w:val="21"/>
                    </w:rPr>
                    <w:t>200dpi</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图像打印</w:t>
                  </w:r>
                </w:p>
                <w:p>
                  <w:pPr>
                    <w:pStyle w:val="null3"/>
                    <w:jc w:val="left"/>
                  </w:p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文字和灰度图像</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300dpi的保真打印</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350"/>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彩色图片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200dpi的保真打印</w:t>
                  </w:r>
                </w:p>
              </w:tc>
            </w:tr>
            <w:tr>
              <w:tc>
                <w:tcPr>
                  <w:tcW w:type="dxa" w:w="385"/>
                  <w:vMerge/>
                  <w:tcBorders>
                    <w:top w:val="none" w:color="000000" w:sz="4"/>
                    <w:left w:val="single" w:color="000000" w:sz="4"/>
                    <w:bottom w:val="single" w:color="000000" w:sz="4"/>
                    <w:right w:val="single" w:color="000000" w:sz="4"/>
                  </w:tcBorders>
                </w:tcPr>
                <w:p/>
              </w:tc>
              <w:tc>
                <w:tcPr>
                  <w:tcW w:type="dxa" w:w="338"/>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页面错误率</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小于</w:t>
                  </w:r>
                  <w:r>
                    <w:rPr>
                      <w:rFonts w:ascii="仿宋_GB2312" w:hAnsi="仿宋_GB2312" w:cs="仿宋_GB2312" w:eastAsia="仿宋_GB2312"/>
                      <w:sz w:val="21"/>
                    </w:rPr>
                    <w:t>0.5‰</w:t>
                  </w:r>
                </w:p>
              </w:tc>
            </w:tr>
          </w:tbl>
          <w:p>
            <w:pPr>
              <w:pStyle w:val="null3"/>
              <w:jc w:val="left"/>
            </w:pPr>
            <w:r>
              <w:rPr>
                <w:rFonts w:ascii="仿宋_GB2312" w:hAnsi="仿宋_GB2312" w:cs="仿宋_GB2312" w:eastAsia="仿宋_GB2312"/>
                <w:sz w:val="24"/>
                <w:b/>
              </w:rPr>
              <w:t>（三）纸质图书采购及入库配套耗材</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纸质图书</w:t>
            </w:r>
          </w:p>
          <w:p>
            <w:pPr>
              <w:pStyle w:val="null3"/>
              <w:jc w:val="left"/>
            </w:pPr>
            <w:r>
              <w:rPr>
                <w:rFonts w:ascii="仿宋_GB2312" w:hAnsi="仿宋_GB2312" w:cs="仿宋_GB2312" w:eastAsia="仿宋_GB2312"/>
                <w:sz w:val="24"/>
              </w:rPr>
              <w:t>供应商需提供包含社会科学、自然科学、综合性图书等五个基本部类的最新版纸质图书书目，以供选择。纸质图书采购总金额为</w:t>
            </w:r>
            <w:r>
              <w:rPr>
                <w:rFonts w:ascii="仿宋_GB2312" w:hAnsi="仿宋_GB2312" w:cs="仿宋_GB2312" w:eastAsia="仿宋_GB2312"/>
                <w:sz w:val="24"/>
              </w:rPr>
              <w:t>2</w:t>
            </w:r>
            <w:r>
              <w:rPr>
                <w:rFonts w:ascii="仿宋_GB2312" w:hAnsi="仿宋_GB2312" w:cs="仿宋_GB2312" w:eastAsia="仿宋_GB2312"/>
                <w:sz w:val="24"/>
              </w:rPr>
              <w:t>万元。</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入库配套耗材（磁条码和书标纸标签）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磁条码和书标纸标签需适配我校图书馆现有纸质图书管理系统；</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）协议标准：</w:t>
            </w:r>
            <w:r>
              <w:rPr>
                <w:rFonts w:ascii="仿宋_GB2312" w:hAnsi="仿宋_GB2312" w:cs="仿宋_GB2312" w:eastAsia="仿宋_GB2312"/>
                <w:sz w:val="24"/>
              </w:rPr>
              <w:t xml:space="preserve">ISO18000-6C </w:t>
            </w:r>
            <w:r>
              <w:rPr>
                <w:rFonts w:ascii="仿宋_GB2312" w:hAnsi="仿宋_GB2312" w:cs="仿宋_GB2312" w:eastAsia="仿宋_GB2312"/>
                <w:sz w:val="24"/>
              </w:rPr>
              <w:t>标准、</w:t>
            </w:r>
            <w:r>
              <w:rPr>
                <w:rFonts w:ascii="仿宋_GB2312" w:hAnsi="仿宋_GB2312" w:cs="仿宋_GB2312" w:eastAsia="仿宋_GB2312"/>
                <w:sz w:val="24"/>
              </w:rPr>
              <w:t>EPC CLASS1 GEN2;</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）标签内存：</w:t>
            </w:r>
            <w:r>
              <w:rPr>
                <w:rFonts w:ascii="仿宋_GB2312" w:hAnsi="仿宋_GB2312" w:cs="仿宋_GB2312" w:eastAsia="仿宋_GB2312"/>
                <w:sz w:val="24"/>
              </w:rPr>
              <w:t>TID:64Bit;EPC:96Bit;User:512Bit;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）工作频率：</w:t>
            </w:r>
            <w:r>
              <w:rPr>
                <w:rFonts w:ascii="仿宋_GB2312" w:hAnsi="仿宋_GB2312" w:cs="仿宋_GB2312" w:eastAsia="仿宋_GB2312"/>
                <w:sz w:val="24"/>
              </w:rPr>
              <w:t>860</w:t>
            </w:r>
            <w:r>
              <w:rPr>
                <w:rFonts w:ascii="仿宋_GB2312" w:hAnsi="仿宋_GB2312" w:cs="仿宋_GB2312" w:eastAsia="仿宋_GB2312"/>
                <w:sz w:val="24"/>
              </w:rPr>
              <w:t>～</w:t>
            </w:r>
            <w:r>
              <w:rPr>
                <w:rFonts w:ascii="仿宋_GB2312" w:hAnsi="仿宋_GB2312" w:cs="仿宋_GB2312" w:eastAsia="仿宋_GB2312"/>
                <w:sz w:val="24"/>
              </w:rPr>
              <w:t>960MHz;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）环境温度范围：</w:t>
            </w:r>
            <w:r>
              <w:rPr>
                <w:rFonts w:ascii="仿宋_GB2312" w:hAnsi="仿宋_GB2312" w:cs="仿宋_GB2312" w:eastAsia="仿宋_GB2312"/>
                <w:sz w:val="24"/>
              </w:rPr>
              <w:t xml:space="preserve">-20 </w:t>
            </w:r>
            <w:r>
              <w:rPr>
                <w:rFonts w:ascii="仿宋_GB2312" w:hAnsi="仿宋_GB2312" w:cs="仿宋_GB2312" w:eastAsia="仿宋_GB2312"/>
                <w:sz w:val="24"/>
              </w:rPr>
              <w:t>度</w:t>
            </w:r>
            <w:r>
              <w:rPr>
                <w:rFonts w:ascii="仿宋_GB2312" w:hAnsi="仿宋_GB2312" w:cs="仿宋_GB2312" w:eastAsia="仿宋_GB2312"/>
                <w:sz w:val="24"/>
              </w:rPr>
              <w:t xml:space="preserve">-70 </w:t>
            </w:r>
            <w:r>
              <w:rPr>
                <w:rFonts w:ascii="仿宋_GB2312" w:hAnsi="仿宋_GB2312" w:cs="仿宋_GB2312" w:eastAsia="仿宋_GB2312"/>
                <w:sz w:val="24"/>
              </w:rPr>
              <w:t>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）芯片使用寿命：读写</w:t>
            </w:r>
            <w:r>
              <w:rPr>
                <w:rFonts w:ascii="仿宋_GB2312" w:hAnsi="仿宋_GB2312" w:cs="仿宋_GB2312" w:eastAsia="仿宋_GB2312"/>
                <w:sz w:val="24"/>
              </w:rPr>
              <w:t xml:space="preserve">10 </w:t>
            </w:r>
            <w:r>
              <w:rPr>
                <w:rFonts w:ascii="仿宋_GB2312" w:hAnsi="仿宋_GB2312" w:cs="仿宋_GB2312" w:eastAsia="仿宋_GB2312"/>
                <w:sz w:val="24"/>
              </w:rPr>
              <w:t>万次，有效期</w:t>
            </w:r>
            <w:r>
              <w:rPr>
                <w:rFonts w:ascii="仿宋_GB2312" w:hAnsi="仿宋_GB2312" w:cs="仿宋_GB2312" w:eastAsia="仿宋_GB2312"/>
                <w:sz w:val="24"/>
              </w:rPr>
              <w:t xml:space="preserve">10 </w:t>
            </w:r>
            <w:r>
              <w:rPr>
                <w:rFonts w:ascii="仿宋_GB2312" w:hAnsi="仿宋_GB2312" w:cs="仿宋_GB2312" w:eastAsia="仿宋_GB2312"/>
                <w:sz w:val="24"/>
              </w:rPr>
              <w:t>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）防冲突性：允许工作区间内多个标签的可靠识读；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）有效识读距离：完全符合自助借还、盘点机、安全门等设备读取要求；标签可以非接触式的读取和写入；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）标签具有一定的抗冲突性，保证多个标签的同时可靠识。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）标签具有较高的安全性，防止存储在其中的信息资料被泄露；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）用户可自定义数据格式和内容，具有良好的数据扩展性；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）图书标签采用</w:t>
            </w:r>
            <w:r>
              <w:rPr>
                <w:rFonts w:ascii="仿宋_GB2312" w:hAnsi="仿宋_GB2312" w:cs="仿宋_GB2312" w:eastAsia="仿宋_GB2312"/>
                <w:sz w:val="24"/>
              </w:rPr>
              <w:t xml:space="preserve">AFI </w:t>
            </w:r>
            <w:r>
              <w:rPr>
                <w:rFonts w:ascii="仿宋_GB2312" w:hAnsi="仿宋_GB2312" w:cs="仿宋_GB2312" w:eastAsia="仿宋_GB2312"/>
                <w:sz w:val="24"/>
              </w:rPr>
              <w:t>或</w:t>
            </w:r>
            <w:r>
              <w:rPr>
                <w:rFonts w:ascii="仿宋_GB2312" w:hAnsi="仿宋_GB2312" w:cs="仿宋_GB2312" w:eastAsia="仿宋_GB2312"/>
                <w:sz w:val="24"/>
              </w:rPr>
              <w:t xml:space="preserve">EAS </w:t>
            </w:r>
            <w:r>
              <w:rPr>
                <w:rFonts w:ascii="仿宋_GB2312" w:hAnsi="仿宋_GB2312" w:cs="仿宋_GB2312" w:eastAsia="仿宋_GB2312"/>
                <w:sz w:val="24"/>
              </w:rPr>
              <w:t>位作为防盗的安全标志方法，且</w:t>
            </w:r>
            <w:r>
              <w:rPr>
                <w:rFonts w:ascii="仿宋_GB2312" w:hAnsi="仿宋_GB2312" w:cs="仿宋_GB2312" w:eastAsia="仿宋_GB2312"/>
                <w:sz w:val="24"/>
              </w:rPr>
              <w:t xml:space="preserve">AFI </w:t>
            </w:r>
            <w:r>
              <w:rPr>
                <w:rFonts w:ascii="仿宋_GB2312" w:hAnsi="仿宋_GB2312" w:cs="仿宋_GB2312" w:eastAsia="仿宋_GB2312"/>
                <w:sz w:val="24"/>
              </w:rPr>
              <w:t>标志位必须可以用户自由修改；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）标签为自带不干胶标签</w:t>
            </w:r>
            <w:r>
              <w:rPr>
                <w:rFonts w:ascii="仿宋_GB2312" w:hAnsi="仿宋_GB2312" w:cs="仿宋_GB2312" w:eastAsia="仿宋_GB2312"/>
                <w:sz w:val="24"/>
              </w:rPr>
              <w:t xml:space="preserve">, </w:t>
            </w:r>
            <w:r>
              <w:rPr>
                <w:rFonts w:ascii="仿宋_GB2312" w:hAnsi="仿宋_GB2312" w:cs="仿宋_GB2312" w:eastAsia="仿宋_GB2312"/>
                <w:sz w:val="24"/>
              </w:rPr>
              <w:t>标签粘贴到位后不易撕毁、脱落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A4 </w:t>
            </w:r>
            <w:r>
              <w:rPr>
                <w:rFonts w:ascii="仿宋_GB2312" w:hAnsi="仿宋_GB2312" w:cs="仿宋_GB2312" w:eastAsia="仿宋_GB2312"/>
                <w:sz w:val="24"/>
              </w:rPr>
              <w:t>大小空白书标纸，每张书标纸有</w:t>
            </w:r>
            <w:r>
              <w:rPr>
                <w:rFonts w:ascii="仿宋_GB2312" w:hAnsi="仿宋_GB2312" w:cs="仿宋_GB2312" w:eastAsia="仿宋_GB2312"/>
                <w:sz w:val="24"/>
              </w:rPr>
              <w:t xml:space="preserve">45 </w:t>
            </w:r>
            <w:r>
              <w:rPr>
                <w:rFonts w:ascii="仿宋_GB2312" w:hAnsi="仿宋_GB2312" w:cs="仿宋_GB2312" w:eastAsia="仿宋_GB2312"/>
                <w:sz w:val="24"/>
              </w:rPr>
              <w:t>个小书标。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）小书标尺寸：</w:t>
            </w:r>
            <w:r>
              <w:rPr>
                <w:rFonts w:ascii="仿宋_GB2312" w:hAnsi="仿宋_GB2312" w:cs="仿宋_GB2312" w:eastAsia="仿宋_GB2312"/>
                <w:sz w:val="24"/>
              </w:rPr>
              <w:t>40*26.09mm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入库配套耗材最少采购</w:t>
            </w:r>
            <w:r>
              <w:rPr>
                <w:rFonts w:ascii="仿宋_GB2312" w:hAnsi="仿宋_GB2312" w:cs="仿宋_GB2312" w:eastAsia="仿宋_GB2312"/>
                <w:sz w:val="24"/>
              </w:rPr>
              <w:t xml:space="preserve">6500 </w:t>
            </w:r>
            <w:r>
              <w:rPr>
                <w:rFonts w:ascii="仿宋_GB2312" w:hAnsi="仿宋_GB2312" w:cs="仿宋_GB2312" w:eastAsia="仿宋_GB2312"/>
                <w:sz w:val="24"/>
              </w:rPr>
              <w:t>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3"/>
                <w:b/>
              </w:rPr>
              <w:t>三、服务要求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供应商有售后服务机构或办事处，</w:t>
            </w:r>
            <w:r>
              <w:rPr>
                <w:rFonts w:ascii="仿宋_GB2312" w:hAnsi="仿宋_GB2312" w:cs="仿宋_GB2312" w:eastAsia="仿宋_GB2312"/>
                <w:sz w:val="24"/>
              </w:rPr>
              <w:t>服务期限内能够提供免费的售后服务，包含但不限于数据安装、应用培训等售后服务。</w:t>
            </w:r>
          </w:p>
          <w:p>
            <w:pPr>
              <w:pStyle w:val="null3"/>
              <w:jc w:val="left"/>
            </w:pPr>
            <w:r>
              <w:rPr>
                <w:rFonts w:ascii="仿宋_GB2312" w:hAnsi="仿宋_GB2312" w:cs="仿宋_GB2312" w:eastAsia="仿宋_GB2312"/>
                <w:sz w:val="24"/>
              </w:rPr>
              <w:t>2、对于学校原因造成的产品使用故障，能够提供通过电话支持、网络服务等方式，协助用户排查解决，特殊情况下可派技术人员上门协助解决。对于产品本身原因造成的使用故障由公司负责免费排除。</w:t>
            </w:r>
          </w:p>
          <w:p>
            <w:pPr>
              <w:pStyle w:val="null3"/>
              <w:jc w:val="left"/>
            </w:pPr>
            <w:r>
              <w:rPr>
                <w:rFonts w:ascii="仿宋_GB2312" w:hAnsi="仿宋_GB2312" w:cs="仿宋_GB2312" w:eastAsia="仿宋_GB2312"/>
                <w:sz w:val="24"/>
              </w:rPr>
              <w:t>3、使用出现故障时，工作时间内，网络服务、电话服务的响应时间小于2小时，需要上门解决时，能够在24小时内到达现场进行协调解决。</w:t>
            </w:r>
          </w:p>
          <w:p>
            <w:pPr>
              <w:pStyle w:val="null3"/>
              <w:jc w:val="left"/>
            </w:pPr>
            <w:r>
              <w:rPr>
                <w:rFonts w:ascii="仿宋_GB2312" w:hAnsi="仿宋_GB2312" w:cs="仿宋_GB2312" w:eastAsia="仿宋_GB2312"/>
                <w:sz w:val="24"/>
              </w:rPr>
              <w:t>4、供应商能够提供产品的紧急备份访问服务，保证用户可持续使用产品。</w:t>
            </w:r>
          </w:p>
          <w:p>
            <w:pPr>
              <w:pStyle w:val="null3"/>
              <w:jc w:val="left"/>
            </w:pPr>
            <w:r>
              <w:rPr>
                <w:rFonts w:ascii="仿宋_GB2312" w:hAnsi="仿宋_GB2312" w:cs="仿宋_GB2312" w:eastAsia="仿宋_GB2312"/>
                <w:sz w:val="24"/>
              </w:rPr>
              <w:t>5、镜像数据丢失后，供应商能够免费提供数据丢失后的恢复服务。</w:t>
            </w:r>
          </w:p>
          <w:p>
            <w:pPr>
              <w:pStyle w:val="null3"/>
              <w:jc w:val="both"/>
            </w:pPr>
            <w:r>
              <w:rPr>
                <w:rFonts w:ascii="仿宋_GB2312" w:hAnsi="仿宋_GB2312" w:cs="仿宋_GB2312" w:eastAsia="仿宋_GB2312"/>
                <w:sz w:val="24"/>
              </w:rPr>
              <w:t>6、提供其他系统接入、远程访问服务。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经甲方验收合格后，乙方开具等额有效发票给甲方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1、付款条件说明：经甲方验收合格后，乙方开具等额有效发票给甲方，甲方在30个工作日内，以银行转账方式一次性向乙方支付合同总价的 100%价款。 2、成交供应商在领取成交通知书前，需向采购代理机构提交纸质版响应文件二份，纸质版文件须为电子响应文件的打印版。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以及重点领域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供应商应提交的相关资格证明材料 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标的清单 响应文件（格式）.docx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技术要求评审</w:t>
            </w:r>
          </w:p>
        </w:tc>
        <w:tc>
          <w:tcPr>
            <w:tcW w:type="dxa" w:w="2492"/>
          </w:tcPr>
          <w:p>
            <w:pPr>
              <w:pStyle w:val="null3"/>
            </w:pPr>
            <w:r>
              <w:rPr>
                <w:rFonts w:ascii="仿宋_GB2312" w:hAnsi="仿宋_GB2312" w:cs="仿宋_GB2312" w:eastAsia="仿宋_GB2312"/>
              </w:rPr>
              <w:t>供应商对第三章3.2.2服务要求中二、技术要求条款内容在技术（服务）要求响应偏离表中逐条进行明确响应。若须提供证明材料才可证明其真实性的应当提供相关证明材料。 其中：技术指标响应全部满足或优于招标文件技术参数及功能要求得22分。 除★外，每出现一项负偏离扣0.5分，扣完为止。 备注：1、证明材料要求：不限于官网截图或用户使用说明书或技术规格书或产品彩页或加盖供应商公章的白皮书或技术规格书。 2、未按要求提供证明材料视为负偏离。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提供项目服务方案、质量保障方案、实施进度计划、项目组织管理等内容，根据完整性、合理性、可行性进行评价。 服务、质量、进度、组织方案全面、合理、可行性强，完全满足采购要求的一项得4分；服务、质量、进度、组织方案全面、合理、有一定的可行性，能满足采购要求的一项得3分；服务、质量、进度、组织方案较完整、合理、基本可行的一项得2分； 服务、质量、进度、组织方案不完整，部分满足采购要求的一项得1分；服务、质量、进度、组织方案严重缺失或存在较大不合理的不得分。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方案详尽，合理可行，逻辑清楚，针对性及可行性强，得10分； 方案较完善，有一定的逻辑性、针对性、可行性，得8分； 方案内容基本合理，基本可行得6分； 方案内容简单笼统，方案针对性一般得4分； 方案内容缺失、方案针对性较差得2分；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供应商针对本项目提供良好的售后服务能力，（包括但不限于专业技术人员负责对接保障，及时响应，应急处理方案，需要上门解决时，免费升级服务保障等）。 服务能力详尽，合理可行，逻辑清楚，针对性及可行性强，得10分； 服务能力较完善，有一定的逻辑性、针对性、可行性，得8分； 服务能力内容基本合理，基本可行得6分； 服务能力内容简单笼统，方案针对性一般得4分； 服务能力内容缺失、方案针对性较差得2分；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拟投入本项目组织机构合理、人员计划安排非常得当，人员具有类似项目工作经历，得7分； 拟投入本项目组织机构较合理、人员计划安排得当，人员具有类似项目工作经历，得6分；拟投入本项目组织机构基本合理、人员计划安排基本得当，人员具有类似项目工作经历，得4分；拟投入本项目组织机构完备、人力计划安排得当，仅能满足日常需要的得3分；拟投入本项目组织机构较差、人力计划安排混乱，仅能满足日常需要的得1分； 无对应内容响应的本项不得分。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供应商提供2022年1月1日至今类似项目业绩（以合同签订日期为准），每提供1个得2.5分，最高得5分。 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供应商认为其他有必要提供的资料.docx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详见附件：响应文件（格式）.docx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详见附件：供应商认为其他有必要提供的资料.docx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