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69192">
      <w:pPr>
        <w:spacing w:line="360" w:lineRule="auto"/>
        <w:jc w:val="center"/>
        <w:rPr>
          <w:rFonts w:ascii="宋体" w:hAnsi="宋体" w:cs="宋体"/>
          <w:b/>
          <w:bCs/>
          <w:color w:val="auto"/>
          <w:sz w:val="24"/>
          <w:szCs w:val="24"/>
          <w:highlight w:val="none"/>
          <w:shd w:val="clear" w:color="auto" w:fill="FFFFFF"/>
        </w:rPr>
      </w:pPr>
      <w:r>
        <w:rPr>
          <w:rFonts w:hint="eastAsia" w:ascii="宋体" w:hAnsi="宋体" w:cs="仿宋_GB2312"/>
          <w:b/>
          <w:color w:val="auto"/>
          <w:sz w:val="24"/>
          <w:szCs w:val="24"/>
          <w:highlight w:val="none"/>
        </w:rPr>
        <w:t>（本合同为样稿，部分内容可根据成交供应商响应文件响应由双方协商后确定，具体事项以合同签订为准。）</w:t>
      </w:r>
    </w:p>
    <w:p w14:paraId="4F72B094">
      <w:pPr>
        <w:pStyle w:val="5"/>
        <w:spacing w:line="360" w:lineRule="auto"/>
        <w:ind w:firstLine="400" w:firstLineChars="200"/>
        <w:outlineLvl w:val="2"/>
        <w:rPr>
          <w:rFonts w:hint="default"/>
          <w:color w:val="auto"/>
          <w:highlight w:val="none"/>
          <w:lang w:eastAsia="zh-CN"/>
        </w:rPr>
      </w:pPr>
      <w:r>
        <w:rPr>
          <w:color w:val="auto"/>
          <w:highlight w:val="none"/>
          <w:lang w:eastAsia="zh-CN"/>
        </w:rPr>
        <w:t>采购人（以下简称甲方）：</w:t>
      </w:r>
    </w:p>
    <w:p w14:paraId="4DE42360">
      <w:pPr>
        <w:pStyle w:val="5"/>
        <w:spacing w:line="360" w:lineRule="auto"/>
        <w:ind w:firstLine="400" w:firstLineChars="200"/>
        <w:outlineLvl w:val="2"/>
        <w:rPr>
          <w:rFonts w:hint="default"/>
          <w:color w:val="auto"/>
          <w:highlight w:val="none"/>
          <w:lang w:eastAsia="zh-CN"/>
        </w:rPr>
      </w:pPr>
      <w:r>
        <w:rPr>
          <w:color w:val="auto"/>
          <w:highlight w:val="none"/>
          <w:lang w:eastAsia="zh-CN"/>
        </w:rPr>
        <w:t>供应商（以下简称乙方）：</w:t>
      </w:r>
    </w:p>
    <w:p w14:paraId="771EC643">
      <w:pPr>
        <w:pStyle w:val="5"/>
        <w:spacing w:line="360" w:lineRule="auto"/>
        <w:ind w:firstLine="400" w:firstLineChars="200"/>
        <w:outlineLvl w:val="2"/>
        <w:rPr>
          <w:rFonts w:hint="default"/>
          <w:color w:val="auto"/>
          <w:highlight w:val="none"/>
          <w:lang w:eastAsia="zh-CN"/>
        </w:rPr>
      </w:pPr>
      <w:r>
        <w:rPr>
          <w:color w:val="auto"/>
          <w:highlight w:val="none"/>
          <w:lang w:eastAsia="zh-CN"/>
        </w:rPr>
        <w:t>根据《中华人民共和国民法典》、《中华人民共和国政府采购法》及其它有关法律、行政法规，为明确双方在实施过程中的权利、义务，经双方协商自愿签订本合同。</w:t>
      </w:r>
    </w:p>
    <w:p w14:paraId="0BB74994">
      <w:pPr>
        <w:pStyle w:val="5"/>
        <w:spacing w:line="360" w:lineRule="auto"/>
        <w:ind w:firstLine="400" w:firstLineChars="200"/>
        <w:outlineLvl w:val="2"/>
        <w:rPr>
          <w:rFonts w:hint="default"/>
          <w:color w:val="auto"/>
          <w:highlight w:val="none"/>
          <w:lang w:eastAsia="zh-CN"/>
        </w:rPr>
      </w:pPr>
      <w:r>
        <w:rPr>
          <w:color w:val="auto"/>
          <w:highlight w:val="none"/>
          <w:lang w:eastAsia="zh-CN"/>
        </w:rPr>
        <w:t>第一条 合同组成</w:t>
      </w:r>
    </w:p>
    <w:p w14:paraId="210D8C4C">
      <w:pPr>
        <w:pStyle w:val="5"/>
        <w:spacing w:line="360" w:lineRule="auto"/>
        <w:ind w:firstLine="400" w:firstLineChars="200"/>
        <w:outlineLvl w:val="2"/>
        <w:rPr>
          <w:rFonts w:hint="default"/>
          <w:color w:val="auto"/>
          <w:highlight w:val="none"/>
          <w:lang w:eastAsia="zh-CN"/>
        </w:rPr>
      </w:pPr>
      <w:r>
        <w:rPr>
          <w:color w:val="auto"/>
          <w:highlight w:val="none"/>
          <w:lang w:eastAsia="zh-CN"/>
        </w:rPr>
        <w:t>1.下述文件是构成本合同不可分割的部分:</w:t>
      </w:r>
    </w:p>
    <w:p w14:paraId="32B0CAF2">
      <w:pPr>
        <w:pStyle w:val="5"/>
        <w:spacing w:line="360" w:lineRule="auto"/>
        <w:ind w:firstLine="400" w:firstLineChars="200"/>
        <w:outlineLvl w:val="2"/>
        <w:rPr>
          <w:rFonts w:hint="default"/>
          <w:color w:val="auto"/>
          <w:highlight w:val="none"/>
          <w:lang w:eastAsia="zh-CN"/>
        </w:rPr>
      </w:pPr>
      <w:r>
        <w:rPr>
          <w:color w:val="auto"/>
          <w:highlight w:val="none"/>
          <w:lang w:eastAsia="zh-CN"/>
        </w:rPr>
        <w:t>（1）本合同条款及其所有附件。</w:t>
      </w:r>
    </w:p>
    <w:p w14:paraId="60C86CF9">
      <w:pPr>
        <w:pStyle w:val="5"/>
        <w:spacing w:line="360" w:lineRule="auto"/>
        <w:ind w:firstLine="400" w:firstLineChars="200"/>
        <w:outlineLvl w:val="2"/>
        <w:rPr>
          <w:rFonts w:hint="default"/>
          <w:color w:val="auto"/>
          <w:highlight w:val="none"/>
          <w:lang w:eastAsia="zh-CN"/>
        </w:rPr>
      </w:pPr>
      <w:r>
        <w:rPr>
          <w:color w:val="auto"/>
          <w:highlight w:val="none"/>
          <w:lang w:eastAsia="zh-CN"/>
        </w:rPr>
        <w:t>（2）甲方的磋商文件及澄清文件。</w:t>
      </w:r>
    </w:p>
    <w:p w14:paraId="4AB2C69E">
      <w:pPr>
        <w:pStyle w:val="5"/>
        <w:spacing w:line="360" w:lineRule="auto"/>
        <w:ind w:firstLine="400" w:firstLineChars="200"/>
        <w:outlineLvl w:val="2"/>
        <w:rPr>
          <w:rFonts w:hint="default"/>
          <w:color w:val="auto"/>
          <w:highlight w:val="none"/>
          <w:lang w:eastAsia="zh-CN"/>
        </w:rPr>
      </w:pPr>
      <w:r>
        <w:rPr>
          <w:color w:val="auto"/>
          <w:highlight w:val="none"/>
          <w:lang w:eastAsia="zh-CN"/>
        </w:rPr>
        <w:t>（3）乙方的磋商响应文件及质疑解答文件。</w:t>
      </w:r>
    </w:p>
    <w:p w14:paraId="114C940E">
      <w:pPr>
        <w:pStyle w:val="5"/>
        <w:spacing w:line="360" w:lineRule="auto"/>
        <w:ind w:firstLine="400" w:firstLineChars="200"/>
        <w:outlineLvl w:val="2"/>
        <w:rPr>
          <w:rFonts w:hint="default"/>
          <w:color w:val="auto"/>
          <w:highlight w:val="none"/>
          <w:lang w:eastAsia="zh-CN"/>
        </w:rPr>
      </w:pPr>
      <w:r>
        <w:rPr>
          <w:color w:val="auto"/>
          <w:highlight w:val="none"/>
          <w:lang w:eastAsia="zh-CN"/>
        </w:rPr>
        <w:t>（4）成交通知书。</w:t>
      </w:r>
    </w:p>
    <w:p w14:paraId="34E350EF">
      <w:pPr>
        <w:pStyle w:val="5"/>
        <w:spacing w:line="360" w:lineRule="auto"/>
        <w:ind w:firstLine="400" w:firstLineChars="200"/>
        <w:outlineLvl w:val="2"/>
        <w:rPr>
          <w:rFonts w:hint="default"/>
          <w:color w:val="auto"/>
          <w:highlight w:val="none"/>
          <w:lang w:eastAsia="zh-CN"/>
        </w:rPr>
      </w:pPr>
      <w:r>
        <w:rPr>
          <w:color w:val="auto"/>
          <w:highlight w:val="none"/>
          <w:lang w:eastAsia="zh-CN"/>
        </w:rPr>
        <w:t>（5）法定代表人授权书。</w:t>
      </w:r>
    </w:p>
    <w:p w14:paraId="0881A0CA">
      <w:pPr>
        <w:pStyle w:val="5"/>
        <w:spacing w:line="360" w:lineRule="auto"/>
        <w:ind w:firstLine="400" w:firstLineChars="200"/>
        <w:outlineLvl w:val="2"/>
        <w:rPr>
          <w:rFonts w:hint="default"/>
          <w:color w:val="auto"/>
          <w:highlight w:val="none"/>
          <w:lang w:eastAsia="zh-CN"/>
        </w:rPr>
      </w:pPr>
      <w:r>
        <w:rPr>
          <w:color w:val="auto"/>
          <w:highlight w:val="none"/>
          <w:lang w:eastAsia="zh-CN"/>
        </w:rPr>
        <w:t>（6）双方与合同有关的往来信函、传真经双方法定代表人或其授权代表签字或盖章并加盖单位公章确认后视为本合同的组成部分。</w:t>
      </w:r>
    </w:p>
    <w:p w14:paraId="26DC10EC">
      <w:pPr>
        <w:pStyle w:val="5"/>
        <w:spacing w:line="360" w:lineRule="auto"/>
        <w:ind w:firstLine="400" w:firstLineChars="200"/>
        <w:outlineLvl w:val="2"/>
        <w:rPr>
          <w:rFonts w:hint="default"/>
          <w:color w:val="auto"/>
          <w:highlight w:val="none"/>
          <w:lang w:eastAsia="zh-CN"/>
        </w:rPr>
      </w:pPr>
      <w:r>
        <w:rPr>
          <w:color w:val="auto"/>
          <w:highlight w:val="none"/>
          <w:lang w:eastAsia="zh-CN"/>
        </w:rPr>
        <w:t>（7）经双方法定代表人或其授权代表签字并加盖单位公章确认的补充协议。</w:t>
      </w:r>
    </w:p>
    <w:p w14:paraId="67A7D624">
      <w:pPr>
        <w:pStyle w:val="5"/>
        <w:spacing w:line="360" w:lineRule="auto"/>
        <w:ind w:firstLine="400" w:firstLineChars="200"/>
        <w:outlineLvl w:val="2"/>
        <w:rPr>
          <w:rFonts w:hint="default"/>
          <w:color w:val="auto"/>
          <w:highlight w:val="none"/>
          <w:lang w:eastAsia="zh-CN"/>
        </w:rPr>
      </w:pPr>
      <w:r>
        <w:rPr>
          <w:color w:val="auto"/>
          <w:highlight w:val="none"/>
          <w:lang w:eastAsia="zh-CN"/>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711A225D">
      <w:pPr>
        <w:pStyle w:val="5"/>
        <w:spacing w:line="360" w:lineRule="auto"/>
        <w:ind w:firstLine="400" w:firstLineChars="200"/>
        <w:outlineLvl w:val="2"/>
        <w:rPr>
          <w:rFonts w:hint="default"/>
          <w:color w:val="auto"/>
          <w:highlight w:val="none"/>
          <w:lang w:eastAsia="zh-CN"/>
        </w:rPr>
      </w:pPr>
      <w:r>
        <w:rPr>
          <w:color w:val="auto"/>
          <w:highlight w:val="none"/>
          <w:lang w:eastAsia="zh-CN"/>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7706CFA5">
      <w:pPr>
        <w:pStyle w:val="5"/>
        <w:spacing w:line="360" w:lineRule="auto"/>
        <w:ind w:firstLine="400" w:firstLineChars="200"/>
        <w:outlineLvl w:val="2"/>
        <w:rPr>
          <w:rFonts w:hint="default"/>
          <w:color w:val="auto"/>
          <w:highlight w:val="none"/>
          <w:lang w:eastAsia="zh-CN"/>
        </w:rPr>
      </w:pPr>
      <w:r>
        <w:rPr>
          <w:color w:val="auto"/>
          <w:highlight w:val="none"/>
          <w:lang w:eastAsia="zh-CN"/>
        </w:rPr>
        <w:t>第二条 项目概况</w:t>
      </w:r>
    </w:p>
    <w:p w14:paraId="2009E0D0">
      <w:pPr>
        <w:pStyle w:val="5"/>
        <w:spacing w:line="360" w:lineRule="auto"/>
        <w:ind w:firstLine="400" w:firstLineChars="200"/>
        <w:outlineLvl w:val="2"/>
        <w:rPr>
          <w:rFonts w:hint="default"/>
          <w:color w:val="auto"/>
          <w:highlight w:val="none"/>
          <w:lang w:eastAsia="zh-CN"/>
        </w:rPr>
      </w:pPr>
      <w:r>
        <w:rPr>
          <w:color w:val="auto"/>
          <w:highlight w:val="none"/>
          <w:lang w:eastAsia="zh-CN"/>
        </w:rPr>
        <w:t>1.服务地点：甲方指定地点</w:t>
      </w:r>
    </w:p>
    <w:p w14:paraId="1B3F02B4">
      <w:pPr>
        <w:pStyle w:val="5"/>
        <w:spacing w:line="360" w:lineRule="auto"/>
        <w:ind w:firstLine="400" w:firstLineChars="200"/>
        <w:outlineLvl w:val="2"/>
        <w:rPr>
          <w:rFonts w:hint="default"/>
          <w:color w:val="auto"/>
          <w:highlight w:val="none"/>
          <w:lang w:eastAsia="zh-CN"/>
        </w:rPr>
      </w:pPr>
      <w:r>
        <w:rPr>
          <w:color w:val="auto"/>
          <w:highlight w:val="none"/>
          <w:lang w:eastAsia="zh-CN"/>
        </w:rPr>
        <w:t>2.服务内容：为进一步完善学校图书馆数字资源，提高我馆图书资源利用率，更好地服务师生，学校必须持续加强图书资源的建设，才能保障各项工作顺利开展，促进学校转型发展，满足师生研学需求。本项目主要包含数字图书移动图书馆资源、学术期刊文献数据库的1年访问服务，纸质图书采购及入库配套耗材。</w:t>
      </w:r>
    </w:p>
    <w:p w14:paraId="6965272A">
      <w:pPr>
        <w:pStyle w:val="5"/>
        <w:spacing w:line="360" w:lineRule="auto"/>
        <w:ind w:firstLine="400" w:firstLineChars="200"/>
        <w:outlineLvl w:val="2"/>
        <w:rPr>
          <w:rFonts w:hint="default"/>
          <w:color w:val="auto"/>
          <w:highlight w:val="none"/>
          <w:lang w:eastAsia="zh-CN"/>
        </w:rPr>
      </w:pPr>
      <w:r>
        <w:rPr>
          <w:color w:val="auto"/>
          <w:highlight w:val="none"/>
          <w:lang w:eastAsia="zh-CN"/>
        </w:rPr>
        <w:t>3.服务期：合同签订后一年。</w:t>
      </w:r>
    </w:p>
    <w:p w14:paraId="43D0A28A">
      <w:pPr>
        <w:pStyle w:val="5"/>
        <w:spacing w:line="360" w:lineRule="auto"/>
        <w:ind w:firstLine="400" w:firstLineChars="200"/>
        <w:outlineLvl w:val="2"/>
        <w:rPr>
          <w:rFonts w:hint="default"/>
          <w:color w:val="auto"/>
          <w:highlight w:val="none"/>
          <w:lang w:eastAsia="zh-CN"/>
        </w:rPr>
      </w:pPr>
      <w:r>
        <w:rPr>
          <w:color w:val="auto"/>
          <w:highlight w:val="none"/>
          <w:lang w:eastAsia="zh-CN"/>
        </w:rPr>
        <w:t>4.服务质量标准：整个项目应符合国家有关行业规范和标准。</w:t>
      </w:r>
    </w:p>
    <w:p w14:paraId="68F3CEBC">
      <w:pPr>
        <w:pStyle w:val="5"/>
        <w:spacing w:line="360" w:lineRule="auto"/>
        <w:ind w:firstLine="400" w:firstLineChars="200"/>
        <w:outlineLvl w:val="2"/>
        <w:rPr>
          <w:rFonts w:hint="default"/>
          <w:color w:val="auto"/>
          <w:highlight w:val="none"/>
          <w:lang w:eastAsia="zh-CN"/>
        </w:rPr>
      </w:pPr>
      <w:r>
        <w:rPr>
          <w:color w:val="auto"/>
          <w:highlight w:val="none"/>
          <w:lang w:eastAsia="zh-CN"/>
        </w:rPr>
        <w:t>第三条 合同价款及付款方式</w:t>
      </w:r>
    </w:p>
    <w:p w14:paraId="605D2F79">
      <w:pPr>
        <w:pStyle w:val="5"/>
        <w:spacing w:line="360" w:lineRule="auto"/>
        <w:ind w:firstLine="400" w:firstLineChars="200"/>
        <w:outlineLvl w:val="2"/>
        <w:rPr>
          <w:rFonts w:hint="default"/>
          <w:color w:val="auto"/>
          <w:highlight w:val="none"/>
          <w:lang w:eastAsia="zh-CN"/>
        </w:rPr>
      </w:pPr>
      <w:r>
        <w:rPr>
          <w:color w:val="auto"/>
          <w:highlight w:val="none"/>
          <w:lang w:eastAsia="zh-CN"/>
        </w:rPr>
        <w:t>1.合同价款：合同为固定总价合同.</w:t>
      </w:r>
    </w:p>
    <w:p w14:paraId="0168D42E">
      <w:pPr>
        <w:pStyle w:val="5"/>
        <w:spacing w:line="360" w:lineRule="auto"/>
        <w:ind w:firstLine="400" w:firstLineChars="200"/>
        <w:outlineLvl w:val="2"/>
        <w:rPr>
          <w:rFonts w:hint="default"/>
          <w:color w:val="auto"/>
          <w:highlight w:val="none"/>
          <w:lang w:eastAsia="zh-CN"/>
        </w:rPr>
      </w:pPr>
      <w:r>
        <w:rPr>
          <w:color w:val="auto"/>
          <w:highlight w:val="none"/>
          <w:lang w:eastAsia="zh-CN"/>
        </w:rPr>
        <w:t>（1）合同总价为：人民币（大写）    元，（小写）￥     元。</w:t>
      </w:r>
    </w:p>
    <w:p w14:paraId="7D1A5FFF">
      <w:pPr>
        <w:pStyle w:val="5"/>
        <w:spacing w:line="360" w:lineRule="auto"/>
        <w:ind w:firstLine="400" w:firstLineChars="200"/>
        <w:outlineLvl w:val="2"/>
        <w:rPr>
          <w:rFonts w:hint="default"/>
          <w:color w:val="auto"/>
          <w:highlight w:val="none"/>
          <w:lang w:eastAsia="zh-CN"/>
        </w:rPr>
      </w:pPr>
      <w:r>
        <w:rPr>
          <w:color w:val="auto"/>
          <w:highlight w:val="none"/>
          <w:lang w:eastAsia="zh-CN"/>
        </w:rPr>
        <w:t>其中，2025年数字图书移动图书馆资源使用服务、2025年学术期刊文献数据库合计为：人民币（大写）</w:t>
      </w:r>
      <w:r>
        <w:rPr>
          <w:color w:val="auto"/>
          <w:highlight w:val="none"/>
          <w:u w:val="single"/>
          <w:lang w:eastAsia="zh-CN"/>
        </w:rPr>
        <w:t xml:space="preserve">    </w:t>
      </w:r>
      <w:r>
        <w:rPr>
          <w:color w:val="auto"/>
          <w:highlight w:val="none"/>
          <w:lang w:eastAsia="zh-CN"/>
        </w:rPr>
        <w:t>元，（小写）￥</w:t>
      </w:r>
      <w:r>
        <w:rPr>
          <w:color w:val="auto"/>
          <w:highlight w:val="none"/>
          <w:u w:val="single"/>
          <w:lang w:eastAsia="zh-CN"/>
        </w:rPr>
        <w:t xml:space="preserve">    </w:t>
      </w:r>
      <w:r>
        <w:rPr>
          <w:color w:val="auto"/>
          <w:highlight w:val="none"/>
          <w:lang w:eastAsia="zh-CN"/>
        </w:rPr>
        <w:t>元。</w:t>
      </w:r>
    </w:p>
    <w:p w14:paraId="0A59590A">
      <w:pPr>
        <w:pStyle w:val="5"/>
        <w:spacing w:line="360" w:lineRule="auto"/>
        <w:ind w:firstLine="400" w:firstLineChars="200"/>
        <w:outlineLvl w:val="2"/>
        <w:rPr>
          <w:rFonts w:hint="default"/>
          <w:color w:val="auto"/>
          <w:highlight w:val="none"/>
          <w:lang w:eastAsia="zh-CN"/>
        </w:rPr>
      </w:pPr>
      <w:r>
        <w:rPr>
          <w:color w:val="auto"/>
          <w:highlight w:val="none"/>
          <w:lang w:eastAsia="zh-CN"/>
        </w:rPr>
        <w:t>（2）纸质图书暂定合计为：人民币（大写）</w:t>
      </w:r>
      <w:r>
        <w:rPr>
          <w:color w:val="auto"/>
          <w:highlight w:val="none"/>
          <w:u w:val="single"/>
          <w:lang w:eastAsia="zh-CN"/>
        </w:rPr>
        <w:t xml:space="preserve">    </w:t>
      </w:r>
      <w:r>
        <w:rPr>
          <w:color w:val="auto"/>
          <w:highlight w:val="none"/>
          <w:lang w:eastAsia="zh-CN"/>
        </w:rPr>
        <w:t>元，（小写）￥</w:t>
      </w:r>
      <w:r>
        <w:rPr>
          <w:color w:val="auto"/>
          <w:highlight w:val="none"/>
          <w:u w:val="single"/>
          <w:lang w:eastAsia="zh-CN"/>
        </w:rPr>
        <w:t xml:space="preserve">    </w:t>
      </w:r>
      <w:r>
        <w:rPr>
          <w:color w:val="auto"/>
          <w:highlight w:val="none"/>
          <w:lang w:eastAsia="zh-CN"/>
        </w:rPr>
        <w:t>元。</w:t>
      </w:r>
    </w:p>
    <w:p w14:paraId="50B376A4">
      <w:pPr>
        <w:pStyle w:val="5"/>
        <w:spacing w:line="360" w:lineRule="auto"/>
        <w:ind w:firstLine="400" w:firstLineChars="200"/>
        <w:outlineLvl w:val="2"/>
        <w:rPr>
          <w:rFonts w:hint="default"/>
          <w:color w:val="auto"/>
          <w:highlight w:val="none"/>
          <w:lang w:eastAsia="zh-CN"/>
        </w:rPr>
      </w:pPr>
      <w:r>
        <w:rPr>
          <w:color w:val="auto"/>
          <w:highlight w:val="none"/>
          <w:lang w:eastAsia="zh-CN"/>
        </w:rPr>
        <w:t>（3）入库配套耗材单价为：人民币（大写）</w:t>
      </w:r>
      <w:r>
        <w:rPr>
          <w:color w:val="auto"/>
          <w:highlight w:val="none"/>
          <w:u w:val="single"/>
          <w:lang w:eastAsia="zh-CN"/>
        </w:rPr>
        <w:t xml:space="preserve">    </w:t>
      </w:r>
      <w:r>
        <w:rPr>
          <w:color w:val="auto"/>
          <w:highlight w:val="none"/>
          <w:lang w:eastAsia="zh-CN"/>
        </w:rPr>
        <w:t>元，（小写）￥</w:t>
      </w:r>
      <w:r>
        <w:rPr>
          <w:color w:val="auto"/>
          <w:highlight w:val="none"/>
          <w:u w:val="single"/>
          <w:lang w:eastAsia="zh-CN"/>
        </w:rPr>
        <w:t xml:space="preserve">    </w:t>
      </w:r>
      <w:r>
        <w:rPr>
          <w:color w:val="auto"/>
          <w:highlight w:val="none"/>
          <w:lang w:eastAsia="zh-CN"/>
        </w:rPr>
        <w:t>元，暂定数量6500套，最终按实际进行结算。</w:t>
      </w:r>
    </w:p>
    <w:p w14:paraId="362D8E63">
      <w:pPr>
        <w:pStyle w:val="5"/>
        <w:spacing w:line="360" w:lineRule="auto"/>
        <w:ind w:firstLine="400" w:firstLineChars="200"/>
        <w:outlineLvl w:val="2"/>
        <w:rPr>
          <w:rFonts w:hint="default"/>
          <w:color w:val="auto"/>
          <w:highlight w:val="none"/>
          <w:lang w:eastAsia="zh-CN"/>
        </w:rPr>
      </w:pPr>
      <w:r>
        <w:rPr>
          <w:color w:val="auto"/>
          <w:highlight w:val="none"/>
          <w:lang w:eastAsia="zh-CN"/>
        </w:rPr>
        <w:t>本合同为固定总价合同，合同价款指项目完成并经验收合格的所有费用，包括项目费用、国家按现行税收政策征收的一切税费等。</w:t>
      </w:r>
    </w:p>
    <w:p w14:paraId="0A994B32">
      <w:pPr>
        <w:pStyle w:val="5"/>
        <w:spacing w:line="360" w:lineRule="auto"/>
        <w:ind w:firstLine="400" w:firstLineChars="200"/>
        <w:outlineLvl w:val="2"/>
        <w:rPr>
          <w:rFonts w:hint="default"/>
          <w:color w:val="auto"/>
          <w:highlight w:val="none"/>
          <w:lang w:eastAsia="zh-CN"/>
        </w:rPr>
      </w:pPr>
      <w:r>
        <w:rPr>
          <w:color w:val="auto"/>
          <w:highlight w:val="none"/>
          <w:lang w:eastAsia="zh-CN"/>
        </w:rPr>
        <w:t>2.付款方式：项目完成并经甲方验收合格后，乙方开具等额有效发票给甲方，甲方在30个工作日内，以银行转账方式一次性向乙方支付合同总价的100%价款。</w:t>
      </w:r>
    </w:p>
    <w:p w14:paraId="2E4C66AC">
      <w:pPr>
        <w:pStyle w:val="5"/>
        <w:spacing w:line="360" w:lineRule="auto"/>
        <w:ind w:firstLine="400" w:firstLineChars="200"/>
        <w:outlineLvl w:val="2"/>
        <w:rPr>
          <w:rFonts w:hint="default"/>
          <w:color w:val="auto"/>
          <w:highlight w:val="none"/>
          <w:lang w:eastAsia="zh-CN"/>
        </w:rPr>
      </w:pPr>
      <w:r>
        <w:rPr>
          <w:color w:val="auto"/>
          <w:highlight w:val="none"/>
          <w:lang w:eastAsia="zh-CN"/>
        </w:rPr>
        <w:t>3.乙方开户银行指定账户为：</w:t>
      </w:r>
    </w:p>
    <w:p w14:paraId="5055FD02">
      <w:pPr>
        <w:pStyle w:val="5"/>
        <w:spacing w:line="360" w:lineRule="auto"/>
        <w:ind w:firstLine="400" w:firstLineChars="200"/>
        <w:outlineLvl w:val="2"/>
        <w:rPr>
          <w:rFonts w:hint="default"/>
          <w:color w:val="auto"/>
          <w:highlight w:val="none"/>
          <w:lang w:eastAsia="zh-CN"/>
        </w:rPr>
      </w:pPr>
      <w:r>
        <w:rPr>
          <w:color w:val="auto"/>
          <w:highlight w:val="none"/>
          <w:lang w:eastAsia="zh-CN"/>
        </w:rPr>
        <w:t>收款人：</w:t>
      </w:r>
    </w:p>
    <w:p w14:paraId="4AC120AD">
      <w:pPr>
        <w:pStyle w:val="5"/>
        <w:spacing w:line="360" w:lineRule="auto"/>
        <w:ind w:firstLine="400" w:firstLineChars="200"/>
        <w:outlineLvl w:val="2"/>
        <w:rPr>
          <w:rFonts w:hint="default"/>
          <w:color w:val="auto"/>
          <w:highlight w:val="none"/>
          <w:lang w:eastAsia="zh-CN"/>
        </w:rPr>
      </w:pPr>
      <w:r>
        <w:rPr>
          <w:color w:val="auto"/>
          <w:highlight w:val="none"/>
          <w:lang w:eastAsia="zh-CN"/>
        </w:rPr>
        <w:t>开户行：</w:t>
      </w:r>
    </w:p>
    <w:p w14:paraId="31875CC0">
      <w:pPr>
        <w:pStyle w:val="5"/>
        <w:spacing w:line="360" w:lineRule="auto"/>
        <w:ind w:firstLine="400" w:firstLineChars="200"/>
        <w:outlineLvl w:val="2"/>
        <w:rPr>
          <w:rFonts w:hint="default"/>
          <w:color w:val="auto"/>
          <w:highlight w:val="none"/>
          <w:lang w:eastAsia="zh-CN"/>
        </w:rPr>
      </w:pPr>
      <w:r>
        <w:rPr>
          <w:color w:val="auto"/>
          <w:highlight w:val="none"/>
          <w:lang w:eastAsia="zh-CN"/>
        </w:rPr>
        <w:t>账号：</w:t>
      </w:r>
    </w:p>
    <w:p w14:paraId="50C005F3">
      <w:pPr>
        <w:pStyle w:val="5"/>
        <w:numPr>
          <w:ilvl w:val="0"/>
          <w:numId w:val="1"/>
        </w:numPr>
        <w:spacing w:line="360" w:lineRule="auto"/>
        <w:ind w:firstLine="400" w:firstLineChars="200"/>
        <w:outlineLvl w:val="2"/>
        <w:rPr>
          <w:rFonts w:hint="default"/>
          <w:color w:val="auto"/>
          <w:highlight w:val="none"/>
          <w:lang w:eastAsia="zh-CN"/>
        </w:rPr>
      </w:pPr>
      <w:r>
        <w:rPr>
          <w:color w:val="auto"/>
          <w:highlight w:val="none"/>
          <w:lang w:eastAsia="zh-CN"/>
        </w:rPr>
        <w:t>乙方：本项目拟派 为本项目负责人，联系电话： ，身份证号： 。</w:t>
      </w:r>
    </w:p>
    <w:p w14:paraId="4A879B5A">
      <w:pPr>
        <w:pStyle w:val="5"/>
        <w:numPr>
          <w:ilvl w:val="0"/>
          <w:numId w:val="1"/>
        </w:numPr>
        <w:spacing w:line="360" w:lineRule="auto"/>
        <w:ind w:firstLine="400" w:firstLineChars="200"/>
        <w:outlineLvl w:val="2"/>
        <w:rPr>
          <w:rFonts w:hint="default"/>
          <w:color w:val="auto"/>
          <w:highlight w:val="none"/>
          <w:lang w:eastAsia="zh-CN"/>
        </w:rPr>
      </w:pPr>
      <w:r>
        <w:rPr>
          <w:color w:val="auto"/>
          <w:highlight w:val="none"/>
          <w:lang w:eastAsia="zh-CN"/>
        </w:rPr>
        <w:t>验收时间及依据</w:t>
      </w:r>
    </w:p>
    <w:p w14:paraId="07DBAA19">
      <w:pPr>
        <w:pStyle w:val="5"/>
        <w:spacing w:line="360" w:lineRule="auto"/>
        <w:ind w:firstLine="400" w:firstLineChars="200"/>
        <w:outlineLvl w:val="2"/>
        <w:rPr>
          <w:rFonts w:hint="default"/>
          <w:color w:val="auto"/>
          <w:highlight w:val="none"/>
          <w:lang w:eastAsia="zh-CN"/>
        </w:rPr>
      </w:pPr>
      <w:r>
        <w:rPr>
          <w:color w:val="auto"/>
          <w:highlight w:val="none"/>
          <w:lang w:eastAsia="zh-CN"/>
        </w:rPr>
        <w:t>1.磋商文件、磋商响应文件；</w:t>
      </w:r>
    </w:p>
    <w:p w14:paraId="34B1B203">
      <w:pPr>
        <w:pStyle w:val="5"/>
        <w:spacing w:line="360" w:lineRule="auto"/>
        <w:ind w:firstLine="400" w:firstLineChars="200"/>
        <w:outlineLvl w:val="2"/>
        <w:rPr>
          <w:rFonts w:hint="default"/>
          <w:color w:val="auto"/>
          <w:highlight w:val="none"/>
          <w:lang w:eastAsia="zh-CN"/>
        </w:rPr>
      </w:pPr>
      <w:r>
        <w:rPr>
          <w:color w:val="auto"/>
          <w:highlight w:val="none"/>
          <w:lang w:eastAsia="zh-CN"/>
        </w:rPr>
        <w:t>2.本合同及附件文本；</w:t>
      </w:r>
    </w:p>
    <w:p w14:paraId="356E8D2C">
      <w:pPr>
        <w:pStyle w:val="5"/>
        <w:spacing w:line="360" w:lineRule="auto"/>
        <w:ind w:firstLine="400" w:firstLineChars="200"/>
        <w:outlineLvl w:val="2"/>
        <w:rPr>
          <w:rFonts w:hint="default"/>
          <w:color w:val="auto"/>
          <w:highlight w:val="none"/>
          <w:lang w:eastAsia="zh-CN"/>
        </w:rPr>
      </w:pPr>
      <w:r>
        <w:rPr>
          <w:color w:val="auto"/>
          <w:highlight w:val="none"/>
          <w:lang w:eastAsia="zh-CN"/>
        </w:rPr>
        <w:t>3.该项目完成后，乙方向甲方申请验收，组织甲方相关人员和专家组成的验收小组对项目进行最终验收。验收依据为签订合同文本、招投标文件和国内相应的标准、规范。验收合格后，甲方填写终验验收单。验收不合格的，限期整改，整改过程中产生的费用和发生的一切损失由乙方承担；整改超过二次的，甲方有权单方解除本合同，乙方应无条件退还已收取的全部合同价款，并按合同总价10%向甲方支付违约金，违约金不足弥补甲方损失（包括但不限于甲方为此产生的律师费、诉讼费等）的，由乙方负责赔偿。。</w:t>
      </w:r>
    </w:p>
    <w:p w14:paraId="55139376">
      <w:pPr>
        <w:pStyle w:val="5"/>
        <w:spacing w:line="360" w:lineRule="auto"/>
        <w:ind w:firstLine="400" w:firstLineChars="200"/>
        <w:outlineLvl w:val="2"/>
        <w:rPr>
          <w:rFonts w:hint="default"/>
          <w:color w:val="auto"/>
          <w:highlight w:val="none"/>
          <w:lang w:eastAsia="zh-CN"/>
        </w:rPr>
      </w:pPr>
      <w:r>
        <w:rPr>
          <w:color w:val="auto"/>
          <w:highlight w:val="none"/>
          <w:lang w:eastAsia="zh-CN"/>
        </w:rPr>
        <w:t>第六条 双方的权利和义务</w:t>
      </w:r>
    </w:p>
    <w:p w14:paraId="0379BCD9">
      <w:pPr>
        <w:pStyle w:val="5"/>
        <w:spacing w:line="360" w:lineRule="auto"/>
        <w:ind w:firstLine="400" w:firstLineChars="200"/>
        <w:outlineLvl w:val="2"/>
        <w:rPr>
          <w:rFonts w:hint="default"/>
          <w:color w:val="auto"/>
          <w:highlight w:val="none"/>
          <w:lang w:eastAsia="zh-CN"/>
        </w:rPr>
      </w:pPr>
      <w:r>
        <w:rPr>
          <w:color w:val="auto"/>
          <w:highlight w:val="none"/>
          <w:lang w:eastAsia="zh-CN"/>
        </w:rPr>
        <w:t>1.甲方有权对合同规定范围内乙方的服务行为进行监督和检查，拥有监管权。有权核对乙方提供服务质量。对甲方认为不合理的部分有权要求乙方限期整改。</w:t>
      </w:r>
    </w:p>
    <w:p w14:paraId="0156D6DB">
      <w:pPr>
        <w:pStyle w:val="5"/>
        <w:spacing w:line="360" w:lineRule="auto"/>
        <w:ind w:firstLine="400" w:firstLineChars="200"/>
        <w:outlineLvl w:val="2"/>
        <w:rPr>
          <w:rFonts w:hint="default"/>
          <w:color w:val="auto"/>
          <w:highlight w:val="none"/>
          <w:lang w:eastAsia="zh-CN"/>
        </w:rPr>
      </w:pPr>
      <w:r>
        <w:rPr>
          <w:color w:val="auto"/>
          <w:highlight w:val="none"/>
          <w:lang w:eastAsia="zh-CN"/>
        </w:rPr>
        <w:t>2.对因乙方的过错给甲方造成的经济损失，甲方有权要求乙方赔偿。</w:t>
      </w:r>
    </w:p>
    <w:p w14:paraId="0231FC64">
      <w:pPr>
        <w:pStyle w:val="5"/>
        <w:spacing w:line="360" w:lineRule="auto"/>
        <w:ind w:firstLine="400" w:firstLineChars="200"/>
        <w:outlineLvl w:val="2"/>
        <w:rPr>
          <w:rFonts w:hint="default"/>
          <w:color w:val="auto"/>
          <w:highlight w:val="none"/>
          <w:lang w:eastAsia="zh-CN"/>
        </w:rPr>
      </w:pPr>
      <w:r>
        <w:rPr>
          <w:color w:val="auto"/>
          <w:highlight w:val="none"/>
          <w:lang w:eastAsia="zh-CN"/>
        </w:rPr>
        <w:t>3.乙方满足甲方人数和服务质量要求，经甲方与乙方双方负责人确认，对达不到本项目采购要求所述条件要求的人员进行更换。</w:t>
      </w:r>
    </w:p>
    <w:p w14:paraId="50103B3F">
      <w:pPr>
        <w:pStyle w:val="5"/>
        <w:spacing w:line="360" w:lineRule="auto"/>
        <w:ind w:firstLine="400" w:firstLineChars="200"/>
        <w:outlineLvl w:val="2"/>
        <w:rPr>
          <w:rFonts w:hint="default"/>
          <w:color w:val="auto"/>
          <w:highlight w:val="none"/>
          <w:lang w:eastAsia="zh-CN"/>
        </w:rPr>
      </w:pPr>
      <w:r>
        <w:rPr>
          <w:color w:val="auto"/>
          <w:highlight w:val="none"/>
          <w:lang w:eastAsia="zh-CN"/>
        </w:rPr>
        <w:t>4.投标报价应是乙方正确、全面完成磋商响应文件所述全部工作内容的全部报酬，不受市场价格变化等因素的影响，乙方不得以任何理由变更投标报价。所有根据合同或其它原因由乙方支付的税金和其它应缴纳的费用，以及利润等都应包括在乙方提交的投标报价中，乙方不得要求甲方在报价之外支付其它任何费用。由于报价填报不完整、不清楚或存在其它任何失误，所导致的任何不利后果均应当由乙方自行承担。</w:t>
      </w:r>
    </w:p>
    <w:p w14:paraId="4CA97C62">
      <w:pPr>
        <w:pStyle w:val="5"/>
        <w:spacing w:line="360" w:lineRule="auto"/>
        <w:ind w:firstLine="400" w:firstLineChars="200"/>
        <w:outlineLvl w:val="2"/>
        <w:rPr>
          <w:rFonts w:hint="default"/>
          <w:color w:val="auto"/>
          <w:highlight w:val="none"/>
          <w:lang w:eastAsia="zh-CN"/>
        </w:rPr>
      </w:pPr>
      <w:r>
        <w:rPr>
          <w:color w:val="auto"/>
          <w:highlight w:val="none"/>
          <w:lang w:eastAsia="zh-CN"/>
        </w:rPr>
        <w:t>5.合同有效期内，投标报价不因市场因素、政府政策调整、费率调整和税收变化等而作任何调整，乙方应在投标时充分考虑到各种风险因素。</w:t>
      </w:r>
    </w:p>
    <w:p w14:paraId="7F8FF244">
      <w:pPr>
        <w:pStyle w:val="5"/>
        <w:spacing w:line="360" w:lineRule="auto"/>
        <w:ind w:firstLine="400" w:firstLineChars="200"/>
        <w:outlineLvl w:val="2"/>
        <w:rPr>
          <w:rFonts w:hint="default"/>
          <w:color w:val="auto"/>
          <w:highlight w:val="none"/>
          <w:lang w:eastAsia="zh-CN"/>
        </w:rPr>
      </w:pPr>
      <w:r>
        <w:rPr>
          <w:color w:val="auto"/>
          <w:highlight w:val="none"/>
          <w:lang w:eastAsia="zh-CN"/>
        </w:rPr>
        <w:t>第七条 保密条款</w:t>
      </w:r>
    </w:p>
    <w:p w14:paraId="55D8A0C1">
      <w:pPr>
        <w:pStyle w:val="5"/>
        <w:spacing w:line="360" w:lineRule="auto"/>
        <w:ind w:firstLine="400" w:firstLineChars="200"/>
        <w:outlineLvl w:val="2"/>
        <w:rPr>
          <w:rFonts w:hint="default"/>
          <w:color w:val="auto"/>
          <w:highlight w:val="none"/>
          <w:lang w:eastAsia="zh-CN"/>
        </w:rPr>
      </w:pPr>
      <w:r>
        <w:rPr>
          <w:color w:val="auto"/>
          <w:highlight w:val="none"/>
          <w:lang w:eastAsia="zh-CN"/>
        </w:rPr>
        <w:t>1.乙方工作人员应对在本合同履行过程中所接触的甲方任何保密信息，均负有保密责任，不得向任何第三方透露、使用，并且不得透露任何关于获取（接触）相关信息的手段与方式。</w:t>
      </w:r>
    </w:p>
    <w:p w14:paraId="3F67BCC9">
      <w:pPr>
        <w:pStyle w:val="5"/>
        <w:spacing w:line="360" w:lineRule="auto"/>
        <w:ind w:firstLine="400" w:firstLineChars="200"/>
        <w:outlineLvl w:val="2"/>
        <w:rPr>
          <w:rFonts w:hint="default"/>
          <w:color w:val="auto"/>
          <w:highlight w:val="none"/>
          <w:lang w:eastAsia="zh-CN"/>
        </w:rPr>
      </w:pPr>
      <w:r>
        <w:rPr>
          <w:color w:val="auto"/>
          <w:highlight w:val="none"/>
          <w:lang w:eastAsia="zh-CN"/>
        </w:rPr>
        <w:t>2.乙方应管理和教育好工作人员遵守甲方的保密规定。如果工作人员违反甲方的保密要求、或乙方视频相关资料给甲方造成损失，甲方有权追究乙方的责任，应遵循以下规定：</w:t>
      </w:r>
    </w:p>
    <w:p w14:paraId="38B0DA02">
      <w:pPr>
        <w:pStyle w:val="5"/>
        <w:spacing w:line="360" w:lineRule="auto"/>
        <w:ind w:firstLine="400" w:firstLineChars="200"/>
        <w:outlineLvl w:val="2"/>
        <w:rPr>
          <w:rFonts w:hint="default"/>
          <w:color w:val="auto"/>
          <w:highlight w:val="none"/>
          <w:lang w:eastAsia="zh-CN"/>
        </w:rPr>
      </w:pPr>
      <w:r>
        <w:rPr>
          <w:color w:val="auto"/>
          <w:highlight w:val="none"/>
          <w:lang w:eastAsia="zh-CN"/>
        </w:rPr>
        <w:t>（1）应以审慎态度避免泄露、公开或传播甲方的信息；</w:t>
      </w:r>
    </w:p>
    <w:p w14:paraId="6D907FA7">
      <w:pPr>
        <w:pStyle w:val="5"/>
        <w:spacing w:line="360" w:lineRule="auto"/>
        <w:ind w:firstLine="400" w:firstLineChars="200"/>
        <w:outlineLvl w:val="2"/>
        <w:rPr>
          <w:rFonts w:hint="default"/>
          <w:color w:val="auto"/>
          <w:highlight w:val="none"/>
          <w:lang w:eastAsia="zh-CN"/>
        </w:rPr>
      </w:pPr>
      <w:r>
        <w:rPr>
          <w:color w:val="auto"/>
          <w:highlight w:val="none"/>
          <w:lang w:eastAsia="zh-CN"/>
        </w:rPr>
        <w:t>（2）未经甲方书面许可，不得对信息进行修改有关、补充、复制；（3）未经甲方许可，不得将信息以任何方式(如E－mail)携带出服务场地；</w:t>
      </w:r>
    </w:p>
    <w:p w14:paraId="055DF6EF">
      <w:pPr>
        <w:pStyle w:val="5"/>
        <w:spacing w:line="360" w:lineRule="auto"/>
        <w:ind w:firstLine="400" w:firstLineChars="200"/>
        <w:outlineLvl w:val="2"/>
        <w:rPr>
          <w:rFonts w:hint="default"/>
          <w:color w:val="auto"/>
          <w:highlight w:val="none"/>
          <w:lang w:eastAsia="zh-CN"/>
        </w:rPr>
      </w:pPr>
      <w:r>
        <w:rPr>
          <w:color w:val="auto"/>
          <w:highlight w:val="none"/>
          <w:lang w:eastAsia="zh-CN"/>
        </w:rPr>
        <w:t>（4）未经甲方许可，不得将信息透露给任何其他人；</w:t>
      </w:r>
    </w:p>
    <w:p w14:paraId="01520CE0">
      <w:pPr>
        <w:pStyle w:val="5"/>
        <w:spacing w:line="360" w:lineRule="auto"/>
        <w:ind w:firstLine="400" w:firstLineChars="200"/>
        <w:outlineLvl w:val="2"/>
        <w:rPr>
          <w:rFonts w:hint="default"/>
          <w:color w:val="auto"/>
          <w:highlight w:val="none"/>
          <w:lang w:eastAsia="zh-CN"/>
        </w:rPr>
      </w:pPr>
      <w:r>
        <w:rPr>
          <w:color w:val="auto"/>
          <w:highlight w:val="none"/>
          <w:lang w:eastAsia="zh-CN"/>
        </w:rPr>
        <w:t>（5）甲方以书面形式提出的其他保密措施。</w:t>
      </w:r>
    </w:p>
    <w:p w14:paraId="5C4CC28C">
      <w:pPr>
        <w:pStyle w:val="5"/>
        <w:spacing w:line="360" w:lineRule="auto"/>
        <w:ind w:firstLine="400" w:firstLineChars="200"/>
        <w:outlineLvl w:val="2"/>
        <w:rPr>
          <w:rFonts w:hint="default"/>
          <w:color w:val="auto"/>
          <w:highlight w:val="none"/>
          <w:lang w:eastAsia="zh-CN"/>
        </w:rPr>
      </w:pPr>
      <w:r>
        <w:rPr>
          <w:color w:val="auto"/>
          <w:highlight w:val="none"/>
          <w:lang w:eastAsia="zh-CN"/>
        </w:rPr>
        <w:t>3.保密期限不受合同有效期的限制，在合同及磋商有效期结束后，乙方仍应承担保密义务，直至该等信息成为公开信息。</w:t>
      </w:r>
    </w:p>
    <w:p w14:paraId="16C3AEC1">
      <w:pPr>
        <w:pStyle w:val="5"/>
        <w:spacing w:line="360" w:lineRule="auto"/>
        <w:ind w:firstLine="400" w:firstLineChars="200"/>
        <w:outlineLvl w:val="2"/>
        <w:rPr>
          <w:rFonts w:hint="default"/>
          <w:color w:val="auto"/>
          <w:highlight w:val="none"/>
          <w:lang w:eastAsia="zh-CN"/>
        </w:rPr>
      </w:pPr>
      <w:r>
        <w:rPr>
          <w:color w:val="auto"/>
          <w:highlight w:val="none"/>
          <w:lang w:eastAsia="zh-CN"/>
        </w:rPr>
        <w:t>4.乙方如出现泄密行为应承担相关的法律责任，包括但是不限于对由此给甲方造成的经济损失进行赔偿。</w:t>
      </w:r>
    </w:p>
    <w:p w14:paraId="63306BFB">
      <w:pPr>
        <w:pStyle w:val="5"/>
        <w:spacing w:line="360" w:lineRule="auto"/>
        <w:ind w:firstLine="400" w:firstLineChars="200"/>
        <w:outlineLvl w:val="2"/>
        <w:rPr>
          <w:rFonts w:hint="default"/>
          <w:color w:val="auto"/>
          <w:highlight w:val="none"/>
          <w:lang w:eastAsia="zh-CN"/>
        </w:rPr>
      </w:pPr>
      <w:r>
        <w:rPr>
          <w:color w:val="auto"/>
          <w:highlight w:val="none"/>
          <w:lang w:eastAsia="zh-CN"/>
        </w:rPr>
        <w:t>第八条 违约责任</w:t>
      </w:r>
    </w:p>
    <w:p w14:paraId="2A05A2AE">
      <w:pPr>
        <w:pStyle w:val="5"/>
        <w:spacing w:line="360" w:lineRule="auto"/>
        <w:ind w:firstLine="400" w:firstLineChars="200"/>
        <w:outlineLvl w:val="2"/>
        <w:rPr>
          <w:rFonts w:hint="default"/>
          <w:color w:val="auto"/>
          <w:highlight w:val="none"/>
          <w:lang w:eastAsia="zh-CN"/>
        </w:rPr>
      </w:pPr>
      <w:r>
        <w:rPr>
          <w:color w:val="auto"/>
          <w:highlight w:val="none"/>
          <w:lang w:eastAsia="zh-CN"/>
        </w:rPr>
        <w:t>1.甲乙双方必须遵守本合同并执行合同中的各项规定，保证本合同的正常履行。</w:t>
      </w:r>
    </w:p>
    <w:p w14:paraId="58C016D1">
      <w:pPr>
        <w:pStyle w:val="5"/>
        <w:spacing w:line="360" w:lineRule="auto"/>
        <w:ind w:firstLine="400" w:firstLineChars="200"/>
        <w:outlineLvl w:val="2"/>
        <w:rPr>
          <w:rFonts w:hint="default"/>
          <w:color w:val="auto"/>
          <w:highlight w:val="none"/>
          <w:lang w:eastAsia="zh-CN"/>
        </w:rPr>
      </w:pPr>
      <w:r>
        <w:rPr>
          <w:color w:val="auto"/>
          <w:highlight w:val="none"/>
          <w:lang w:eastAsia="zh-CN"/>
        </w:rPr>
        <w:t>2.如因乙方工作人员在履行职务过程中的的疏忽、失职、过错等故意或者过失原因给甲方造成损失或侵害，包括但不限于甲方本身的财产损失、导致的甲方对任何第三方的法律责任以及因此对甲方造成的不良影响等，乙方对此均应承担全部的赔偿责任。</w:t>
      </w:r>
    </w:p>
    <w:p w14:paraId="06C6AFB8">
      <w:pPr>
        <w:pStyle w:val="5"/>
        <w:spacing w:line="360" w:lineRule="auto"/>
        <w:ind w:firstLine="400" w:firstLineChars="200"/>
        <w:outlineLvl w:val="2"/>
        <w:rPr>
          <w:rFonts w:hint="default"/>
          <w:color w:val="auto"/>
          <w:highlight w:val="none"/>
          <w:lang w:eastAsia="zh-CN"/>
        </w:rPr>
      </w:pPr>
      <w:r>
        <w:rPr>
          <w:color w:val="auto"/>
          <w:highlight w:val="none"/>
          <w:lang w:eastAsia="zh-CN"/>
        </w:rPr>
        <w:t>3.如因乙方提供的合同约定服务内容发生任何问题，在合同履行期间不能正常使用，包括但不限于甲方本身的财产损失、导致的甲方对任何第三方的法律责任以及因此对甲方造成的不良影响等，乙方对此均应承担全部的赔偿责任。</w:t>
      </w:r>
    </w:p>
    <w:p w14:paraId="6AAD5D89">
      <w:pPr>
        <w:pStyle w:val="5"/>
        <w:spacing w:line="360" w:lineRule="auto"/>
        <w:ind w:firstLine="400" w:firstLineChars="200"/>
        <w:outlineLvl w:val="2"/>
        <w:rPr>
          <w:rFonts w:hint="default"/>
          <w:color w:val="auto"/>
          <w:highlight w:val="none"/>
          <w:lang w:eastAsia="zh-CN"/>
        </w:rPr>
      </w:pPr>
      <w:r>
        <w:rPr>
          <w:color w:val="auto"/>
          <w:highlight w:val="none"/>
          <w:lang w:eastAsia="zh-CN"/>
        </w:rPr>
        <w:t>4.乙方擅自解除或终止本合同的，乙方应按合同总金额的20%向甲方支付违约金。</w:t>
      </w:r>
    </w:p>
    <w:p w14:paraId="5CAD0A66">
      <w:pPr>
        <w:pStyle w:val="5"/>
        <w:spacing w:line="360" w:lineRule="auto"/>
        <w:ind w:firstLine="400" w:firstLineChars="200"/>
        <w:outlineLvl w:val="2"/>
        <w:rPr>
          <w:rFonts w:hint="default"/>
          <w:color w:val="auto"/>
          <w:highlight w:val="none"/>
          <w:lang w:eastAsia="zh-CN"/>
        </w:rPr>
      </w:pPr>
      <w:r>
        <w:rPr>
          <w:color w:val="auto"/>
          <w:highlight w:val="none"/>
          <w:lang w:eastAsia="zh-CN"/>
        </w:rPr>
        <w:t>第九条 不可抗力</w:t>
      </w:r>
    </w:p>
    <w:p w14:paraId="5319B496">
      <w:pPr>
        <w:pStyle w:val="5"/>
        <w:spacing w:line="360" w:lineRule="auto"/>
        <w:ind w:firstLine="400" w:firstLineChars="200"/>
        <w:outlineLvl w:val="2"/>
        <w:rPr>
          <w:rFonts w:hint="default"/>
          <w:color w:val="auto"/>
          <w:highlight w:val="none"/>
          <w:lang w:eastAsia="zh-CN"/>
        </w:rPr>
      </w:pPr>
      <w:r>
        <w:rPr>
          <w:color w:val="auto"/>
          <w:highlight w:val="none"/>
          <w:lang w:eastAsia="zh-CN"/>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4E95CEF">
      <w:pPr>
        <w:pStyle w:val="5"/>
        <w:spacing w:line="360" w:lineRule="auto"/>
        <w:ind w:firstLine="400" w:firstLineChars="200"/>
        <w:outlineLvl w:val="2"/>
        <w:rPr>
          <w:rFonts w:hint="default"/>
          <w:color w:val="auto"/>
          <w:highlight w:val="none"/>
          <w:lang w:eastAsia="zh-CN"/>
        </w:rPr>
      </w:pPr>
      <w:r>
        <w:rPr>
          <w:color w:val="auto"/>
          <w:highlight w:val="none"/>
          <w:lang w:eastAsia="zh-CN"/>
        </w:rPr>
        <w:t>2.遭受不可抗力一方应在不可抗力事故发生后尽快以书面（或传真）形式通知另一方；并在事故发生后五（5）个日历日内，将有关部门出具的证明文件、详细情况报告以及不可抗力对合同影响程度的说明用特快专递或挂号信的形式寄给另一方。如果不可抗力影响时间延续十（10）个日历日以上，双方应通过友好协商在合理的时间内达成进一步履行合同或终止合同的协议。</w:t>
      </w:r>
    </w:p>
    <w:p w14:paraId="275E79A5">
      <w:pPr>
        <w:pStyle w:val="5"/>
        <w:spacing w:line="360" w:lineRule="auto"/>
        <w:ind w:firstLine="400" w:firstLineChars="200"/>
        <w:outlineLvl w:val="2"/>
        <w:rPr>
          <w:rFonts w:hint="default"/>
          <w:color w:val="auto"/>
          <w:highlight w:val="none"/>
          <w:lang w:eastAsia="zh-CN"/>
        </w:rPr>
      </w:pPr>
      <w:r>
        <w:rPr>
          <w:color w:val="auto"/>
          <w:highlight w:val="none"/>
          <w:lang w:eastAsia="zh-CN"/>
        </w:rPr>
        <w:t>第十条 纠纷解决办法</w:t>
      </w:r>
    </w:p>
    <w:p w14:paraId="3F930E0A">
      <w:pPr>
        <w:pStyle w:val="5"/>
        <w:spacing w:line="360" w:lineRule="auto"/>
        <w:ind w:firstLine="400" w:firstLineChars="200"/>
        <w:outlineLvl w:val="2"/>
        <w:rPr>
          <w:rFonts w:hint="default"/>
          <w:color w:val="auto"/>
          <w:highlight w:val="none"/>
          <w:lang w:eastAsia="zh-CN"/>
        </w:rPr>
      </w:pPr>
      <w:r>
        <w:rPr>
          <w:color w:val="auto"/>
          <w:highlight w:val="none"/>
          <w:lang w:eastAsia="zh-CN"/>
        </w:rPr>
        <w:t>因本合同产生纠纷，如协商无法解决，双方均有权向甲方所在地的人民法院提起诉讼。</w:t>
      </w:r>
    </w:p>
    <w:p w14:paraId="69E4F965">
      <w:pPr>
        <w:pStyle w:val="5"/>
        <w:spacing w:line="360" w:lineRule="auto"/>
        <w:ind w:firstLine="400" w:firstLineChars="200"/>
        <w:outlineLvl w:val="2"/>
        <w:rPr>
          <w:rFonts w:hint="default"/>
          <w:color w:val="auto"/>
          <w:highlight w:val="none"/>
          <w:lang w:eastAsia="zh-CN"/>
        </w:rPr>
      </w:pPr>
      <w:r>
        <w:rPr>
          <w:color w:val="auto"/>
          <w:highlight w:val="none"/>
          <w:lang w:eastAsia="zh-CN"/>
        </w:rPr>
        <w:t>第十一条 附 则</w:t>
      </w:r>
    </w:p>
    <w:p w14:paraId="73B13D59">
      <w:pPr>
        <w:pStyle w:val="5"/>
        <w:spacing w:line="360" w:lineRule="auto"/>
        <w:ind w:firstLine="400" w:firstLineChars="200"/>
        <w:outlineLvl w:val="2"/>
        <w:rPr>
          <w:rFonts w:hint="default"/>
          <w:color w:val="auto"/>
          <w:highlight w:val="none"/>
          <w:lang w:eastAsia="zh-CN"/>
        </w:rPr>
      </w:pPr>
      <w:r>
        <w:rPr>
          <w:color w:val="auto"/>
          <w:highlight w:val="none"/>
          <w:lang w:eastAsia="zh-CN"/>
        </w:rPr>
        <w:t>1.未尽事宜，双方协商解决。在本合同履行过程中将双方达成的书面补充协议是本</w:t>
      </w:r>
    </w:p>
    <w:p w14:paraId="0548A8CB">
      <w:pPr>
        <w:pStyle w:val="5"/>
        <w:spacing w:line="360" w:lineRule="auto"/>
        <w:ind w:firstLine="400" w:firstLineChars="200"/>
        <w:outlineLvl w:val="2"/>
        <w:rPr>
          <w:rFonts w:hint="default"/>
          <w:color w:val="auto"/>
          <w:highlight w:val="none"/>
          <w:lang w:eastAsia="zh-CN"/>
        </w:rPr>
      </w:pPr>
      <w:r>
        <w:rPr>
          <w:color w:val="auto"/>
          <w:highlight w:val="none"/>
          <w:lang w:eastAsia="zh-CN"/>
        </w:rPr>
        <w:t>合同不可分割的组成部分，与本合同具有同等效力。</w:t>
      </w:r>
    </w:p>
    <w:p w14:paraId="15F8B1FB">
      <w:pPr>
        <w:pStyle w:val="5"/>
        <w:spacing w:line="360" w:lineRule="auto"/>
        <w:ind w:firstLine="400" w:firstLineChars="200"/>
        <w:outlineLvl w:val="2"/>
        <w:rPr>
          <w:rFonts w:hint="default"/>
          <w:color w:val="auto"/>
          <w:highlight w:val="none"/>
          <w:lang w:eastAsia="zh-CN"/>
        </w:rPr>
      </w:pPr>
      <w:r>
        <w:rPr>
          <w:color w:val="auto"/>
          <w:highlight w:val="none"/>
          <w:lang w:eastAsia="zh-CN"/>
        </w:rPr>
        <w:t>2.本合同一式肆份，均以中文书写，甲乙双方各执贰份，具有同等法律效力。</w:t>
      </w:r>
    </w:p>
    <w:p w14:paraId="5ABF436E">
      <w:pPr>
        <w:pStyle w:val="5"/>
        <w:spacing w:line="360" w:lineRule="auto"/>
        <w:ind w:firstLine="400" w:firstLineChars="200"/>
        <w:outlineLvl w:val="2"/>
        <w:rPr>
          <w:rFonts w:hint="default"/>
          <w:color w:val="auto"/>
          <w:highlight w:val="none"/>
          <w:lang w:eastAsia="zh-CN"/>
        </w:rPr>
      </w:pPr>
      <w:r>
        <w:rPr>
          <w:color w:val="auto"/>
          <w:highlight w:val="none"/>
          <w:lang w:eastAsia="zh-CN"/>
        </w:rPr>
        <w:t>3.本合同自双方签字盖章之日起生效，合同执行完毕自动失效（合同的服务承诺长期有效）。</w:t>
      </w:r>
    </w:p>
    <w:p w14:paraId="4AFEC46A">
      <w:pPr>
        <w:rPr>
          <w:color w:val="auto"/>
          <w:highlight w:val="none"/>
        </w:rPr>
      </w:pPr>
      <w:r>
        <w:rPr>
          <w:rFonts w:hint="eastAsia"/>
          <w:color w:val="auto"/>
          <w:highlight w:val="none"/>
        </w:rPr>
        <w:br w:type="page"/>
      </w:r>
    </w:p>
    <w:tbl>
      <w:tblPr>
        <w:tblStyle w:val="3"/>
        <w:tblpPr w:leftFromText="180" w:rightFromText="180" w:vertAnchor="text" w:horzAnchor="page" w:tblpX="1844" w:tblpY="399"/>
        <w:tblOverlap w:val="never"/>
        <w:tblW w:w="0" w:type="auto"/>
        <w:tblInd w:w="0" w:type="dxa"/>
        <w:tblLayout w:type="fixed"/>
        <w:tblCellMar>
          <w:top w:w="0" w:type="dxa"/>
          <w:left w:w="108" w:type="dxa"/>
          <w:bottom w:w="0" w:type="dxa"/>
          <w:right w:w="108" w:type="dxa"/>
        </w:tblCellMar>
      </w:tblPr>
      <w:tblGrid>
        <w:gridCol w:w="4201"/>
        <w:gridCol w:w="4202"/>
      </w:tblGrid>
      <w:tr w14:paraId="61325A26">
        <w:tblPrEx>
          <w:tblCellMar>
            <w:top w:w="0" w:type="dxa"/>
            <w:left w:w="108" w:type="dxa"/>
            <w:bottom w:w="0" w:type="dxa"/>
            <w:right w:w="108" w:type="dxa"/>
          </w:tblCellMar>
        </w:tblPrEx>
        <w:trPr>
          <w:trHeight w:val="567" w:hRule="exact"/>
        </w:trPr>
        <w:tc>
          <w:tcPr>
            <w:tcW w:w="4201" w:type="dxa"/>
            <w:vAlign w:val="center"/>
          </w:tcPr>
          <w:p w14:paraId="6987AF13">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甲方：</w:t>
            </w:r>
          </w:p>
        </w:tc>
        <w:tc>
          <w:tcPr>
            <w:tcW w:w="4202" w:type="dxa"/>
            <w:vAlign w:val="center"/>
          </w:tcPr>
          <w:p w14:paraId="48C63D18">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乙方：</w:t>
            </w:r>
          </w:p>
        </w:tc>
      </w:tr>
      <w:tr w14:paraId="17853007">
        <w:tblPrEx>
          <w:tblCellMar>
            <w:top w:w="0" w:type="dxa"/>
            <w:left w:w="108" w:type="dxa"/>
            <w:bottom w:w="0" w:type="dxa"/>
            <w:right w:w="108" w:type="dxa"/>
          </w:tblCellMar>
        </w:tblPrEx>
        <w:trPr>
          <w:trHeight w:val="567" w:hRule="exact"/>
        </w:trPr>
        <w:tc>
          <w:tcPr>
            <w:tcW w:w="4201" w:type="dxa"/>
            <w:vAlign w:val="center"/>
          </w:tcPr>
          <w:p w14:paraId="6CC47717">
            <w:pPr>
              <w:autoSpaceDE w:val="0"/>
              <w:autoSpaceDN w:val="0"/>
              <w:adjustRightInd w:val="0"/>
              <w:snapToGrid w:val="0"/>
              <w:spacing w:line="360" w:lineRule="auto"/>
              <w:ind w:firstLine="840" w:firstLineChars="350"/>
              <w:rPr>
                <w:rFonts w:ascii="宋体" w:hAnsi="宋体" w:cs="仿宋_GB2312"/>
                <w:bCs/>
                <w:color w:val="auto"/>
                <w:sz w:val="24"/>
                <w:highlight w:val="none"/>
              </w:rPr>
            </w:pPr>
            <w:r>
              <w:rPr>
                <w:rFonts w:hint="eastAsia" w:ascii="宋体" w:hAnsi="宋体" w:cs="仿宋_GB2312"/>
                <w:bCs/>
                <w:color w:val="auto"/>
                <w:sz w:val="24"/>
                <w:highlight w:val="none"/>
              </w:rPr>
              <w:t>（盖章）</w:t>
            </w:r>
          </w:p>
        </w:tc>
        <w:tc>
          <w:tcPr>
            <w:tcW w:w="4202" w:type="dxa"/>
            <w:vAlign w:val="center"/>
          </w:tcPr>
          <w:p w14:paraId="1C4A757A">
            <w:pPr>
              <w:autoSpaceDE w:val="0"/>
              <w:autoSpaceDN w:val="0"/>
              <w:adjustRightInd w:val="0"/>
              <w:snapToGrid w:val="0"/>
              <w:spacing w:line="360" w:lineRule="auto"/>
              <w:ind w:firstLine="960" w:firstLineChars="400"/>
              <w:rPr>
                <w:rFonts w:ascii="宋体" w:hAnsi="宋体" w:cs="仿宋_GB2312"/>
                <w:bCs/>
                <w:color w:val="auto"/>
                <w:sz w:val="24"/>
                <w:highlight w:val="none"/>
              </w:rPr>
            </w:pPr>
            <w:r>
              <w:rPr>
                <w:rFonts w:hint="eastAsia" w:ascii="宋体" w:hAnsi="宋体" w:cs="仿宋_GB2312"/>
                <w:bCs/>
                <w:color w:val="auto"/>
                <w:sz w:val="24"/>
                <w:highlight w:val="none"/>
              </w:rPr>
              <w:t>（盖章）</w:t>
            </w:r>
          </w:p>
        </w:tc>
      </w:tr>
      <w:tr w14:paraId="5DA37A99">
        <w:tblPrEx>
          <w:tblCellMar>
            <w:top w:w="0" w:type="dxa"/>
            <w:left w:w="108" w:type="dxa"/>
            <w:bottom w:w="0" w:type="dxa"/>
            <w:right w:w="108" w:type="dxa"/>
          </w:tblCellMar>
        </w:tblPrEx>
        <w:trPr>
          <w:trHeight w:val="567" w:hRule="exact"/>
        </w:trPr>
        <w:tc>
          <w:tcPr>
            <w:tcW w:w="4201" w:type="dxa"/>
            <w:vAlign w:val="center"/>
          </w:tcPr>
          <w:p w14:paraId="6847BE21">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地址：</w:t>
            </w:r>
          </w:p>
        </w:tc>
        <w:tc>
          <w:tcPr>
            <w:tcW w:w="4202" w:type="dxa"/>
            <w:vAlign w:val="center"/>
          </w:tcPr>
          <w:p w14:paraId="461A0689">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地址：</w:t>
            </w:r>
          </w:p>
        </w:tc>
      </w:tr>
      <w:tr w14:paraId="35E45554">
        <w:tblPrEx>
          <w:tblCellMar>
            <w:top w:w="0" w:type="dxa"/>
            <w:left w:w="108" w:type="dxa"/>
            <w:bottom w:w="0" w:type="dxa"/>
            <w:right w:w="108" w:type="dxa"/>
          </w:tblCellMar>
        </w:tblPrEx>
        <w:trPr>
          <w:trHeight w:val="567" w:hRule="exact"/>
        </w:trPr>
        <w:tc>
          <w:tcPr>
            <w:tcW w:w="4201" w:type="dxa"/>
            <w:vAlign w:val="center"/>
          </w:tcPr>
          <w:p w14:paraId="6AD5604E">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邮编：</w:t>
            </w:r>
          </w:p>
        </w:tc>
        <w:tc>
          <w:tcPr>
            <w:tcW w:w="4202" w:type="dxa"/>
            <w:vAlign w:val="center"/>
          </w:tcPr>
          <w:p w14:paraId="33DB67CD">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邮编：</w:t>
            </w:r>
          </w:p>
        </w:tc>
      </w:tr>
      <w:tr w14:paraId="6EC74227">
        <w:tblPrEx>
          <w:tblCellMar>
            <w:top w:w="0" w:type="dxa"/>
            <w:left w:w="108" w:type="dxa"/>
            <w:bottom w:w="0" w:type="dxa"/>
            <w:right w:w="108" w:type="dxa"/>
          </w:tblCellMar>
        </w:tblPrEx>
        <w:trPr>
          <w:trHeight w:val="567" w:hRule="exact"/>
        </w:trPr>
        <w:tc>
          <w:tcPr>
            <w:tcW w:w="4201" w:type="dxa"/>
            <w:vAlign w:val="center"/>
          </w:tcPr>
          <w:p w14:paraId="119D710D">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法定代表人：</w:t>
            </w:r>
          </w:p>
        </w:tc>
        <w:tc>
          <w:tcPr>
            <w:tcW w:w="4202" w:type="dxa"/>
            <w:vAlign w:val="center"/>
          </w:tcPr>
          <w:p w14:paraId="2B3A0AE7">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法定代表人：</w:t>
            </w:r>
          </w:p>
        </w:tc>
      </w:tr>
      <w:tr w14:paraId="3FB3E137">
        <w:tblPrEx>
          <w:tblCellMar>
            <w:top w:w="0" w:type="dxa"/>
            <w:left w:w="108" w:type="dxa"/>
            <w:bottom w:w="0" w:type="dxa"/>
            <w:right w:w="108" w:type="dxa"/>
          </w:tblCellMar>
        </w:tblPrEx>
        <w:trPr>
          <w:trHeight w:val="567" w:hRule="exact"/>
        </w:trPr>
        <w:tc>
          <w:tcPr>
            <w:tcW w:w="4201" w:type="dxa"/>
            <w:vAlign w:val="center"/>
          </w:tcPr>
          <w:p w14:paraId="0F8646B5">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项目负责人：</w:t>
            </w:r>
          </w:p>
        </w:tc>
        <w:tc>
          <w:tcPr>
            <w:tcW w:w="4202" w:type="dxa"/>
            <w:vAlign w:val="center"/>
          </w:tcPr>
          <w:p w14:paraId="388B1084">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项目负责人：</w:t>
            </w:r>
          </w:p>
        </w:tc>
      </w:tr>
      <w:tr w14:paraId="15E5BBF9">
        <w:tblPrEx>
          <w:tblCellMar>
            <w:top w:w="0" w:type="dxa"/>
            <w:left w:w="108" w:type="dxa"/>
            <w:bottom w:w="0" w:type="dxa"/>
            <w:right w:w="108" w:type="dxa"/>
          </w:tblCellMar>
        </w:tblPrEx>
        <w:trPr>
          <w:trHeight w:val="567" w:hRule="exact"/>
        </w:trPr>
        <w:tc>
          <w:tcPr>
            <w:tcW w:w="4201" w:type="dxa"/>
            <w:vAlign w:val="center"/>
          </w:tcPr>
          <w:p w14:paraId="22EC325E">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电话：</w:t>
            </w:r>
          </w:p>
        </w:tc>
        <w:tc>
          <w:tcPr>
            <w:tcW w:w="4202" w:type="dxa"/>
            <w:vAlign w:val="center"/>
          </w:tcPr>
          <w:p w14:paraId="4B0A3162">
            <w:pPr>
              <w:autoSpaceDE w:val="0"/>
              <w:autoSpaceDN w:val="0"/>
              <w:adjustRightInd w:val="0"/>
              <w:snapToGrid w:val="0"/>
              <w:spacing w:line="360" w:lineRule="auto"/>
              <w:ind w:left="720" w:hanging="720" w:hangingChars="300"/>
              <w:rPr>
                <w:rFonts w:ascii="宋体" w:hAnsi="宋体" w:cs="仿宋_GB2312"/>
                <w:bCs/>
                <w:color w:val="auto"/>
                <w:sz w:val="24"/>
                <w:highlight w:val="none"/>
              </w:rPr>
            </w:pPr>
            <w:r>
              <w:rPr>
                <w:rFonts w:hint="eastAsia" w:ascii="宋体" w:hAnsi="宋体" w:cs="仿宋_GB2312"/>
                <w:bCs/>
                <w:color w:val="auto"/>
                <w:sz w:val="24"/>
                <w:highlight w:val="none"/>
              </w:rPr>
              <w:t>电话：</w:t>
            </w:r>
          </w:p>
        </w:tc>
      </w:tr>
      <w:tr w14:paraId="4D72D132">
        <w:tblPrEx>
          <w:tblCellMar>
            <w:top w:w="0" w:type="dxa"/>
            <w:left w:w="108" w:type="dxa"/>
            <w:bottom w:w="0" w:type="dxa"/>
            <w:right w:w="108" w:type="dxa"/>
          </w:tblCellMar>
        </w:tblPrEx>
        <w:trPr>
          <w:trHeight w:val="567" w:hRule="exact"/>
        </w:trPr>
        <w:tc>
          <w:tcPr>
            <w:tcW w:w="4201" w:type="dxa"/>
            <w:vAlign w:val="center"/>
          </w:tcPr>
          <w:p w14:paraId="2C397AC8">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传真：</w:t>
            </w:r>
          </w:p>
        </w:tc>
        <w:tc>
          <w:tcPr>
            <w:tcW w:w="4202" w:type="dxa"/>
            <w:vAlign w:val="center"/>
          </w:tcPr>
          <w:p w14:paraId="56B75A34">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传真：</w:t>
            </w:r>
          </w:p>
        </w:tc>
      </w:tr>
      <w:tr w14:paraId="72B418EB">
        <w:tblPrEx>
          <w:tblCellMar>
            <w:top w:w="0" w:type="dxa"/>
            <w:left w:w="108" w:type="dxa"/>
            <w:bottom w:w="0" w:type="dxa"/>
            <w:right w:w="108" w:type="dxa"/>
          </w:tblCellMar>
        </w:tblPrEx>
        <w:trPr>
          <w:trHeight w:val="567" w:hRule="exact"/>
        </w:trPr>
        <w:tc>
          <w:tcPr>
            <w:tcW w:w="4201" w:type="dxa"/>
            <w:vAlign w:val="center"/>
          </w:tcPr>
          <w:p w14:paraId="5DF37C87">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开户银行：</w:t>
            </w:r>
          </w:p>
        </w:tc>
        <w:tc>
          <w:tcPr>
            <w:tcW w:w="4202" w:type="dxa"/>
            <w:vAlign w:val="center"/>
          </w:tcPr>
          <w:p w14:paraId="4AA73CAD">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开户银行：</w:t>
            </w:r>
          </w:p>
        </w:tc>
      </w:tr>
      <w:tr w14:paraId="0F022141">
        <w:tblPrEx>
          <w:tblCellMar>
            <w:top w:w="0" w:type="dxa"/>
            <w:left w:w="108" w:type="dxa"/>
            <w:bottom w:w="0" w:type="dxa"/>
            <w:right w:w="108" w:type="dxa"/>
          </w:tblCellMar>
        </w:tblPrEx>
        <w:trPr>
          <w:trHeight w:val="567" w:hRule="exact"/>
        </w:trPr>
        <w:tc>
          <w:tcPr>
            <w:tcW w:w="4201" w:type="dxa"/>
            <w:vAlign w:val="center"/>
          </w:tcPr>
          <w:p w14:paraId="5C144D0D">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日期：</w:t>
            </w:r>
          </w:p>
        </w:tc>
        <w:tc>
          <w:tcPr>
            <w:tcW w:w="4202" w:type="dxa"/>
            <w:vAlign w:val="center"/>
          </w:tcPr>
          <w:p w14:paraId="34D3966E">
            <w:pPr>
              <w:autoSpaceDE w:val="0"/>
              <w:autoSpaceDN w:val="0"/>
              <w:adjustRightInd w:val="0"/>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日期：</w:t>
            </w:r>
          </w:p>
        </w:tc>
      </w:tr>
    </w:tbl>
    <w:p w14:paraId="0F1BF844">
      <w:pPr>
        <w:pStyle w:val="5"/>
        <w:rPr>
          <w:rFonts w:hint="default"/>
          <w:color w:val="auto"/>
          <w:highlight w:val="none"/>
        </w:rPr>
      </w:pPr>
    </w:p>
    <w:p w14:paraId="73D2C8C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CBBAE"/>
    <w:multiLevelType w:val="singleLevel"/>
    <w:tmpl w:val="1A0CBBAE"/>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2FA2"/>
    <w:rsid w:val="2FC55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1938</Words>
  <Characters>1950</Characters>
  <Lines>0</Lines>
  <Paragraphs>0</Paragraphs>
  <TotalTime>0</TotalTime>
  <ScaleCrop>false</ScaleCrop>
  <LinksUpToDate>false</LinksUpToDate>
  <CharactersWithSpaces>2227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2025-05-21T03:51:00Z</dcterms:created>
  <dc:creator>22</dc:creator>
  <cp:lastModifiedBy>Victory*</cp:lastModifiedBy>
  <dcterms:modified xsi:type="dcterms:W3CDTF">2025-06-20T05:53:58Z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eyJoZGlkIjoiNWNkMWMxZTRmNTM4OWNiOWIwNDUyMDI3MDVhNjBkMzAiLCJ1c2VySWQiOiIzMDkyOTM3ODIifQ==</vt:lpwstr>
  </property>
  <property fmtid="{D5CDD505-2E9C-101B-9397-08002B2CF9AE}" pid="4" name="ICV">
    <vt:lpwstr>604CB9EFFBDA413CBF841B733C16182B_12</vt:lpwstr>
  </property>
</Properties>
</file>