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版本号：RH采字【20250814】号20250827001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“十五五”文物事业发展规划编制项目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RH采字【20250814】号</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“十五五”文物事业发展规划编制项目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RH采字【20250814】号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“十五五”文物事业发展规划编制项目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编制完成“十五五”西安市文物事业发展规划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3、基本资格条件承诺函 ：按采购文件格式，提供基本资格条件承诺函。</w:t>
      </w:r>
    </w:p>
    <w:p>
      <w:pPr>
        <w:pStyle w:val="null3"/>
      </w:pPr>
      <w:r>
        <w:rPr>
          <w:rFonts w:ascii="仿宋_GB2312" w:hAnsi="仿宋_GB2312" w:cs="仿宋_GB2312" w:eastAsia="仿宋_GB2312"/>
        </w:rPr>
        <w:t>4、履行合同能力的证明材料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5、资质能力 ：供应商须具备国家文物行政主管部门核发的的文物保护工程勘察设计甲级资质（业务范围须包含保护规划）。</w:t>
      </w:r>
    </w:p>
    <w:p>
      <w:pPr>
        <w:pStyle w:val="null3"/>
      </w:pPr>
      <w:r>
        <w:rPr>
          <w:rFonts w:ascii="仿宋_GB2312" w:hAnsi="仿宋_GB2312" w:cs="仿宋_GB2312" w:eastAsia="仿宋_GB2312"/>
        </w:rPr>
        <w:t>6、书面信用声明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7、控股、管理关系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13080906068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企业名称：瑞恒项目管理有限公司 开户银行：工行西安城南科技支行（行号：1027 9100 0023） 账 号：3700024819200044620 转账事由：（项目名称）代理服务费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联系电话：13080906068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2026年为十五五开启之年，今年西安市文物局需按照国家“十五五”期间文物工作总体安排，根据西安市文物事业的发展需求，委托专业单位编制“十五五”西安市文物事业发展规划。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十五五文物事业发展规划编制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标的名称：十五五文物事业发展规划编制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2026年为十五五开启之年，今年西安市文物局需按照国家“十五五”期间文物工作总体安排，根据西安市文物事业的发展需求，委托专业单位编制“十五五”西安市文物事业发展规划。</w:t>
            </w:r>
          </w:p>
          <w:p>
            <w:pPr>
              <w:pStyle w:val="null3"/>
              <w:jc w:val="both"/>
            </w:pPr>
            <w:r>
              <w:rPr>
                <w:rFonts w:ascii="仿宋_GB2312" w:hAnsi="仿宋_GB2312" w:cs="仿宋_GB2312" w:eastAsia="仿宋_GB2312"/>
                <w:sz w:val="24"/>
              </w:rPr>
              <w:t>二、服务内容</w:t>
            </w:r>
          </w:p>
          <w:p>
            <w:pPr>
              <w:pStyle w:val="null3"/>
              <w:jc w:val="both"/>
            </w:pPr>
            <w:r>
              <w:rPr>
                <w:rFonts w:ascii="仿宋_GB2312" w:hAnsi="仿宋_GB2312" w:cs="仿宋_GB2312" w:eastAsia="仿宋_GB2312"/>
                <w:sz w:val="24"/>
              </w:rPr>
              <w:t xml:space="preserve">  根据《西安市国民经济和社会发展第十五个五年规划编制工作实施方案》的工作安排，需编制西安市</w:t>
            </w:r>
            <w:r>
              <w:rPr>
                <w:rFonts w:ascii="仿宋_GB2312" w:hAnsi="仿宋_GB2312" w:cs="仿宋_GB2312" w:eastAsia="仿宋_GB2312"/>
                <w:sz w:val="24"/>
              </w:rPr>
              <w:t>“十五五”文物事业发展专项规划。结合党和国家对文物事业发展的最新政策及西安市文物事业的实际情况，委托专业机构编制西安市“十五五”文物事业发展规划，主要内容包含“十四五”文物事业发展规划实施评估、“十五五”文物事业发展指导思想、总体目标、发展布局、主要任务、重大项目、保障措施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合同生效后，乙方提供的正规发票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乙方提交第一次成果资料后，提供等额正规发票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1.请成交供应商在领取成交通知书时，向招标代理机构递交响应文件正本壹份、副本贰份，电子文件贰份（纸质文件与线上评审电子文件保持一致）。 2.根据《西安市财政局关于促进政府采购公平竞争优化营商环境的通知》市财函[2021]431号文第16条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按采购文件格式，提供基本资格条件承诺函。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供应商须具备国家文物行政主管部门核发的的文物保护工程勘察设计甲级资质（业务范围须包含保护规划）。</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现状理解及分析 （8分）</w:t>
            </w:r>
          </w:p>
        </w:tc>
        <w:tc>
          <w:tcPr>
            <w:tcW w:type="dxa" w:w="2492"/>
          </w:tcPr>
          <w:p>
            <w:pPr>
              <w:pStyle w:val="null3"/>
            </w:pPr>
            <w:r>
              <w:rPr>
                <w:rFonts w:ascii="仿宋_GB2312" w:hAnsi="仿宋_GB2312" w:cs="仿宋_GB2312" w:eastAsia="仿宋_GB2312"/>
              </w:rPr>
              <w:t>项目理解到位、分析准确，掌握项目各项工作要求，任务分析全面完善得8分； 项目理解基本准确，了解项目相关情况，基本掌握项目各项工作要求，任务分析基本全面得6分； 项目理解有欠缺，相关情况了解有欠缺，掌握项目基础工作要求，任务分析片面得4分； 项目理解不准确，任务分析有欠缺得2分；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重难点分析及应对方案 （5分）</w:t>
            </w:r>
          </w:p>
        </w:tc>
        <w:tc>
          <w:tcPr>
            <w:tcW w:type="dxa" w:w="2492"/>
          </w:tcPr>
          <w:p>
            <w:pPr>
              <w:pStyle w:val="null3"/>
            </w:pPr>
            <w:r>
              <w:rPr>
                <w:rFonts w:ascii="仿宋_GB2312" w:hAnsi="仿宋_GB2312" w:cs="仿宋_GB2312" w:eastAsia="仿宋_GB2312"/>
              </w:rPr>
              <w:t>对项目重难点、关键性技术问题的把握准确、分析到位，所提供的对策措施完善，有较强的针对性，得5分； 对项目重难点、关键性技术问题的把握基本准确、分析简单，所提供的对策措施合理，针对性欠缺，得3分； 对项目重难点、关键性技术问题的把握有偏差、分析欠缺，所提供的对策措施简单普遍，对本项目没有针对性，得1分；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工作方法（8分）</w:t>
            </w:r>
          </w:p>
        </w:tc>
        <w:tc>
          <w:tcPr>
            <w:tcW w:type="dxa" w:w="2492"/>
          </w:tcPr>
          <w:p>
            <w:pPr>
              <w:pStyle w:val="null3"/>
            </w:pPr>
            <w:r>
              <w:rPr>
                <w:rFonts w:ascii="仿宋_GB2312" w:hAnsi="仿宋_GB2312" w:cs="仿宋_GB2312" w:eastAsia="仿宋_GB2312"/>
              </w:rPr>
              <w:t>能够按照工作内容确定工作方法，方法得当，可行性强，完全满足工作的要求得8分； 工作方法基本得当，可行性一般，能满足工作要求得6分； 工作方法有欠缺，可行性一般，能基本满足工作要求得4分； 工作方法不得当，不利于项目实施的得2分；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技术路线（8分）</w:t>
            </w:r>
          </w:p>
        </w:tc>
        <w:tc>
          <w:tcPr>
            <w:tcW w:type="dxa" w:w="2492"/>
          </w:tcPr>
          <w:p>
            <w:pPr>
              <w:pStyle w:val="null3"/>
            </w:pPr>
            <w:r>
              <w:rPr>
                <w:rFonts w:ascii="仿宋_GB2312" w:hAnsi="仿宋_GB2312" w:cs="仿宋_GB2312" w:eastAsia="仿宋_GB2312"/>
              </w:rPr>
              <w:t>项目实施的技术路线清晰、全面，技术指标明确，完全满足项目要求得8分； 项目实施的技术路线基本清晰、全面，技术指标明确，能满足项目要求得6分； 项目实施的技术路线有欠缺，技术指标不明确，能基本满足项目要求得4分； 项目实施的技术路线不够清晰，不利于项目实施的得2分；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 （18分）</w:t>
            </w:r>
          </w:p>
        </w:tc>
        <w:tc>
          <w:tcPr>
            <w:tcW w:type="dxa" w:w="2492"/>
          </w:tcPr>
          <w:p>
            <w:pPr>
              <w:pStyle w:val="null3"/>
            </w:pPr>
            <w:r>
              <w:rPr>
                <w:rFonts w:ascii="仿宋_GB2312" w:hAnsi="仿宋_GB2312" w:cs="仿宋_GB2312" w:eastAsia="仿宋_GB2312"/>
              </w:rPr>
              <w:t>1、拟派项目负责人具备高级以上(含高级)工程师职称，得2分，具备文物保护工程责任设计师证书得1分。 2、项目组成人员，除项目负责人外，具备中级以上(含中级)工程师职称，每提供一人得1分，本项最高计5分。 3、项目组成人员，除项目负责人外，具备文物保护工程责任设计师证书或注册城乡规划师证书，每提供一人得1分，本项最高计5分。 4、人员组织架构清晰、分工明确，人员配置齐全贴合项目需求的得5分；人员组织架构有待优化，技术人员岗位设置基本合理，人员专业性、经验性一般得3分；人员组织架构不完整，岗位设置紧张，技术人员专业性、经验性欠缺得1分；其他或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 （8分）</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进度安排合理可行，进度保证措施详细、工作节点清晰得8分； 进度安排基本合理，进度保证措施不明确，工作节点清晰得6分； 进度安排基本合理，进度保证措施不明确，工作节点不清晰得4分； 进度安排不合理，进度保证措施不明确，需要进一步协调得2分；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 （8分）</w:t>
            </w:r>
          </w:p>
        </w:tc>
        <w:tc>
          <w:tcPr>
            <w:tcW w:type="dxa" w:w="2492"/>
          </w:tcPr>
          <w:p>
            <w:pPr>
              <w:pStyle w:val="null3"/>
            </w:pPr>
            <w:r>
              <w:rPr>
                <w:rFonts w:ascii="仿宋_GB2312" w:hAnsi="仿宋_GB2312" w:cs="仿宋_GB2312" w:eastAsia="仿宋_GB2312"/>
              </w:rPr>
              <w:t>质量保障措施描述严谨、完整合理、切实可行，针对性、可行性强，得8分； 质量保障措施描述清晰但不够完整，基本合理性，针对性、可行性一般，得6分； 质量保障措施描述简单，合理性、严谨度一般，针对性、可行性一般，得4分； 质量保障措施描述不够清晰，合理性一般，针对性、可行性欠缺，得2分；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保密措施（8分）</w:t>
            </w:r>
          </w:p>
        </w:tc>
        <w:tc>
          <w:tcPr>
            <w:tcW w:type="dxa" w:w="2492"/>
          </w:tcPr>
          <w:p>
            <w:pPr>
              <w:pStyle w:val="null3"/>
            </w:pPr>
            <w:r>
              <w:rPr>
                <w:rFonts w:ascii="仿宋_GB2312" w:hAnsi="仿宋_GB2312" w:cs="仿宋_GB2312" w:eastAsia="仿宋_GB2312"/>
              </w:rPr>
              <w:t>保密措施描述严谨、完整合理、切实可行，针对性、可行性强，得8分； 保密措施描述清晰但不够完整，基本合理性，针对性、可行性一般，得6分； 保密措施描述简单，合理性、严谨度一般，针对性、可行性一般，得4分； 保密措施描述不够清晰，合理性一般，针对性、可行性欠缺，得2分；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资料档案管理 （8分）</w:t>
            </w:r>
          </w:p>
        </w:tc>
        <w:tc>
          <w:tcPr>
            <w:tcW w:type="dxa" w:w="2492"/>
          </w:tcPr>
          <w:p>
            <w:pPr>
              <w:pStyle w:val="null3"/>
            </w:pPr>
            <w:r>
              <w:rPr>
                <w:rFonts w:ascii="仿宋_GB2312" w:hAnsi="仿宋_GB2312" w:cs="仿宋_GB2312" w:eastAsia="仿宋_GB2312"/>
              </w:rPr>
              <w:t>资料管理及移交方案描述严谨、完整合理、切实可行，针对性、可行性强，得8分； 资料管理及移交方案描述清晰但不够完整，基本合理性，针对性、可行性一般，得6分； 资料管理及移交方案描述简单，合理性、严谨度一般，针对性、可行性一般，得4分； 资料管理及移交方案描述不够清晰，合理性一般，针对性、可行性欠缺，得2分；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服务承诺（5分）</w:t>
            </w:r>
          </w:p>
        </w:tc>
        <w:tc>
          <w:tcPr>
            <w:tcW w:type="dxa" w:w="2492"/>
          </w:tcPr>
          <w:p>
            <w:pPr>
              <w:pStyle w:val="null3"/>
            </w:pPr>
            <w:r>
              <w:rPr>
                <w:rFonts w:ascii="仿宋_GB2312" w:hAnsi="仿宋_GB2312" w:cs="仿宋_GB2312" w:eastAsia="仿宋_GB2312"/>
              </w:rPr>
              <w:t>承诺内容全面，描述详尽，针对性、可行性强，得5分； 承诺内容较全面，描述较详尽，针对性、可行性一般，得3分； 承诺内容简单笼统，针对性、可行性欠缺，得1分；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（6分）</w:t>
            </w:r>
          </w:p>
        </w:tc>
        <w:tc>
          <w:tcPr>
            <w:tcW w:type="dxa" w:w="2492"/>
          </w:tcPr>
          <w:p>
            <w:pPr>
              <w:pStyle w:val="null3"/>
            </w:pPr>
            <w:r>
              <w:rPr>
                <w:rFonts w:ascii="仿宋_GB2312" w:hAnsi="仿宋_GB2312" w:cs="仿宋_GB2312" w:eastAsia="仿宋_GB2312"/>
              </w:rPr>
              <w:t>具有2022年1月1日以来类似项目业绩，每提供一个得2分，本项最高得6分。 注：以合同或中标通知书复印件加盖公章为依据。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