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版本号：RH采字【20250815】号20250827001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大遗址保护规划项目评估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RH采字【20250815】号</w:t>
      </w:r>
      <w:r>
        <w:br/>
      </w:r>
      <w:r>
        <w:br/>
      </w:r>
      <w:r>
        <w:br/>
      </w:r>
    </w:p>
    <w:p>
      <w:pPr>
        <w:pStyle w:val="null3"/>
        <w:jc w:val="center"/>
        <w:outlineLvl w:val="2"/>
      </w:pPr>
      <w:r>
        <w:rPr>
          <w:rFonts w:ascii="仿宋_GB2312" w:hAnsi="仿宋_GB2312" w:cs="仿宋_GB2312" w:eastAsia="仿宋_GB2312"/>
          <w:sz w:val="28"/>
          <w:b/>
        </w:rPr>
        <w:t>西安市文物局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西安市文物局</w:t>
      </w:r>
      <w:r>
        <w:rPr>
          <w:rFonts w:ascii="仿宋_GB2312" w:hAnsi="仿宋_GB2312" w:cs="仿宋_GB2312" w:eastAsia="仿宋_GB2312"/>
        </w:rPr>
        <w:t>委托，拟对</w:t>
      </w:r>
      <w:r>
        <w:rPr>
          <w:rFonts w:ascii="仿宋_GB2312" w:hAnsi="仿宋_GB2312" w:cs="仿宋_GB2312" w:eastAsia="仿宋_GB2312"/>
        </w:rPr>
        <w:t>大遗址保护规划项目评估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RH采字【20250815】号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大遗址保护规划项目评估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编制完成大遗址保护规划项目评估。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 ：响应供应商需提供有效合格的具有统一社会信用代码的营业执照，其他组织经营的须提供合法凭证，自然人提供身份证明文件。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2、身份证明 ：法定代表人参加投标的，须提供本人身份证加盖公章的复印件；法定代表人授权他人参加投标的，须提供法定代表人授权委托书及被授权代表的身份证复印件。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3、基本资格条件承诺函 ：按采购文件格式，提供基本资格条件承诺函。</w:t>
      </w:r>
    </w:p>
    <w:p>
      <w:pPr>
        <w:pStyle w:val="null3"/>
      </w:pPr>
      <w:r>
        <w:rPr>
          <w:rFonts w:ascii="仿宋_GB2312" w:hAnsi="仿宋_GB2312" w:cs="仿宋_GB2312" w:eastAsia="仿宋_GB2312"/>
        </w:rPr>
        <w:t>4、履行合同能力的证明材料 ：具备履行合同所必需的设备和专业技术能力的证明材料(由供应商根据项目需求提供说明材料或者承诺)。</w:t>
      </w:r>
    </w:p>
    <w:p>
      <w:pPr>
        <w:pStyle w:val="null3"/>
      </w:pPr>
      <w:r>
        <w:rPr>
          <w:rFonts w:ascii="仿宋_GB2312" w:hAnsi="仿宋_GB2312" w:cs="仿宋_GB2312" w:eastAsia="仿宋_GB2312"/>
        </w:rPr>
        <w:t>5、资质能力 ：供应商须具备国家文物行政主管部门核发的的文物保护工程勘察设计甲级资质（业务范围须包含保护规划）。</w:t>
      </w:r>
    </w:p>
    <w:p>
      <w:pPr>
        <w:pStyle w:val="null3"/>
      </w:pPr>
      <w:r>
        <w:rPr>
          <w:rFonts w:ascii="仿宋_GB2312" w:hAnsi="仿宋_GB2312" w:cs="仿宋_GB2312" w:eastAsia="仿宋_GB2312"/>
        </w:rPr>
        <w:t>6、书面信用声明 ：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p>
      <w:pPr>
        <w:pStyle w:val="null3"/>
      </w:pPr>
      <w:r>
        <w:rPr>
          <w:rFonts w:ascii="仿宋_GB2312" w:hAnsi="仿宋_GB2312" w:cs="仿宋_GB2312" w:eastAsia="仿宋_GB2312"/>
        </w:rPr>
        <w:t>7、控股、管理关系 ：单位负责人为同一人或者存在直接控股、管理关系的不同供应商，不得参加本次采购活动。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029-86788216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13080906068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 企业名称：瑞恒项目管理有限公司 开户银行：工行西安城南科技支行（行号：1027 9100 0023） 账 号：3700024819200044620 转账事由：（项目名称）代理服务费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西安市文物局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西安市文物局</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联系电话：13080906068</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编制完成大遗址保护规划项目评估。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大遗址保护规划项目评估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标的名称：大遗址保护规划项目评估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计划委托专业单位对我市大遗址已有的保护规划进行评估；按照国家文物局、自然资源部、农业农村部三部委《关于加强大遗址保护规划和用地保障的通知》的工作要求，需对全市大遗址已有保护规划的实施情况开展评估工作，根据评估结果开展已有保护规划的修编工作，我局计划委托专业单位对我市大遗址已有的保护规划进行评估，并形成评估结果，为下一步保护工作提供依据；</w:t>
            </w:r>
          </w:p>
          <w:p>
            <w:pPr>
              <w:pStyle w:val="null3"/>
              <w:jc w:val="both"/>
            </w:pPr>
            <w:r>
              <w:rPr>
                <w:rFonts w:ascii="仿宋_GB2312" w:hAnsi="仿宋_GB2312" w:cs="仿宋_GB2312" w:eastAsia="仿宋_GB2312"/>
                <w:sz w:val="24"/>
              </w:rPr>
              <w:t>二、服务内容</w:t>
            </w:r>
          </w:p>
          <w:p>
            <w:pPr>
              <w:pStyle w:val="null3"/>
              <w:ind w:firstLine="480"/>
              <w:jc w:val="both"/>
            </w:pPr>
            <w:r>
              <w:rPr>
                <w:rFonts w:ascii="仿宋_GB2312" w:hAnsi="仿宋_GB2312" w:cs="仿宋_GB2312" w:eastAsia="仿宋_GB2312"/>
                <w:sz w:val="24"/>
              </w:rPr>
              <w:t>根据《国家文物局办公室、自然资源部办公厅、农业农村部办公厅关于加强大遗址保护规划和用地保障的通知》（办考发〔</w:t>
            </w:r>
            <w:r>
              <w:rPr>
                <w:rFonts w:ascii="仿宋_GB2312" w:hAnsi="仿宋_GB2312" w:cs="仿宋_GB2312" w:eastAsia="仿宋_GB2312"/>
                <w:sz w:val="24"/>
              </w:rPr>
              <w:t>2024〕12号）要求，对西安市域范围内大遗址的保护规划编制、审批、公布实施情况进行全面梳理，并按照《通知》要求，对已有保护规划超期或临近期限的秦始皇陵、汉长安城遗址、大明宫遗址、杜陵、阿房宫遗址、西安城墙六处大遗址保护规划实施情况进行整体评估。评估主要内容需包含现行保护规划编制实施概况、评估总体目标、保护规划范围及保护对象评估、保护区划评估、保护管理规定评估、考古及保护利用项目用地保障评估、与国空规划衔接情况评估等。评估结论应明确以上六处大遗址现行保护规划是否适用，不适用的应提出规划修编建议。</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按采购人要求，根据项目情况配置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合同生效后，乙方提供的正规发票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乙方提交第一次成果资料后，提供等额正规发票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1.请成交供应商在领取成交通知书时，向招标代理机构递交响应文件正本壹份、副本贰份，电子文件贰份（纸质文件与线上评审电子文件保持一致）。 2.根据《西安市财政局关于促进政府采购公平竞争优化营商环境的通知》市财函[2021]431号文第16条 供应商登记免费领取采购文件的，如不参与项目投标，应在递交投标（或响应）文件截止时间前一日以书面形式告知采购代理机构（接收邮箱：ddjie688@168.com）。否则，采购代理机构可以向财政部门反应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响应供应商需提供有效合格的具有统一社会信用代码的营业执照，其他组织经营的须提供合法凭证，自然人提供身份证明文件。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按采购文件格式，提供基本资格条件承诺函。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履行合同能力的证明材料</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资质能力</w:t>
            </w:r>
          </w:p>
        </w:tc>
        <w:tc>
          <w:tcPr>
            <w:tcW w:type="dxa" w:w="3322"/>
          </w:tcPr>
          <w:p>
            <w:pPr>
              <w:pStyle w:val="null3"/>
            </w:pPr>
            <w:r>
              <w:rPr>
                <w:rFonts w:ascii="仿宋_GB2312" w:hAnsi="仿宋_GB2312" w:cs="仿宋_GB2312" w:eastAsia="仿宋_GB2312"/>
              </w:rPr>
              <w:t>供应商须具备国家文物行政主管部门核发的的文物保护工程勘察设计甲级资质（业务范围须包含保护规划）。</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书面信用声明</w:t>
            </w:r>
          </w:p>
        </w:tc>
        <w:tc>
          <w:tcPr>
            <w:tcW w:type="dxa" w:w="3322"/>
          </w:tcPr>
          <w:p>
            <w:pPr>
              <w:pStyle w:val="null3"/>
            </w:pPr>
            <w:r>
              <w:rPr>
                <w:rFonts w:ascii="仿宋_GB2312" w:hAnsi="仿宋_GB2312" w:cs="仿宋_GB2312" w:eastAsia="仿宋_GB2312"/>
              </w:rPr>
              <w:t>参加本次政府采购活动前3年内在经营活动中没有重大违纪、未被列入失信被执行人、重大税收违法案件当事人名单、政府采购严重违法失信行为记录名单的书面声明。开标评审将登陆“信用中国”网站（www.creditchina.gov.cn）和“中国政府采购网”（www.ccgp.gov.cn）进行审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应符合磋商文件中签字、签章要求，且无遗漏</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响应供应商基本情况表.docx 响应函 商务偏离表.docx 资格证明文件.docx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技术偏离表.docx 服务方案.docx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商务偏离表.docx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现状理解及分析 （8分）</w:t>
            </w:r>
          </w:p>
        </w:tc>
        <w:tc>
          <w:tcPr>
            <w:tcW w:type="dxa" w:w="2492"/>
          </w:tcPr>
          <w:p>
            <w:pPr>
              <w:pStyle w:val="null3"/>
            </w:pPr>
            <w:r>
              <w:rPr>
                <w:rFonts w:ascii="仿宋_GB2312" w:hAnsi="仿宋_GB2312" w:cs="仿宋_GB2312" w:eastAsia="仿宋_GB2312"/>
              </w:rPr>
              <w:t>项目理解到位、分析准确，掌握项目各项工作要求，任务分析全面完善得8分； 项目理解基本准确，了解项目相关情况，基本掌握项目各项工作要求，任务分析基本全面得6分； 项目理解有欠缺，相关情况了解有欠缺，掌握项目基础工作要求，任务分析片面得4分； 项目理解不准确，任务分析有欠缺得2分；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重难点分析及应对方案 （5分）</w:t>
            </w:r>
          </w:p>
        </w:tc>
        <w:tc>
          <w:tcPr>
            <w:tcW w:type="dxa" w:w="2492"/>
          </w:tcPr>
          <w:p>
            <w:pPr>
              <w:pStyle w:val="null3"/>
            </w:pPr>
            <w:r>
              <w:rPr>
                <w:rFonts w:ascii="仿宋_GB2312" w:hAnsi="仿宋_GB2312" w:cs="仿宋_GB2312" w:eastAsia="仿宋_GB2312"/>
              </w:rPr>
              <w:t>对项目重难点、关键性技术问题的把握准确、分析到位，所提供的对策措施完善，有较强的针对性，得5分； 对项目重难点、关键性技术问题的把握基本准确、分析简单，所提供的对策措施合理，针对性欠缺，得3分； 对项目重难点、关键性技术问题的把握有偏差、分析欠缺，所提供的对策措施简单普遍，对本项目没有针对性，得1分；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工作方法（8分）</w:t>
            </w:r>
          </w:p>
        </w:tc>
        <w:tc>
          <w:tcPr>
            <w:tcW w:type="dxa" w:w="2492"/>
          </w:tcPr>
          <w:p>
            <w:pPr>
              <w:pStyle w:val="null3"/>
            </w:pPr>
            <w:r>
              <w:rPr>
                <w:rFonts w:ascii="仿宋_GB2312" w:hAnsi="仿宋_GB2312" w:cs="仿宋_GB2312" w:eastAsia="仿宋_GB2312"/>
              </w:rPr>
              <w:t>能够按照工作内容确定工作方法，方法得当，可行性强，完全满足工作的要求得8分； 工作方法基本得当，可行性一般，能满足工作要求得6分； 工作方法有欠缺，可行性一般，能基本满足工作要求得4分； 工作方法不得当，不利于项目实施的得2分；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技术路线（8分）</w:t>
            </w:r>
          </w:p>
        </w:tc>
        <w:tc>
          <w:tcPr>
            <w:tcW w:type="dxa" w:w="2492"/>
          </w:tcPr>
          <w:p>
            <w:pPr>
              <w:pStyle w:val="null3"/>
            </w:pPr>
            <w:r>
              <w:rPr>
                <w:rFonts w:ascii="仿宋_GB2312" w:hAnsi="仿宋_GB2312" w:cs="仿宋_GB2312" w:eastAsia="仿宋_GB2312"/>
              </w:rPr>
              <w:t>项目实施的技术路线清晰、全面，技术指标明确，完全满足项目要求得8分； 项目实施的技术路线基本清晰、全面，技术指标明确，能满足项目要求得6分； 项目实施的技术路线有欠缺，技术指标不明确，能基本满足项目要求得4分； 项目实施的技术路线不够清晰，不利于项目实施的得2分；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 （18分）</w:t>
            </w:r>
          </w:p>
        </w:tc>
        <w:tc>
          <w:tcPr>
            <w:tcW w:type="dxa" w:w="2492"/>
          </w:tcPr>
          <w:p>
            <w:pPr>
              <w:pStyle w:val="null3"/>
            </w:pPr>
            <w:r>
              <w:rPr>
                <w:rFonts w:ascii="仿宋_GB2312" w:hAnsi="仿宋_GB2312" w:cs="仿宋_GB2312" w:eastAsia="仿宋_GB2312"/>
              </w:rPr>
              <w:t>1、拟派项目负责人具备高级以上(含高级)工程师职称，得2分，具备文物保护工程责任设计师证书得1分。 2、项目组成人员，除项目负责人外，具备中级以上(含中级)工程师职称，每提供一人得1分，本项最高计5分。 3、项目组成人员，除项目负责人外，具备文物保护工程责任设计师证书或注册城乡规划师证书，每提供一人得1分，本项最高计5分。 4、人员组织架构清晰、分工明确，人员配置齐全贴合项目需求的得5分；人员组织架构有待优化，技术人员岗位设置基本合理，人员专业性、经验性一般得3分；人员组织架构不完整，岗位设置紧张，技术人员专业性、经验性欠缺得1分；其他或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 （8分）</w:t>
            </w:r>
          </w:p>
        </w:tc>
        <w:tc>
          <w:tcPr>
            <w:tcW w:type="dxa" w:w="2492"/>
          </w:tcPr>
          <w:p>
            <w:pPr>
              <w:pStyle w:val="null3"/>
            </w:pPr>
            <w:r>
              <w:rPr>
                <w:rFonts w:ascii="仿宋_GB2312" w:hAnsi="仿宋_GB2312" w:cs="仿宋_GB2312" w:eastAsia="仿宋_GB2312"/>
              </w:rPr>
              <w:t>根据工作进度计划安排的合理性、与本项目实际情况的符合性，进度保证措施的可靠性、可实施性进行评分： 进度安排合理可行，进度保证措施详细、工作节点清晰得8分； 进度安排基本合理，进度保证措施不明确，工作节点清晰得6分； 进度安排基本合理，进度保证措施不明确，工作节点不清晰得4分； 进度安排不合理，进度保证措施不明确，需要进一步协调得2分； 其他或未提供得不得分。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 （8分）</w:t>
            </w:r>
          </w:p>
        </w:tc>
        <w:tc>
          <w:tcPr>
            <w:tcW w:type="dxa" w:w="2492"/>
          </w:tcPr>
          <w:p>
            <w:pPr>
              <w:pStyle w:val="null3"/>
            </w:pPr>
            <w:r>
              <w:rPr>
                <w:rFonts w:ascii="仿宋_GB2312" w:hAnsi="仿宋_GB2312" w:cs="仿宋_GB2312" w:eastAsia="仿宋_GB2312"/>
              </w:rPr>
              <w:t>质量保障措施描述严谨、完整合理、切实可行，针对性、可行性强，得8分； 质量保障措施描述清晰但不够完整，基本合理性，针对性、可行性一般，得6分； 质量保障措施描述简单，合理性、严谨度一般，针对性、可行性一般，得4分； 质量保障措施描述不够清晰，合理性一般，针对性、可行性欠缺，得2分；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保密措施（8分）</w:t>
            </w:r>
          </w:p>
        </w:tc>
        <w:tc>
          <w:tcPr>
            <w:tcW w:type="dxa" w:w="2492"/>
          </w:tcPr>
          <w:p>
            <w:pPr>
              <w:pStyle w:val="null3"/>
            </w:pPr>
            <w:r>
              <w:rPr>
                <w:rFonts w:ascii="仿宋_GB2312" w:hAnsi="仿宋_GB2312" w:cs="仿宋_GB2312" w:eastAsia="仿宋_GB2312"/>
              </w:rPr>
              <w:t>保密措施描述严谨、完整合理、切实可行，针对性、可行性强，得8分； 保密措施描述清晰但不够完整，基本合理性，针对性、可行性一般，得6分； 保密措施描述简单，合理性、严谨度一般，针对性、可行性一般，得4分； 保密措施描述不够清晰，合理性一般，针对性、可行性欠缺，得2分；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资料档案管理 （8分）</w:t>
            </w:r>
          </w:p>
        </w:tc>
        <w:tc>
          <w:tcPr>
            <w:tcW w:type="dxa" w:w="2492"/>
          </w:tcPr>
          <w:p>
            <w:pPr>
              <w:pStyle w:val="null3"/>
            </w:pPr>
            <w:r>
              <w:rPr>
                <w:rFonts w:ascii="仿宋_GB2312" w:hAnsi="仿宋_GB2312" w:cs="仿宋_GB2312" w:eastAsia="仿宋_GB2312"/>
              </w:rPr>
              <w:t>资料管理及移交方案描述严谨、完整合理、切实可行，针对性、可行性强，得8分； 资料管理及移交方案描述清晰但不够完整，基本合理性，针对性、可行性一般，得6分； 资料管理及移交方案描述简单，合理性、严谨度一般，针对性、可行性一般，得4分； 资料管理及移交方案描述不够清晰，合理性一般，针对性、可行性欠缺，得2分； 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服务承诺（5分）</w:t>
            </w:r>
          </w:p>
        </w:tc>
        <w:tc>
          <w:tcPr>
            <w:tcW w:type="dxa" w:w="2492"/>
          </w:tcPr>
          <w:p>
            <w:pPr>
              <w:pStyle w:val="null3"/>
            </w:pPr>
            <w:r>
              <w:rPr>
                <w:rFonts w:ascii="仿宋_GB2312" w:hAnsi="仿宋_GB2312" w:cs="仿宋_GB2312" w:eastAsia="仿宋_GB2312"/>
              </w:rPr>
              <w:t>承诺内容全面，描述详尽，针对性、可行性强，得5分； 承诺内容较全面，描述较详尽，针对性、可行性一般，得3分； 承诺内容简单笼统，针对性、可行性欠缺，得1分； 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 （6分）</w:t>
            </w:r>
          </w:p>
        </w:tc>
        <w:tc>
          <w:tcPr>
            <w:tcW w:type="dxa" w:w="2492"/>
          </w:tcPr>
          <w:p>
            <w:pPr>
              <w:pStyle w:val="null3"/>
            </w:pPr>
            <w:r>
              <w:rPr>
                <w:rFonts w:ascii="仿宋_GB2312" w:hAnsi="仿宋_GB2312" w:cs="仿宋_GB2312" w:eastAsia="仿宋_GB2312"/>
              </w:rPr>
              <w:t>具有2022年1月1日以来类似项目业绩，每提供一个得2分，本项最高得6分。 注：以合同或中标通知书复印件加盖公章为依据。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详见附件：响应供应商基本情况表.docx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