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2C2545">
      <w:pPr>
        <w:jc w:val="center"/>
        <w:rPr>
          <w:rFonts w:hint="eastAsia" w:ascii="仿宋_GB2312" w:hAnsi="仿宋_GB2312" w:eastAsia="仿宋_GB2312" w:cs="仿宋_GB2312"/>
          <w:b/>
          <w:bCs w:val="0"/>
          <w:sz w:val="36"/>
          <w:szCs w:val="36"/>
        </w:rPr>
      </w:pPr>
      <w:bookmarkStart w:id="4" w:name="_GoBack"/>
      <w:bookmarkEnd w:id="4"/>
      <w:r>
        <w:rPr>
          <w:rFonts w:hint="eastAsia" w:ascii="仿宋_GB2312" w:hAnsi="仿宋_GB2312" w:eastAsia="仿宋_GB2312" w:cs="仿宋_GB2312"/>
          <w:b/>
          <w:bCs w:val="0"/>
          <w:sz w:val="36"/>
          <w:szCs w:val="36"/>
          <w:lang w:eastAsia="zh-CN"/>
        </w:rPr>
        <w:t>服</w:t>
      </w:r>
      <w:r>
        <w:rPr>
          <w:rFonts w:hint="eastAsia" w:ascii="仿宋_GB2312" w:hAnsi="仿宋_GB2312" w:eastAsia="仿宋_GB2312" w:cs="仿宋_GB2312"/>
          <w:b/>
          <w:bCs w:val="0"/>
          <w:sz w:val="36"/>
          <w:szCs w:val="36"/>
          <w:lang w:val="en-US" w:eastAsia="zh-CN"/>
        </w:rPr>
        <w:t xml:space="preserve"> </w:t>
      </w:r>
      <w:r>
        <w:rPr>
          <w:rFonts w:hint="eastAsia" w:ascii="仿宋_GB2312" w:hAnsi="仿宋_GB2312" w:eastAsia="仿宋_GB2312" w:cs="仿宋_GB2312"/>
          <w:b/>
          <w:bCs w:val="0"/>
          <w:sz w:val="36"/>
          <w:szCs w:val="36"/>
          <w:lang w:eastAsia="zh-CN"/>
        </w:rPr>
        <w:t>务</w:t>
      </w:r>
      <w:r>
        <w:rPr>
          <w:rFonts w:hint="eastAsia" w:ascii="仿宋_GB2312" w:hAnsi="仿宋_GB2312" w:eastAsia="仿宋_GB2312" w:cs="仿宋_GB2312"/>
          <w:b/>
          <w:bCs w:val="0"/>
          <w:sz w:val="36"/>
          <w:szCs w:val="36"/>
        </w:rPr>
        <w:t xml:space="preserve"> 合 同</w:t>
      </w:r>
    </w:p>
    <w:p w14:paraId="37F8F3D9">
      <w:pPr>
        <w:rPr>
          <w:rFonts w:hint="eastAsia" w:ascii="仿宋_GB2312" w:hAnsi="仿宋_GB2312" w:eastAsia="仿宋_GB2312" w:cs="仿宋_GB2312"/>
          <w:b w:val="0"/>
          <w:bCs/>
          <w:sz w:val="24"/>
        </w:rPr>
      </w:pPr>
    </w:p>
    <w:p w14:paraId="77942B11">
      <w:pPr>
        <w:spacing w:line="400" w:lineRule="exact"/>
        <w:rPr>
          <w:rFonts w:hint="eastAsia" w:ascii="仿宋_GB2312" w:hAnsi="仿宋_GB2312" w:eastAsia="仿宋_GB2312" w:cs="仿宋_GB2312"/>
          <w:b w:val="0"/>
          <w:bCs/>
          <w:sz w:val="24"/>
          <w:szCs w:val="24"/>
          <w:lang w:val="en-US" w:eastAsia="zh-CN"/>
        </w:rPr>
      </w:pPr>
      <w:r>
        <w:rPr>
          <w:rFonts w:hint="eastAsia" w:ascii="仿宋_GB2312" w:hAnsi="仿宋_GB2312" w:eastAsia="仿宋_GB2312" w:cs="仿宋_GB2312"/>
          <w:b w:val="0"/>
          <w:bCs/>
          <w:sz w:val="24"/>
          <w:szCs w:val="24"/>
        </w:rPr>
        <w:t>甲方：</w:t>
      </w:r>
      <w:r>
        <w:rPr>
          <w:rFonts w:hint="eastAsia" w:ascii="仿宋_GB2312" w:hAnsi="仿宋_GB2312" w:eastAsia="仿宋_GB2312" w:cs="仿宋_GB2312"/>
          <w:b w:val="0"/>
          <w:bCs/>
          <w:sz w:val="24"/>
          <w:szCs w:val="24"/>
          <w:lang w:eastAsia="zh-CN"/>
        </w:rPr>
        <w:t>西安市精神卫生中心</w:t>
      </w:r>
    </w:p>
    <w:p w14:paraId="388FCCFA">
      <w:pPr>
        <w:spacing w:line="400" w:lineRule="exac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乙方：</w:t>
      </w:r>
    </w:p>
    <w:p w14:paraId="2913C798">
      <w:pPr>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甲方所需服务，按照采购程序，确定乙方为</w:t>
      </w:r>
      <w:r>
        <w:rPr>
          <w:rFonts w:hint="eastAsia" w:ascii="仿宋_GB2312" w:hAnsi="仿宋_GB2312" w:eastAsia="仿宋_GB2312" w:cs="仿宋_GB2312"/>
          <w:b w:val="0"/>
          <w:bCs/>
          <w:sz w:val="24"/>
          <w:szCs w:val="24"/>
          <w:lang w:val="en-US" w:eastAsia="zh-CN"/>
        </w:rPr>
        <w:t>成交单位</w:t>
      </w:r>
      <w:r>
        <w:rPr>
          <w:rFonts w:hint="eastAsia" w:ascii="仿宋_GB2312" w:hAnsi="仿宋_GB2312" w:eastAsia="仿宋_GB2312" w:cs="仿宋_GB2312"/>
          <w:b w:val="0"/>
          <w:bCs/>
          <w:sz w:val="24"/>
          <w:szCs w:val="24"/>
        </w:rPr>
        <w:t>。依据《中华人民共和国政府采购法》及实施条例、《中华人民共和国民法典》、</w:t>
      </w:r>
      <w:r>
        <w:rPr>
          <w:rFonts w:hint="eastAsia" w:ascii="仿宋_GB2312" w:hAnsi="仿宋_GB2312" w:eastAsia="仿宋_GB2312" w:cs="仿宋_GB2312"/>
          <w:b w:val="0"/>
          <w:bCs/>
          <w:sz w:val="24"/>
          <w:szCs w:val="24"/>
          <w:lang w:val="en-US" w:eastAsia="zh-CN"/>
        </w:rPr>
        <w:t>中标</w:t>
      </w:r>
      <w:r>
        <w:rPr>
          <w:rFonts w:hint="eastAsia" w:ascii="仿宋_GB2312" w:hAnsi="仿宋_GB2312" w:eastAsia="仿宋_GB2312" w:cs="仿宋_GB2312"/>
          <w:b w:val="0"/>
          <w:bCs/>
          <w:sz w:val="24"/>
          <w:szCs w:val="24"/>
        </w:rPr>
        <w:t>供应商</w:t>
      </w:r>
      <w:r>
        <w:rPr>
          <w:rFonts w:hint="eastAsia" w:ascii="仿宋_GB2312" w:hAnsi="仿宋_GB2312" w:eastAsia="仿宋_GB2312" w:cs="仿宋_GB2312"/>
          <w:b w:val="0"/>
          <w:bCs/>
          <w:sz w:val="24"/>
          <w:szCs w:val="24"/>
          <w:lang w:val="en-US" w:eastAsia="zh-CN"/>
        </w:rPr>
        <w:t>投标</w:t>
      </w:r>
      <w:r>
        <w:rPr>
          <w:rFonts w:hint="eastAsia" w:ascii="仿宋_GB2312" w:hAnsi="仿宋_GB2312" w:eastAsia="仿宋_GB2312" w:cs="仿宋_GB2312"/>
          <w:b w:val="0"/>
          <w:bCs/>
          <w:sz w:val="24"/>
          <w:szCs w:val="24"/>
        </w:rPr>
        <w:t>文件正本、</w:t>
      </w:r>
      <w:r>
        <w:rPr>
          <w:rFonts w:hint="eastAsia" w:ascii="仿宋_GB2312" w:hAnsi="仿宋_GB2312" w:eastAsia="仿宋_GB2312" w:cs="仿宋_GB2312"/>
          <w:b w:val="0"/>
          <w:bCs/>
          <w:sz w:val="24"/>
          <w:szCs w:val="24"/>
          <w:lang w:val="en-US" w:eastAsia="zh-CN"/>
        </w:rPr>
        <w:t>中标</w:t>
      </w:r>
      <w:r>
        <w:rPr>
          <w:rFonts w:hint="eastAsia" w:ascii="仿宋_GB2312" w:hAnsi="仿宋_GB2312" w:eastAsia="仿宋_GB2312" w:cs="仿宋_GB2312"/>
          <w:b w:val="0"/>
          <w:bCs/>
          <w:sz w:val="24"/>
          <w:szCs w:val="24"/>
        </w:rPr>
        <w:t>通知书，经甲、乙双方协商，达成如下条款。</w:t>
      </w:r>
    </w:p>
    <w:p w14:paraId="53CEFC39">
      <w:pPr>
        <w:pStyle w:val="10"/>
        <w:widowControl/>
        <w:numPr>
          <w:ilvl w:val="0"/>
          <w:numId w:val="1"/>
        </w:numPr>
        <w:tabs>
          <w:tab w:val="left" w:pos="480"/>
          <w:tab w:val="left" w:pos="1146"/>
        </w:tabs>
        <w:spacing w:line="400" w:lineRule="exact"/>
        <w:ind w:firstLineChars="0"/>
        <w:jc w:val="lef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合同标的物内容及数量</w:t>
      </w:r>
    </w:p>
    <w:p w14:paraId="3F5C26DE">
      <w:pPr>
        <w:tabs>
          <w:tab w:val="left" w:pos="480"/>
        </w:tabs>
        <w:spacing w:line="400" w:lineRule="exac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（一）合同最高执行总价</w:t>
      </w:r>
    </w:p>
    <w:tbl>
      <w:tblPr>
        <w:tblStyle w:val="7"/>
        <w:tblW w:w="9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62"/>
        <w:gridCol w:w="1683"/>
        <w:gridCol w:w="1406"/>
        <w:gridCol w:w="1322"/>
        <w:gridCol w:w="2725"/>
      </w:tblGrid>
      <w:tr w14:paraId="18AC1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14" w:type="dxa"/>
            <w:noWrap w:val="0"/>
            <w:vAlign w:val="center"/>
          </w:tcPr>
          <w:p w14:paraId="5668F8E7">
            <w:pPr>
              <w:spacing w:line="400" w:lineRule="exact"/>
              <w:jc w:val="center"/>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序号</w:t>
            </w:r>
          </w:p>
        </w:tc>
        <w:tc>
          <w:tcPr>
            <w:tcW w:w="2845" w:type="dxa"/>
            <w:gridSpan w:val="2"/>
            <w:noWrap w:val="0"/>
            <w:vAlign w:val="center"/>
          </w:tcPr>
          <w:p w14:paraId="721B9EBE">
            <w:pPr>
              <w:spacing w:line="400" w:lineRule="exact"/>
              <w:jc w:val="center"/>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val="en-US" w:eastAsia="zh-CN"/>
              </w:rPr>
              <w:t>服务</w:t>
            </w:r>
            <w:r>
              <w:rPr>
                <w:rFonts w:hint="eastAsia" w:ascii="仿宋_GB2312" w:hAnsi="仿宋_GB2312" w:eastAsia="仿宋_GB2312" w:cs="仿宋_GB2312"/>
                <w:b w:val="0"/>
                <w:bCs/>
                <w:sz w:val="24"/>
                <w:szCs w:val="24"/>
              </w:rPr>
              <w:t>名称</w:t>
            </w:r>
          </w:p>
        </w:tc>
        <w:tc>
          <w:tcPr>
            <w:tcW w:w="1406" w:type="dxa"/>
            <w:noWrap w:val="0"/>
            <w:vAlign w:val="center"/>
          </w:tcPr>
          <w:p w14:paraId="1C99EB0C">
            <w:pPr>
              <w:spacing w:line="400" w:lineRule="exact"/>
              <w:jc w:val="center"/>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数量</w:t>
            </w:r>
          </w:p>
        </w:tc>
        <w:tc>
          <w:tcPr>
            <w:tcW w:w="1322" w:type="dxa"/>
            <w:noWrap w:val="0"/>
            <w:vAlign w:val="center"/>
          </w:tcPr>
          <w:p w14:paraId="70B8521B">
            <w:pPr>
              <w:spacing w:line="400" w:lineRule="exact"/>
              <w:jc w:val="center"/>
              <w:rPr>
                <w:rFonts w:hint="eastAsia" w:ascii="仿宋_GB2312" w:hAnsi="仿宋_GB2312" w:eastAsia="仿宋_GB2312" w:cs="仿宋_GB2312"/>
                <w:b w:val="0"/>
                <w:bCs/>
                <w:sz w:val="24"/>
                <w:szCs w:val="24"/>
                <w:lang w:val="en-US" w:eastAsia="zh-CN"/>
              </w:rPr>
            </w:pPr>
            <w:r>
              <w:rPr>
                <w:rFonts w:hint="eastAsia" w:ascii="仿宋_GB2312" w:hAnsi="仿宋_GB2312" w:eastAsia="仿宋_GB2312" w:cs="仿宋_GB2312"/>
                <w:b w:val="0"/>
                <w:bCs/>
                <w:sz w:val="24"/>
                <w:szCs w:val="24"/>
                <w:lang w:val="en-US" w:eastAsia="zh-CN"/>
              </w:rPr>
              <w:t>单位</w:t>
            </w:r>
          </w:p>
        </w:tc>
        <w:tc>
          <w:tcPr>
            <w:tcW w:w="2725" w:type="dxa"/>
            <w:noWrap w:val="0"/>
            <w:vAlign w:val="center"/>
          </w:tcPr>
          <w:p w14:paraId="10CB1868">
            <w:pPr>
              <w:spacing w:line="400" w:lineRule="exac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金额合计（小写）</w:t>
            </w:r>
          </w:p>
        </w:tc>
      </w:tr>
      <w:tr w14:paraId="25D9E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914" w:type="dxa"/>
            <w:noWrap w:val="0"/>
            <w:vAlign w:val="center"/>
          </w:tcPr>
          <w:p w14:paraId="24145D14">
            <w:pPr>
              <w:spacing w:line="400" w:lineRule="exact"/>
              <w:jc w:val="center"/>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1</w:t>
            </w:r>
          </w:p>
        </w:tc>
        <w:tc>
          <w:tcPr>
            <w:tcW w:w="2845" w:type="dxa"/>
            <w:gridSpan w:val="2"/>
            <w:noWrap w:val="0"/>
            <w:vAlign w:val="center"/>
          </w:tcPr>
          <w:p w14:paraId="37416AEE">
            <w:pPr>
              <w:spacing w:line="400" w:lineRule="exact"/>
              <w:jc w:val="center"/>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 xml:space="preserve"> </w:t>
            </w:r>
          </w:p>
        </w:tc>
        <w:tc>
          <w:tcPr>
            <w:tcW w:w="1406" w:type="dxa"/>
            <w:noWrap w:val="0"/>
            <w:vAlign w:val="center"/>
          </w:tcPr>
          <w:p w14:paraId="0979934F">
            <w:pPr>
              <w:spacing w:line="400" w:lineRule="exact"/>
              <w:jc w:val="center"/>
              <w:rPr>
                <w:rFonts w:hint="eastAsia" w:ascii="仿宋_GB2312" w:hAnsi="仿宋_GB2312" w:eastAsia="仿宋_GB2312" w:cs="仿宋_GB2312"/>
                <w:b w:val="0"/>
                <w:bCs/>
                <w:sz w:val="24"/>
                <w:szCs w:val="24"/>
                <w:lang w:eastAsia="zh-CN"/>
              </w:rPr>
            </w:pPr>
          </w:p>
        </w:tc>
        <w:tc>
          <w:tcPr>
            <w:tcW w:w="1322" w:type="dxa"/>
            <w:noWrap w:val="0"/>
            <w:vAlign w:val="center"/>
          </w:tcPr>
          <w:p w14:paraId="7862CE27">
            <w:pPr>
              <w:spacing w:line="400" w:lineRule="exact"/>
              <w:jc w:val="center"/>
              <w:rPr>
                <w:rFonts w:hint="eastAsia" w:ascii="仿宋_GB2312" w:hAnsi="仿宋_GB2312" w:eastAsia="仿宋_GB2312" w:cs="仿宋_GB2312"/>
                <w:b w:val="0"/>
                <w:bCs/>
                <w:sz w:val="24"/>
                <w:szCs w:val="24"/>
              </w:rPr>
            </w:pPr>
          </w:p>
        </w:tc>
        <w:tc>
          <w:tcPr>
            <w:tcW w:w="2725" w:type="dxa"/>
            <w:noWrap w:val="0"/>
            <w:vAlign w:val="center"/>
          </w:tcPr>
          <w:p w14:paraId="29311B40">
            <w:pPr>
              <w:spacing w:line="400" w:lineRule="exact"/>
              <w:jc w:val="center"/>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 xml:space="preserve"> 元</w:t>
            </w:r>
          </w:p>
        </w:tc>
      </w:tr>
      <w:tr w14:paraId="0EDAD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2076" w:type="dxa"/>
            <w:gridSpan w:val="2"/>
            <w:noWrap w:val="0"/>
            <w:vAlign w:val="center"/>
          </w:tcPr>
          <w:p w14:paraId="6EA2F70C">
            <w:pPr>
              <w:spacing w:line="400" w:lineRule="exact"/>
              <w:jc w:val="center"/>
              <w:rPr>
                <w:rFonts w:hint="eastAsia" w:ascii="仿宋_GB2312" w:hAnsi="仿宋_GB2312" w:eastAsia="仿宋_GB2312" w:cs="仿宋_GB2312"/>
                <w:b w:val="0"/>
                <w:bCs/>
                <w:sz w:val="24"/>
                <w:szCs w:val="24"/>
                <w:lang w:val="en-US" w:eastAsia="zh-CN"/>
              </w:rPr>
            </w:pPr>
            <w:r>
              <w:rPr>
                <w:rFonts w:hint="eastAsia" w:ascii="仿宋_GB2312" w:hAnsi="仿宋_GB2312" w:eastAsia="仿宋_GB2312" w:cs="仿宋_GB2312"/>
                <w:b w:val="0"/>
                <w:bCs/>
                <w:sz w:val="24"/>
                <w:szCs w:val="24"/>
                <w:lang w:val="en-US" w:eastAsia="zh-CN"/>
              </w:rPr>
              <w:t>总计</w:t>
            </w:r>
          </w:p>
        </w:tc>
        <w:tc>
          <w:tcPr>
            <w:tcW w:w="7136" w:type="dxa"/>
            <w:gridSpan w:val="4"/>
            <w:noWrap w:val="0"/>
            <w:vAlign w:val="center"/>
          </w:tcPr>
          <w:p w14:paraId="359E95F3">
            <w:pPr>
              <w:spacing w:line="400" w:lineRule="exact"/>
              <w:rPr>
                <w:rFonts w:hint="eastAsia" w:ascii="仿宋_GB2312" w:hAnsi="仿宋_GB2312" w:eastAsia="仿宋_GB2312" w:cs="仿宋_GB2312"/>
                <w:b w:val="0"/>
                <w:bCs/>
                <w:sz w:val="24"/>
                <w:szCs w:val="24"/>
                <w:lang w:val="en-US" w:eastAsia="zh-CN"/>
              </w:rPr>
            </w:pPr>
            <w:r>
              <w:rPr>
                <w:rFonts w:hint="eastAsia" w:ascii="仿宋_GB2312" w:hAnsi="仿宋_GB2312" w:eastAsia="仿宋_GB2312" w:cs="仿宋_GB2312"/>
                <w:b w:val="0"/>
                <w:bCs/>
                <w:sz w:val="24"/>
                <w:szCs w:val="24"/>
              </w:rPr>
              <w:t>总价：</w:t>
            </w:r>
            <w:r>
              <w:rPr>
                <w:rFonts w:hint="eastAsia" w:ascii="仿宋_GB2312" w:hAnsi="仿宋_GB2312" w:eastAsia="仿宋_GB2312" w:cs="仿宋_GB2312"/>
                <w:b w:val="0"/>
                <w:bCs/>
                <w:sz w:val="24"/>
                <w:szCs w:val="24"/>
                <w:u w:val="none"/>
                <w:lang w:val="en-US" w:eastAsia="zh-CN"/>
              </w:rPr>
              <w:t xml:space="preserve"> </w:t>
            </w:r>
            <w:r>
              <w:rPr>
                <w:rFonts w:hint="eastAsia" w:ascii="仿宋_GB2312" w:hAnsi="仿宋_GB2312" w:eastAsia="仿宋_GB2312" w:cs="仿宋_GB2312"/>
                <w:b w:val="0"/>
                <w:bCs/>
                <w:sz w:val="24"/>
                <w:szCs w:val="24"/>
                <w:u w:val="single"/>
              </w:rPr>
              <w:t>（小写）</w:t>
            </w:r>
            <w:r>
              <w:rPr>
                <w:rFonts w:hint="eastAsia" w:ascii="仿宋_GB2312" w:hAnsi="仿宋_GB2312" w:eastAsia="仿宋_GB2312" w:cs="仿宋_GB2312"/>
                <w:b w:val="0"/>
                <w:bCs/>
                <w:sz w:val="24"/>
                <w:szCs w:val="24"/>
                <w:u w:val="single"/>
                <w:lang w:val="en-US" w:eastAsia="zh-CN"/>
              </w:rPr>
              <w:t>¥</w:t>
            </w:r>
            <w:r>
              <w:rPr>
                <w:rFonts w:hint="eastAsia" w:ascii="仿宋_GB2312" w:hAnsi="仿宋_GB2312" w:eastAsia="仿宋_GB2312" w:cs="仿宋_GB2312"/>
                <w:b w:val="0"/>
                <w:bCs/>
                <w:sz w:val="24"/>
                <w:szCs w:val="24"/>
                <w:u w:val="single"/>
              </w:rPr>
              <w:t xml:space="preserve">         </w:t>
            </w:r>
            <w:r>
              <w:rPr>
                <w:rFonts w:hint="eastAsia" w:ascii="仿宋_GB2312" w:hAnsi="仿宋_GB2312" w:eastAsia="仿宋_GB2312" w:cs="仿宋_GB2312"/>
                <w:b w:val="0"/>
                <w:bCs/>
                <w:sz w:val="24"/>
                <w:szCs w:val="24"/>
              </w:rPr>
              <w:t>元    （大写）</w:t>
            </w:r>
            <w:r>
              <w:rPr>
                <w:rFonts w:hint="eastAsia" w:ascii="仿宋_GB2312" w:hAnsi="仿宋_GB2312" w:eastAsia="仿宋_GB2312" w:cs="仿宋_GB2312"/>
                <w:b w:val="0"/>
                <w:bCs/>
                <w:sz w:val="24"/>
                <w:szCs w:val="24"/>
                <w:u w:val="single"/>
              </w:rPr>
              <w:t>人民币</w:t>
            </w:r>
            <w:r>
              <w:rPr>
                <w:rFonts w:hint="eastAsia" w:ascii="仿宋_GB2312" w:hAnsi="仿宋_GB2312" w:eastAsia="仿宋_GB2312" w:cs="仿宋_GB2312"/>
                <w:b w:val="0"/>
                <w:bCs/>
                <w:sz w:val="24"/>
                <w:szCs w:val="24"/>
                <w:u w:val="single"/>
                <w:lang w:val="en-US" w:eastAsia="zh-CN"/>
              </w:rPr>
              <w:t xml:space="preserve">            </w:t>
            </w:r>
          </w:p>
        </w:tc>
      </w:tr>
    </w:tbl>
    <w:p w14:paraId="54D34320">
      <w:pPr>
        <w:keepNext w:val="0"/>
        <w:keepLines w:val="0"/>
        <w:pageBreakBefore w:val="0"/>
        <w:widowControl w:val="0"/>
        <w:tabs>
          <w:tab w:val="left" w:pos="1155"/>
        </w:tabs>
        <w:wordWrap/>
        <w:overflowPunct/>
        <w:topLinePunct w:val="0"/>
        <w:autoSpaceDE w:val="0"/>
        <w:autoSpaceDN w:val="0"/>
        <w:bidi w:val="0"/>
        <w:adjustRightInd/>
        <w:snapToGrid/>
        <w:spacing w:before="0" w:line="360" w:lineRule="auto"/>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二、服务期</w:t>
      </w:r>
    </w:p>
    <w:p w14:paraId="1B96F5BE">
      <w:pPr>
        <w:keepNext w:val="0"/>
        <w:keepLines w:val="0"/>
        <w:pageBreakBefore w:val="0"/>
        <w:widowControl w:val="0"/>
        <w:wordWrap/>
        <w:overflowPunct/>
        <w:topLinePunct w:val="0"/>
        <w:autoSpaceDE w:val="0"/>
        <w:autoSpaceDN w:val="0"/>
        <w:bidi w:val="0"/>
        <w:adjustRightInd/>
        <w:snapToGrid/>
        <w:spacing w:before="0" w:line="360" w:lineRule="auto"/>
        <w:ind w:firstLine="602"/>
        <w:contextualSpacing/>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自合同签订之日起</w:t>
      </w:r>
      <w:r>
        <w:rPr>
          <w:rFonts w:hint="eastAsia" w:ascii="仿宋_GB2312" w:hAnsi="仿宋_GB2312" w:eastAsia="仿宋_GB2312" w:cs="仿宋_GB2312"/>
          <w:b w:val="0"/>
          <w:bCs/>
          <w:sz w:val="24"/>
          <w:szCs w:val="24"/>
          <w:lang w:val="en-US" w:eastAsia="zh-CN"/>
        </w:rPr>
        <w:t>一</w:t>
      </w:r>
      <w:r>
        <w:rPr>
          <w:rFonts w:hint="eastAsia" w:ascii="仿宋_GB2312" w:hAnsi="仿宋_GB2312" w:eastAsia="仿宋_GB2312" w:cs="仿宋_GB2312"/>
          <w:b w:val="0"/>
          <w:bCs/>
          <w:sz w:val="24"/>
          <w:szCs w:val="24"/>
        </w:rPr>
        <w:t>年内。</w:t>
      </w:r>
    </w:p>
    <w:p w14:paraId="0F7F5C44">
      <w:pPr>
        <w:keepNext w:val="0"/>
        <w:keepLines w:val="0"/>
        <w:pageBreakBefore w:val="0"/>
        <w:widowControl w:val="0"/>
        <w:tabs>
          <w:tab w:val="left" w:pos="5971"/>
        </w:tabs>
        <w:kinsoku w:val="0"/>
        <w:wordWrap/>
        <w:overflowPunct/>
        <w:topLinePunct w:val="0"/>
        <w:autoSpaceDE w:val="0"/>
        <w:autoSpaceDN w:val="0"/>
        <w:bidi w:val="0"/>
        <w:adjustRightInd/>
        <w:snapToGrid/>
        <w:spacing w:before="0" w:line="360" w:lineRule="auto"/>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三、服务地点</w:t>
      </w:r>
    </w:p>
    <w:p w14:paraId="3BB2E916">
      <w:pPr>
        <w:keepNext w:val="0"/>
        <w:keepLines w:val="0"/>
        <w:pageBreakBefore w:val="0"/>
        <w:widowControl w:val="0"/>
        <w:tabs>
          <w:tab w:val="left" w:pos="5971"/>
        </w:tabs>
        <w:kinsoku w:val="0"/>
        <w:wordWrap/>
        <w:overflowPunct/>
        <w:topLinePunct w:val="0"/>
        <w:autoSpaceDE w:val="0"/>
        <w:autoSpaceDN w:val="0"/>
        <w:bidi w:val="0"/>
        <w:adjustRightInd/>
        <w:snapToGrid/>
        <w:spacing w:before="0" w:line="360" w:lineRule="auto"/>
        <w:ind w:firstLine="602"/>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服务地点：甲方指定地点。</w:t>
      </w:r>
    </w:p>
    <w:p w14:paraId="7354B5E4">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四、合同价款</w:t>
      </w:r>
    </w:p>
    <w:p w14:paraId="0ACC5B17">
      <w:pPr>
        <w:keepNext w:val="0"/>
        <w:keepLines w:val="0"/>
        <w:pageBreakBefore w:val="0"/>
        <w:widowControl w:val="0"/>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（一）合同最高执行总价人民币：（小写）</w:t>
      </w:r>
      <w:r>
        <w:rPr>
          <w:rFonts w:hint="eastAsia" w:ascii="仿宋_GB2312" w:hAnsi="仿宋_GB2312" w:eastAsia="仿宋_GB2312" w:cs="仿宋_GB2312"/>
          <w:b w:val="0"/>
          <w:bCs/>
          <w:sz w:val="24"/>
          <w:szCs w:val="24"/>
          <w:u w:val="single"/>
        </w:rPr>
        <w:t xml:space="preserve">    </w:t>
      </w:r>
      <w:r>
        <w:rPr>
          <w:rFonts w:hint="eastAsia" w:ascii="仿宋_GB2312" w:hAnsi="仿宋_GB2312" w:eastAsia="仿宋_GB2312" w:cs="仿宋_GB2312"/>
          <w:b w:val="0"/>
          <w:bCs/>
          <w:sz w:val="24"/>
          <w:szCs w:val="24"/>
          <w:u w:val="single"/>
          <w:lang w:val="en-US" w:eastAsia="zh-CN"/>
        </w:rPr>
        <w:t xml:space="preserve">          </w:t>
      </w:r>
      <w:r>
        <w:rPr>
          <w:rFonts w:hint="eastAsia" w:ascii="仿宋_GB2312" w:hAnsi="仿宋_GB2312" w:eastAsia="仿宋_GB2312" w:cs="仿宋_GB2312"/>
          <w:b w:val="0"/>
          <w:bCs/>
          <w:sz w:val="24"/>
          <w:szCs w:val="24"/>
          <w:u w:val="single"/>
        </w:rPr>
        <w:t xml:space="preserve"> </w:t>
      </w:r>
      <w:r>
        <w:rPr>
          <w:rFonts w:hint="eastAsia" w:ascii="仿宋_GB2312" w:hAnsi="仿宋_GB2312" w:eastAsia="仿宋_GB2312" w:cs="仿宋_GB2312"/>
          <w:b w:val="0"/>
          <w:bCs/>
          <w:sz w:val="24"/>
          <w:szCs w:val="24"/>
        </w:rPr>
        <w:t>（大写）</w:t>
      </w:r>
      <w:r>
        <w:rPr>
          <w:rFonts w:hint="eastAsia" w:ascii="仿宋_GB2312" w:hAnsi="仿宋_GB2312" w:eastAsia="仿宋_GB2312" w:cs="仿宋_GB2312"/>
          <w:b w:val="0"/>
          <w:bCs/>
          <w:sz w:val="24"/>
          <w:szCs w:val="24"/>
          <w:u w:val="single"/>
        </w:rPr>
        <w:t xml:space="preserve">            </w:t>
      </w:r>
      <w:r>
        <w:rPr>
          <w:rFonts w:hint="eastAsia" w:ascii="仿宋_GB2312" w:hAnsi="仿宋_GB2312" w:eastAsia="仿宋_GB2312" w:cs="仿宋_GB2312"/>
          <w:b w:val="0"/>
          <w:bCs/>
          <w:sz w:val="24"/>
          <w:szCs w:val="24"/>
        </w:rPr>
        <w:t>。</w:t>
      </w:r>
    </w:p>
    <w:p w14:paraId="7D6E3BB4">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（二）合同</w:t>
      </w:r>
      <w:r>
        <w:rPr>
          <w:rFonts w:hint="eastAsia" w:ascii="仿宋_GB2312" w:hAnsi="仿宋_GB2312" w:eastAsia="仿宋_GB2312" w:cs="仿宋_GB2312"/>
          <w:b w:val="0"/>
          <w:bCs/>
          <w:sz w:val="24"/>
          <w:szCs w:val="24"/>
          <w:lang w:val="en-US" w:eastAsia="zh-CN"/>
        </w:rPr>
        <w:t>价款</w:t>
      </w:r>
      <w:r>
        <w:rPr>
          <w:rFonts w:hint="eastAsia" w:ascii="仿宋_GB2312" w:hAnsi="仿宋_GB2312" w:eastAsia="仿宋_GB2312" w:cs="仿宋_GB2312"/>
          <w:b w:val="0"/>
          <w:bCs/>
          <w:sz w:val="24"/>
          <w:szCs w:val="24"/>
        </w:rPr>
        <w:t>包括：服务响应报价为提供</w:t>
      </w:r>
      <w:r>
        <w:rPr>
          <w:rFonts w:hint="eastAsia" w:ascii="仿宋_GB2312" w:hAnsi="仿宋_GB2312" w:eastAsia="仿宋_GB2312" w:cs="仿宋_GB2312"/>
          <w:b w:val="0"/>
          <w:bCs/>
          <w:sz w:val="24"/>
          <w:szCs w:val="24"/>
          <w:lang w:val="en-US" w:eastAsia="zh-CN"/>
        </w:rPr>
        <w:t>招标</w:t>
      </w:r>
      <w:r>
        <w:rPr>
          <w:rFonts w:hint="eastAsia" w:ascii="仿宋_GB2312" w:hAnsi="仿宋_GB2312" w:eastAsia="仿宋_GB2312" w:cs="仿宋_GB2312"/>
          <w:b w:val="0"/>
          <w:bCs/>
          <w:sz w:val="24"/>
          <w:szCs w:val="24"/>
        </w:rPr>
        <w:t>文件要求服务的</w:t>
      </w:r>
      <w:r>
        <w:rPr>
          <w:rFonts w:hint="eastAsia" w:ascii="仿宋_GB2312" w:hAnsi="仿宋_GB2312" w:eastAsia="仿宋_GB2312" w:cs="仿宋_GB2312"/>
          <w:b w:val="0"/>
          <w:bCs/>
          <w:sz w:val="24"/>
          <w:szCs w:val="24"/>
          <w:lang w:eastAsia="zh-CN"/>
        </w:rPr>
        <w:t>全部</w:t>
      </w:r>
      <w:r>
        <w:rPr>
          <w:rFonts w:hint="eastAsia" w:ascii="仿宋_GB2312" w:hAnsi="仿宋_GB2312" w:eastAsia="仿宋_GB2312" w:cs="仿宋_GB2312"/>
          <w:b w:val="0"/>
          <w:bCs/>
          <w:sz w:val="24"/>
          <w:szCs w:val="24"/>
        </w:rPr>
        <w:t>费用，包括但不限于进行人员工资、备品备件等其他相关费用。</w:t>
      </w:r>
    </w:p>
    <w:p w14:paraId="2788B6F0">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（三）合同金额一次性包死，不受市场价格变化等因素的影响。</w:t>
      </w:r>
    </w:p>
    <w:p w14:paraId="08E8269F">
      <w:pPr>
        <w:keepNext w:val="0"/>
        <w:keepLines w:val="0"/>
        <w:pageBreakBefore w:val="0"/>
        <w:widowControl w:val="0"/>
        <w:wordWrap/>
        <w:overflowPunct/>
        <w:topLinePunct w:val="0"/>
        <w:autoSpaceDE w:val="0"/>
        <w:autoSpaceDN w:val="0"/>
        <w:bidi w:val="0"/>
        <w:adjustRightInd/>
        <w:snapToGrid/>
        <w:spacing w:before="0" w:line="360" w:lineRule="auto"/>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五、款项结算：</w:t>
      </w:r>
    </w:p>
    <w:p w14:paraId="4930DDEA">
      <w:pPr>
        <w:spacing w:line="360" w:lineRule="auto"/>
        <w:ind w:firstLine="480" w:firstLineChars="200"/>
        <w:rPr>
          <w:rFonts w:hint="eastAsia" w:ascii="仿宋_GB2312" w:hAnsi="仿宋_GB2312" w:eastAsia="仿宋_GB2312" w:cs="仿宋_GB2312"/>
          <w:b w:val="0"/>
          <w:bCs/>
          <w:kern w:val="36"/>
          <w:sz w:val="24"/>
          <w:szCs w:val="24"/>
          <w:lang w:val="en-US" w:eastAsia="zh-CN"/>
        </w:rPr>
      </w:pPr>
      <w:r>
        <w:rPr>
          <w:rFonts w:hint="eastAsia" w:ascii="仿宋_GB2312" w:hAnsi="仿宋_GB2312" w:eastAsia="仿宋_GB2312" w:cs="仿宋_GB2312"/>
          <w:b w:val="0"/>
          <w:bCs/>
          <w:kern w:val="36"/>
          <w:sz w:val="24"/>
          <w:szCs w:val="24"/>
        </w:rPr>
        <w:t>（一）</w:t>
      </w:r>
      <w:r>
        <w:rPr>
          <w:rFonts w:hint="eastAsia" w:ascii="仿宋_GB2312" w:hAnsi="仿宋_GB2312" w:eastAsia="仿宋_GB2312" w:cs="仿宋_GB2312"/>
          <w:b w:val="0"/>
          <w:bCs/>
          <w:kern w:val="36"/>
          <w:sz w:val="24"/>
          <w:szCs w:val="24"/>
          <w:lang w:val="en-US" w:eastAsia="zh-CN"/>
        </w:rPr>
        <w:t>支付时间：合同签署后，服务每满半年支付合同总款项二分之一金额，合同期满设备运行正常付清余款。</w:t>
      </w:r>
    </w:p>
    <w:p w14:paraId="16A701B9">
      <w:pPr>
        <w:keepNext w:val="0"/>
        <w:keepLines w:val="0"/>
        <w:pageBreakBefore w:val="0"/>
        <w:widowControl w:val="0"/>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kern w:val="36"/>
          <w:sz w:val="24"/>
          <w:szCs w:val="24"/>
          <w:highlight w:val="none"/>
          <w:lang w:val="en-US" w:eastAsia="zh-CN"/>
        </w:rPr>
      </w:pPr>
      <w:r>
        <w:rPr>
          <w:rFonts w:hint="eastAsia" w:ascii="仿宋_GB2312" w:hAnsi="仿宋_GB2312" w:eastAsia="仿宋_GB2312" w:cs="仿宋_GB2312"/>
          <w:b w:val="0"/>
          <w:bCs/>
          <w:kern w:val="36"/>
          <w:sz w:val="24"/>
          <w:szCs w:val="24"/>
          <w:lang w:val="en-US" w:eastAsia="zh-CN"/>
        </w:rPr>
        <w:t>（二）</w:t>
      </w:r>
      <w:r>
        <w:rPr>
          <w:rFonts w:hint="eastAsia" w:ascii="仿宋_GB2312" w:hAnsi="仿宋_GB2312" w:eastAsia="仿宋_GB2312" w:cs="仿宋_GB2312"/>
          <w:b w:val="0"/>
          <w:bCs/>
          <w:kern w:val="36"/>
          <w:sz w:val="24"/>
          <w:szCs w:val="24"/>
        </w:rPr>
        <w:t>付款方式：</w:t>
      </w:r>
      <w:r>
        <w:rPr>
          <w:rFonts w:ascii="仿宋_GB2312" w:hAnsi="仿宋_GB2312" w:eastAsia="仿宋_GB2312" w:cs="仿宋_GB2312"/>
          <w:highlight w:val="none"/>
        </w:rPr>
        <w:t>甲方收到乙方提交的申请付款手续及等额发票后，达到付款条件起30日内，支付合同总金额的</w:t>
      </w:r>
      <w:r>
        <w:rPr>
          <w:rFonts w:hint="eastAsia" w:ascii="仿宋_GB2312" w:hAnsi="仿宋_GB2312" w:eastAsia="仿宋_GB2312" w:cs="仿宋_GB2312"/>
          <w:highlight w:val="none"/>
          <w:lang w:val="en-US" w:eastAsia="zh-CN"/>
        </w:rPr>
        <w:t>50</w:t>
      </w:r>
      <w:r>
        <w:rPr>
          <w:rFonts w:ascii="仿宋_GB2312" w:hAnsi="仿宋_GB2312" w:eastAsia="仿宋_GB2312" w:cs="仿宋_GB2312"/>
          <w:highlight w:val="none"/>
        </w:rPr>
        <w:t>%。</w:t>
      </w:r>
    </w:p>
    <w:p w14:paraId="7302E82D">
      <w:pPr>
        <w:spacing w:line="360" w:lineRule="auto"/>
        <w:ind w:firstLine="480" w:firstLineChars="200"/>
        <w:rPr>
          <w:rFonts w:hint="eastAsia" w:ascii="仿宋_GB2312" w:hAnsi="仿宋_GB2312" w:eastAsia="仿宋_GB2312" w:cs="仿宋_GB2312"/>
          <w:b w:val="0"/>
          <w:bCs/>
          <w:kern w:val="36"/>
          <w:sz w:val="24"/>
          <w:szCs w:val="24"/>
        </w:rPr>
      </w:pPr>
      <w:r>
        <w:rPr>
          <w:rFonts w:hint="eastAsia" w:ascii="仿宋_GB2312" w:hAnsi="仿宋_GB2312" w:eastAsia="仿宋_GB2312" w:cs="仿宋_GB2312"/>
          <w:b w:val="0"/>
          <w:bCs/>
          <w:kern w:val="36"/>
          <w:sz w:val="24"/>
          <w:szCs w:val="24"/>
          <w:lang w:eastAsia="zh-CN"/>
        </w:rPr>
        <w:t>（</w:t>
      </w:r>
      <w:r>
        <w:rPr>
          <w:rFonts w:hint="eastAsia" w:ascii="仿宋_GB2312" w:hAnsi="仿宋_GB2312" w:eastAsia="仿宋_GB2312" w:cs="仿宋_GB2312"/>
          <w:b w:val="0"/>
          <w:bCs/>
          <w:kern w:val="36"/>
          <w:sz w:val="24"/>
          <w:szCs w:val="24"/>
          <w:lang w:val="en-US" w:eastAsia="zh-CN"/>
        </w:rPr>
        <w:t>三</w:t>
      </w:r>
      <w:r>
        <w:rPr>
          <w:rFonts w:hint="eastAsia" w:ascii="仿宋_GB2312" w:hAnsi="仿宋_GB2312" w:eastAsia="仿宋_GB2312" w:cs="仿宋_GB2312"/>
          <w:b w:val="0"/>
          <w:bCs/>
          <w:kern w:val="36"/>
          <w:sz w:val="24"/>
          <w:szCs w:val="24"/>
          <w:lang w:eastAsia="zh-CN"/>
        </w:rPr>
        <w:t>）</w:t>
      </w:r>
      <w:r>
        <w:rPr>
          <w:rFonts w:hint="eastAsia" w:ascii="仿宋_GB2312" w:hAnsi="仿宋_GB2312" w:eastAsia="仿宋_GB2312" w:cs="仿宋_GB2312"/>
          <w:b w:val="0"/>
          <w:bCs/>
          <w:kern w:val="36"/>
          <w:sz w:val="24"/>
          <w:szCs w:val="24"/>
        </w:rPr>
        <w:t>支付方式：银行转账。</w:t>
      </w:r>
    </w:p>
    <w:p w14:paraId="01032DB5">
      <w:pPr>
        <w:spacing w:line="360" w:lineRule="auto"/>
        <w:ind w:firstLine="480" w:firstLineChars="200"/>
        <w:rPr>
          <w:rFonts w:hint="eastAsia" w:ascii="仿宋_GB2312" w:hAnsi="仿宋_GB2312" w:eastAsia="仿宋_GB2312" w:cs="仿宋_GB2312"/>
          <w:b w:val="0"/>
          <w:bCs/>
          <w:kern w:val="36"/>
          <w:sz w:val="24"/>
          <w:szCs w:val="24"/>
        </w:rPr>
      </w:pPr>
      <w:r>
        <w:rPr>
          <w:rFonts w:hint="eastAsia" w:ascii="仿宋_GB2312" w:hAnsi="仿宋_GB2312" w:eastAsia="仿宋_GB2312" w:cs="仿宋_GB2312"/>
          <w:b w:val="0"/>
          <w:bCs/>
          <w:kern w:val="36"/>
          <w:sz w:val="24"/>
          <w:szCs w:val="24"/>
        </w:rPr>
        <w:t>乙方确认以下信息为收款信息：</w:t>
      </w:r>
    </w:p>
    <w:p w14:paraId="6AA852A0">
      <w:pPr>
        <w:spacing w:line="360" w:lineRule="auto"/>
        <w:ind w:firstLine="480" w:firstLineChars="200"/>
        <w:rPr>
          <w:rFonts w:hint="eastAsia" w:ascii="仿宋_GB2312" w:hAnsi="仿宋_GB2312" w:eastAsia="仿宋_GB2312" w:cs="仿宋_GB2312"/>
          <w:b w:val="0"/>
          <w:bCs/>
          <w:kern w:val="36"/>
          <w:sz w:val="24"/>
          <w:szCs w:val="24"/>
        </w:rPr>
      </w:pPr>
      <w:r>
        <w:rPr>
          <w:rFonts w:hint="eastAsia" w:ascii="仿宋_GB2312" w:hAnsi="仿宋_GB2312" w:eastAsia="仿宋_GB2312" w:cs="仿宋_GB2312"/>
          <w:b w:val="0"/>
          <w:bCs/>
          <w:kern w:val="36"/>
          <w:sz w:val="24"/>
          <w:szCs w:val="24"/>
        </w:rPr>
        <w:t>开户名：</w:t>
      </w:r>
    </w:p>
    <w:p w14:paraId="6DC5651A">
      <w:pPr>
        <w:spacing w:line="360" w:lineRule="auto"/>
        <w:ind w:firstLine="480" w:firstLineChars="200"/>
        <w:rPr>
          <w:rFonts w:hint="eastAsia" w:ascii="仿宋_GB2312" w:hAnsi="仿宋_GB2312" w:eastAsia="仿宋_GB2312" w:cs="仿宋_GB2312"/>
          <w:b w:val="0"/>
          <w:bCs/>
          <w:kern w:val="36"/>
          <w:sz w:val="24"/>
          <w:szCs w:val="24"/>
        </w:rPr>
      </w:pPr>
      <w:r>
        <w:rPr>
          <w:rFonts w:hint="eastAsia" w:ascii="仿宋_GB2312" w:hAnsi="仿宋_GB2312" w:eastAsia="仿宋_GB2312" w:cs="仿宋_GB2312"/>
          <w:b w:val="0"/>
          <w:bCs/>
          <w:kern w:val="36"/>
          <w:sz w:val="24"/>
          <w:szCs w:val="24"/>
        </w:rPr>
        <w:t>开户行：</w:t>
      </w:r>
    </w:p>
    <w:p w14:paraId="592834CA">
      <w:pPr>
        <w:spacing w:line="360" w:lineRule="auto"/>
        <w:ind w:firstLine="470" w:firstLineChars="196"/>
        <w:rPr>
          <w:rFonts w:hint="eastAsia" w:ascii="仿宋_GB2312" w:hAnsi="仿宋_GB2312" w:eastAsia="仿宋_GB2312" w:cs="仿宋_GB2312"/>
          <w:b w:val="0"/>
          <w:bCs/>
          <w:kern w:val="36"/>
          <w:sz w:val="24"/>
          <w:szCs w:val="24"/>
        </w:rPr>
      </w:pPr>
      <w:r>
        <w:rPr>
          <w:rFonts w:hint="eastAsia" w:ascii="仿宋_GB2312" w:hAnsi="仿宋_GB2312" w:eastAsia="仿宋_GB2312" w:cs="仿宋_GB2312"/>
          <w:b w:val="0"/>
          <w:bCs/>
          <w:kern w:val="36"/>
          <w:sz w:val="24"/>
          <w:szCs w:val="24"/>
        </w:rPr>
        <w:t>账号：</w:t>
      </w:r>
    </w:p>
    <w:p w14:paraId="41C14A86">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 xml:space="preserve">五、双方的权利和义务： </w:t>
      </w:r>
    </w:p>
    <w:p w14:paraId="63B15029">
      <w:pPr>
        <w:keepNext w:val="0"/>
        <w:keepLines w:val="0"/>
        <w:pageBreakBefore w:val="0"/>
        <w:widowControl w:val="0"/>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（一）甲方的权利和义务：</w:t>
      </w:r>
    </w:p>
    <w:p w14:paraId="50895EB5">
      <w:pPr>
        <w:spacing w:line="360" w:lineRule="auto"/>
        <w:ind w:firstLine="470" w:firstLineChars="196"/>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1、甲方保证提供给乙方的资料、信息内容合法， 不侵犯第三方的合法权益。如因甲方原因致使乙方遭受第三方追诉的，甲方在过错范围内承担由此给乙方造成的损失，并承担违约责任。</w:t>
      </w:r>
    </w:p>
    <w:p w14:paraId="12846EA7">
      <w:pPr>
        <w:spacing w:line="360" w:lineRule="auto"/>
        <w:ind w:firstLine="470" w:firstLineChars="196"/>
        <w:rPr>
          <w:rFonts w:hint="eastAsia" w:ascii="仿宋_GB2312" w:hAnsi="仿宋_GB2312" w:eastAsia="仿宋_GB2312" w:cs="仿宋_GB2312"/>
          <w:b w:val="0"/>
          <w:bCs/>
          <w:kern w:val="36"/>
          <w:sz w:val="24"/>
          <w:szCs w:val="24"/>
        </w:rPr>
      </w:pPr>
      <w:r>
        <w:rPr>
          <w:rFonts w:hint="eastAsia" w:ascii="仿宋_GB2312" w:hAnsi="仿宋_GB2312" w:eastAsia="仿宋_GB2312" w:cs="仿宋_GB2312"/>
          <w:b w:val="0"/>
          <w:bCs/>
          <w:sz w:val="24"/>
          <w:szCs w:val="24"/>
        </w:rPr>
        <w:t>2、</w:t>
      </w:r>
      <w:r>
        <w:rPr>
          <w:rFonts w:hint="eastAsia" w:ascii="仿宋_GB2312" w:hAnsi="仿宋_GB2312" w:eastAsia="仿宋_GB2312" w:cs="仿宋_GB2312"/>
          <w:b w:val="0"/>
          <w:bCs/>
          <w:kern w:val="36"/>
          <w:sz w:val="24"/>
          <w:szCs w:val="24"/>
        </w:rPr>
        <w:t>由于乙方原因不能按合同约定履约，甲方有权扣留剩余款项，作为对甲方损失的赔偿</w:t>
      </w:r>
      <w:r>
        <w:rPr>
          <w:rFonts w:hint="eastAsia" w:ascii="仿宋_GB2312" w:hAnsi="仿宋_GB2312" w:eastAsia="仿宋_GB2312" w:cs="仿宋_GB2312"/>
          <w:b w:val="0"/>
          <w:bCs/>
          <w:sz w:val="24"/>
          <w:szCs w:val="24"/>
        </w:rPr>
        <w:t>。剩余款项已付或不足以赔偿甲方损失的，由乙方另行支付。</w:t>
      </w:r>
    </w:p>
    <w:p w14:paraId="042D7A7D">
      <w:pPr>
        <w:keepNext w:val="0"/>
        <w:keepLines w:val="0"/>
        <w:pageBreakBefore w:val="0"/>
        <w:widowControl w:val="0"/>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（二）乙方的权利和义务：</w:t>
      </w:r>
    </w:p>
    <w:p w14:paraId="4D05DA96">
      <w:pPr>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1、乙方按照合同约定保证维修后设备完好、接受甲方现场验收。</w:t>
      </w:r>
    </w:p>
    <w:p w14:paraId="7EDA8A89">
      <w:pPr>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2、乙方应保证其具备与维修业务相适应的设施和技术力量，派遣到甲方的维修人员均为原厂认证合格专业工程师，根据中国相关法律规定维修的设备要求维修人员具备特殊资质的，乙方需保证维修人员具备相应资质，并严格遵守中国法律法规、相关技术安全规范与甲方的管理制度进行检查维修工作。</w:t>
      </w:r>
    </w:p>
    <w:p w14:paraId="76659CB6">
      <w:pPr>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3、乙方在维修过程中负责维修工程师、设备及配件的安全，若因乙方原因出现设备及人员安全应由乙方依法承担因此造成的全部损失（但因甲方原因及不可抗力的原因导致的除外），应按照所适用的中国法律的相关规定执行，对甲方全部进行赔偿</w:t>
      </w:r>
    </w:p>
    <w:p w14:paraId="6248AD99">
      <w:pPr>
        <w:pStyle w:val="5"/>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4、乙方承诺提供的配件均经过原厂检测，符合法律法规和质量体系的要求。由乙方提供的配件如为进口配件须提供其相关的海关报关手续，证明其为原厂原装配件，否则视为乙方违约，乙方在合同项下每年向甲方支付的合同金额的30%作为违约金 （包括但不限于：服务延迟、开机率保证、维修质量不能满足合同约定的技术要求等，如有）。</w:t>
      </w:r>
    </w:p>
    <w:p w14:paraId="301B8F51">
      <w:pPr>
        <w:keepNext w:val="0"/>
        <w:keepLines w:val="0"/>
        <w:pageBreakBefore w:val="0"/>
        <w:widowControl w:val="0"/>
        <w:tabs>
          <w:tab w:val="left" w:pos="480"/>
        </w:tabs>
        <w:kinsoku/>
        <w:wordWrap/>
        <w:overflowPunct/>
        <w:topLinePunct w:val="0"/>
        <w:autoSpaceDE w:val="0"/>
        <w:autoSpaceDN w:val="0"/>
        <w:bidi w:val="0"/>
        <w:adjustRightInd/>
        <w:snapToGrid/>
        <w:spacing w:before="0" w:line="360" w:lineRule="auto"/>
        <w:ind w:firstLine="480" w:firstLineChars="200"/>
        <w:textAlignment w:val="auto"/>
        <w:rPr>
          <w:rFonts w:hint="default" w:ascii="仿宋_GB2312" w:hAnsi="仿宋_GB2312" w:eastAsia="仿宋_GB2312" w:cs="仿宋_GB2312"/>
          <w:b w:val="0"/>
          <w:bCs/>
          <w:iCs/>
          <w:sz w:val="24"/>
          <w:szCs w:val="24"/>
          <w:lang w:val="en-US" w:eastAsia="zh-CN"/>
        </w:rPr>
      </w:pPr>
      <w:r>
        <w:rPr>
          <w:rFonts w:hint="eastAsia" w:ascii="仿宋_GB2312" w:hAnsi="仿宋_GB2312" w:eastAsia="仿宋_GB2312" w:cs="仿宋_GB2312"/>
          <w:b w:val="0"/>
          <w:bCs/>
          <w:sz w:val="24"/>
          <w:szCs w:val="24"/>
          <w:lang w:eastAsia="zh-CN"/>
        </w:rPr>
        <w:t>5、</w:t>
      </w:r>
      <w:r>
        <w:rPr>
          <w:rFonts w:hint="eastAsia" w:ascii="仿宋_GB2312" w:hAnsi="仿宋_GB2312" w:eastAsia="仿宋_GB2312" w:cs="仿宋_GB2312"/>
          <w:b w:val="0"/>
          <w:bCs/>
          <w:iCs/>
          <w:sz w:val="24"/>
          <w:szCs w:val="24"/>
          <w:lang w:eastAsia="zh-CN"/>
        </w:rPr>
        <w:t>乙方在人员伤亡方面的责任应按照所适用的中国法律的相关规定执行。</w:t>
      </w:r>
      <w:r>
        <w:rPr>
          <w:rFonts w:hint="eastAsia" w:ascii="仿宋_GB2312" w:hAnsi="仿宋_GB2312" w:eastAsia="仿宋_GB2312" w:cs="仿宋_GB2312"/>
          <w:b w:val="0"/>
          <w:bCs/>
          <w:iCs/>
          <w:sz w:val="24"/>
          <w:szCs w:val="24"/>
          <w:lang w:val="en-US" w:eastAsia="zh-CN"/>
        </w:rPr>
        <w:t>乙方造成甲方、第三方财产损失、人身损害的，由乙方承担赔偿责任，甲方对此不承担任何责任。</w:t>
      </w:r>
    </w:p>
    <w:p w14:paraId="26BEAF80">
      <w:pPr>
        <w:keepNext w:val="0"/>
        <w:keepLines w:val="0"/>
        <w:pageBreakBefore w:val="0"/>
        <w:widowControl w:val="0"/>
        <w:tabs>
          <w:tab w:val="left" w:pos="480"/>
        </w:tabs>
        <w:kinsoku/>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6、乙方不得将本合同全部或部分分包或转包给其他第三方。 (经甲方确认配置中包含的第三方产品或服务以及由乙方关联公司执行售后服务的情形除外）未经甲方书面同意，乙方不能擅自将设备维修的全部或部分工作委托给他人（原本属于第三方厂家维修的除外），否则，甲方有权解除合同，合同自书面解除通知送达乙方之日起解除，乙方向甲方支付合同金额的30%作为违约金乙方按照合同约定保证维修后设备完好、按照甲方要求进行验收接受甲方现场验收乙方在维修过程中负责维修工程师、设备及配件的安全，出现设备及人员安全应由乙方承担后果，应按照所适用的中国法律的相关规定执行，对甲方直接损失的所有赔偿金不得超过本服务合同一年的维修总费用。出现设备及人员安全意外由乙方自行承担后果，由此给甲方造成任何损失的，乙方承担全部责任。</w:t>
      </w:r>
    </w:p>
    <w:p w14:paraId="4AE1AF4D">
      <w:pPr>
        <w:keepNext w:val="0"/>
        <w:keepLines w:val="0"/>
        <w:pageBreakBefore w:val="0"/>
        <w:widowControl w:val="0"/>
        <w:tabs>
          <w:tab w:val="left" w:pos="480"/>
        </w:tabs>
        <w:kinsoku/>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highlight w:val="none"/>
          <w:lang w:eastAsia="zh-CN"/>
        </w:rPr>
      </w:pPr>
      <w:r>
        <w:rPr>
          <w:rFonts w:hint="eastAsia" w:ascii="仿宋_GB2312" w:hAnsi="仿宋_GB2312" w:eastAsia="仿宋_GB2312" w:cs="仿宋_GB2312"/>
          <w:b w:val="0"/>
          <w:bCs/>
          <w:sz w:val="24"/>
          <w:szCs w:val="24"/>
          <w:highlight w:val="none"/>
          <w:lang w:eastAsia="zh-CN"/>
        </w:rPr>
        <w:t>7、为保证甲方设备的正常运行，</w:t>
      </w:r>
      <w:r>
        <w:rPr>
          <w:rFonts w:hint="eastAsia" w:ascii="仿宋_GB2312" w:hAnsi="仿宋_GB2312" w:eastAsia="仿宋_GB2312" w:cs="仿宋_GB2312"/>
          <w:b w:val="0"/>
          <w:bCs/>
          <w:sz w:val="24"/>
          <w:szCs w:val="24"/>
          <w:highlight w:val="none"/>
          <w:lang w:val="en-US" w:eastAsia="zh-CN"/>
        </w:rPr>
        <w:t>乙方</w:t>
      </w:r>
      <w:r>
        <w:rPr>
          <w:rFonts w:hint="eastAsia" w:ascii="仿宋_GB2312" w:hAnsi="仿宋_GB2312" w:eastAsia="仿宋_GB2312" w:cs="仿宋_GB2312"/>
          <w:b w:val="0"/>
          <w:bCs/>
          <w:sz w:val="24"/>
          <w:szCs w:val="24"/>
          <w:highlight w:val="none"/>
          <w:lang w:eastAsia="zh-CN"/>
        </w:rPr>
        <w:t>每年提供4次高级保养（每季度1次），保持设备原厂标准或国家质量计监部门标准，并能提供技术支持专家或原厂技术组长审核合格的保养报告。并能提供技术支持专家或原厂技术组长审核合格的保养报告单；定期的维护保养服务包含但不限于如下项目：设备的安全检查、影像质量检查、设备清洁保养、性能测试及校准、电气环境检测、运行状态检查及相关的临床服务等。保养中需更换的损耗品由</w:t>
      </w:r>
      <w:r>
        <w:rPr>
          <w:rFonts w:hint="eastAsia" w:ascii="仿宋_GB2312" w:hAnsi="仿宋_GB2312" w:eastAsia="仿宋_GB2312" w:cs="仿宋_GB2312"/>
          <w:b w:val="0"/>
          <w:bCs/>
          <w:sz w:val="24"/>
          <w:szCs w:val="24"/>
          <w:highlight w:val="none"/>
          <w:lang w:val="en-US" w:eastAsia="zh-CN"/>
        </w:rPr>
        <w:t>乙方</w:t>
      </w:r>
      <w:r>
        <w:rPr>
          <w:rFonts w:hint="eastAsia" w:ascii="仿宋_GB2312" w:hAnsi="仿宋_GB2312" w:eastAsia="仿宋_GB2312" w:cs="仿宋_GB2312"/>
          <w:b w:val="0"/>
          <w:bCs/>
          <w:sz w:val="24"/>
          <w:szCs w:val="24"/>
          <w:highlight w:val="none"/>
          <w:lang w:eastAsia="zh-CN"/>
        </w:rPr>
        <w:t>免费提供。</w:t>
      </w:r>
    </w:p>
    <w:p w14:paraId="5C738FF2">
      <w:pPr>
        <w:tabs>
          <w:tab w:val="left" w:pos="480"/>
        </w:tabs>
        <w:autoSpaceDE w:val="0"/>
        <w:autoSpaceDN w:val="0"/>
        <w:spacing w:line="360" w:lineRule="auto"/>
        <w:ind w:firstLine="480" w:firstLineChars="200"/>
        <w:rPr>
          <w:rFonts w:hint="eastAsia" w:ascii="仿宋_GB2312" w:hAnsi="仿宋_GB2312" w:eastAsia="仿宋_GB2312" w:cs="仿宋_GB2312"/>
          <w:bCs/>
          <w:sz w:val="24"/>
          <w:szCs w:val="24"/>
          <w:highlight w:val="none"/>
          <w:lang w:val="en-US" w:eastAsia="zh-CN" w:bidi="ar-SA"/>
        </w:rPr>
      </w:pPr>
      <w:r>
        <w:rPr>
          <w:rFonts w:hint="eastAsia" w:ascii="仿宋_GB2312" w:hAnsi="仿宋_GB2312" w:eastAsia="仿宋_GB2312" w:cs="仿宋_GB2312"/>
          <w:bCs/>
          <w:sz w:val="24"/>
          <w:szCs w:val="24"/>
          <w:highlight w:val="none"/>
          <w:lang w:val="en-US" w:eastAsia="zh-CN" w:bidi="ar-SA"/>
        </w:rPr>
        <w:t>8、执行合同期间由甲方每6个月对乙方的维保服务质量进行综合考核，如考核不合格,甲方有权不予支付相关费用也可单方面终止本合同。</w:t>
      </w:r>
    </w:p>
    <w:p w14:paraId="7FADEB41">
      <w:pPr>
        <w:keepNext w:val="0"/>
        <w:keepLines w:val="0"/>
        <w:pageBreakBefore w:val="0"/>
        <w:widowControl w:val="0"/>
        <w:wordWrap/>
        <w:overflowPunct/>
        <w:topLinePunct w:val="0"/>
        <w:autoSpaceDE w:val="0"/>
        <w:autoSpaceDN w:val="0"/>
        <w:bidi w:val="0"/>
        <w:adjustRightInd/>
        <w:snapToGrid/>
        <w:spacing w:before="0" w:line="360" w:lineRule="auto"/>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六、维修服务条件：</w:t>
      </w:r>
    </w:p>
    <w:p w14:paraId="79BD36AC">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维修地点：甲方指定地点。</w:t>
      </w:r>
    </w:p>
    <w:p w14:paraId="018B3C23">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维保时间：</w:t>
      </w:r>
      <w:r>
        <w:rPr>
          <w:rFonts w:hint="eastAsia" w:ascii="仿宋_GB2312" w:hAnsi="仿宋_GB2312" w:eastAsia="仿宋_GB2312" w:cs="仿宋_GB2312"/>
          <w:b w:val="0"/>
          <w:bCs/>
          <w:sz w:val="24"/>
          <w:szCs w:val="24"/>
          <w:lang w:val="en-US" w:eastAsia="zh-CN"/>
        </w:rPr>
        <w:t>一</w:t>
      </w:r>
      <w:r>
        <w:rPr>
          <w:rFonts w:hint="eastAsia" w:ascii="仿宋_GB2312" w:hAnsi="仿宋_GB2312" w:eastAsia="仿宋_GB2312" w:cs="仿宋_GB2312"/>
          <w:b w:val="0"/>
          <w:bCs/>
          <w:sz w:val="24"/>
          <w:szCs w:val="24"/>
          <w:lang w:eastAsia="zh-CN"/>
        </w:rPr>
        <w:t>年（具体参照本维保合同覆盖范围的合同期限）</w:t>
      </w:r>
    </w:p>
    <w:p w14:paraId="645F949F">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 xml:space="preserve">七、运输： </w:t>
      </w:r>
    </w:p>
    <w:p w14:paraId="6F1C8081">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（一）乙方负责相关服务所需备品备件的运输，确保备品备件安全、完整到达服务地点，运杂费用包含在</w:t>
      </w:r>
      <w:bookmarkStart w:id="0" w:name="_Hlk35952336"/>
      <w:bookmarkStart w:id="1" w:name="_Hlk36041536"/>
      <w:r>
        <w:rPr>
          <w:rFonts w:hint="eastAsia" w:ascii="仿宋_GB2312" w:hAnsi="仿宋_GB2312" w:eastAsia="仿宋_GB2312" w:cs="仿宋_GB2312"/>
          <w:b w:val="0"/>
          <w:bCs/>
          <w:sz w:val="24"/>
          <w:szCs w:val="24"/>
          <w:lang w:eastAsia="zh-CN"/>
        </w:rPr>
        <w:t>总价内，包括备品备件从供货地点到使用地点的运输费、保险费、搬运费等全部费用。</w:t>
      </w:r>
    </w:p>
    <w:p w14:paraId="5250F98B">
      <w:pPr>
        <w:keepNext w:val="0"/>
        <w:keepLines w:val="0"/>
        <w:pageBreakBefore w:val="0"/>
        <w:widowControl w:val="0"/>
        <w:wordWrap/>
        <w:overflowPunct/>
        <w:topLinePunct w:val="0"/>
        <w:autoSpaceDE w:val="0"/>
        <w:autoSpaceDN w:val="0"/>
        <w:bidi w:val="0"/>
        <w:adjustRightInd/>
        <w:snapToGrid/>
        <w:spacing w:before="0" w:line="360" w:lineRule="auto"/>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 xml:space="preserve">    （二）合同内包含的一般性问题备品备件在运输、搬运、安装的过</w:t>
      </w:r>
      <w:bookmarkEnd w:id="0"/>
      <w:r>
        <w:rPr>
          <w:rFonts w:hint="eastAsia" w:ascii="仿宋_GB2312" w:hAnsi="仿宋_GB2312" w:eastAsia="仿宋_GB2312" w:cs="仿宋_GB2312"/>
          <w:b w:val="0"/>
          <w:bCs/>
          <w:sz w:val="24"/>
          <w:szCs w:val="24"/>
          <w:lang w:eastAsia="zh-CN"/>
        </w:rPr>
        <w:t>程中，造成甲方损失的，由乙方为甲方于7个工作日内予以修复并不额外收费，不可抗力除外。</w:t>
      </w:r>
    </w:p>
    <w:p w14:paraId="15C6CF89">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（三）出口条款：如乙方因遵守国内、国际外贸规定或海关规定或任何禁运、制裁规定而无法履行本维保合同，则乙方不再承担履行本维保合同的义务。 乙方应当于3个工作日内将无法履行本合同的情况书面通知甲方，充分说明无法履行的理由，接到通知后5日内若该种障碍无法排除合同仍无法履行，则乙方不再承担履行本维保合同的义务，双方协商解除合同事宜</w:t>
      </w:r>
      <w:bookmarkEnd w:id="1"/>
      <w:r>
        <w:rPr>
          <w:rFonts w:hint="eastAsia" w:ascii="仿宋_GB2312" w:hAnsi="仿宋_GB2312" w:eastAsia="仿宋_GB2312" w:cs="仿宋_GB2312"/>
          <w:b w:val="0"/>
          <w:bCs/>
          <w:sz w:val="24"/>
          <w:szCs w:val="24"/>
          <w:lang w:eastAsia="zh-CN"/>
        </w:rPr>
        <w:t>，若需解除合同，甲方按照乙</w:t>
      </w:r>
      <w:bookmarkStart w:id="2" w:name="OLE_LINK16"/>
      <w:bookmarkStart w:id="3" w:name="OLE_LINK17"/>
      <w:r>
        <w:rPr>
          <w:rFonts w:hint="eastAsia" w:ascii="仿宋_GB2312" w:hAnsi="仿宋_GB2312" w:eastAsia="仿宋_GB2312" w:cs="仿宋_GB2312"/>
          <w:b w:val="0"/>
          <w:bCs/>
          <w:sz w:val="24"/>
          <w:szCs w:val="24"/>
          <w:lang w:eastAsia="zh-CN"/>
        </w:rPr>
        <w:t>方已提供服务支</w:t>
      </w:r>
      <w:bookmarkEnd w:id="2"/>
      <w:r>
        <w:rPr>
          <w:rFonts w:hint="eastAsia" w:ascii="仿宋_GB2312" w:hAnsi="仿宋_GB2312" w:eastAsia="仿宋_GB2312" w:cs="仿宋_GB2312"/>
          <w:b w:val="0"/>
          <w:bCs/>
          <w:sz w:val="24"/>
          <w:szCs w:val="24"/>
          <w:lang w:eastAsia="zh-CN"/>
        </w:rPr>
        <w:t>付</w:t>
      </w:r>
      <w:bookmarkEnd w:id="3"/>
      <w:r>
        <w:rPr>
          <w:rFonts w:hint="eastAsia" w:ascii="仿宋_GB2312" w:hAnsi="仿宋_GB2312" w:eastAsia="仿宋_GB2312" w:cs="仿宋_GB2312"/>
          <w:b w:val="0"/>
          <w:bCs/>
          <w:sz w:val="24"/>
          <w:szCs w:val="24"/>
          <w:lang w:eastAsia="zh-CN"/>
        </w:rPr>
        <w:t>相应维修费用，乙方应退还甲方多支付的费用。</w:t>
      </w:r>
    </w:p>
    <w:p w14:paraId="66D74371">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（四）乙方负责所有服务所需备品备件及耗材等的运输。确保备品备件及耗材等安全、完整到达服务地点，运杂费用包含在总价内，包括货物从供货地点到使用地点的运输费、保险费、搬运费等全部费用。</w:t>
      </w:r>
    </w:p>
    <w:p w14:paraId="232B285D">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（五）所有备品备件及耗材等在运输、搬运、安装的过程中，造成甲方损失的，由乙方为甲方修复或更新。</w:t>
      </w:r>
    </w:p>
    <w:p w14:paraId="7410A7AA">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八、服务要求</w:t>
      </w:r>
    </w:p>
    <w:p w14:paraId="4E6CA458">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val="en-US" w:eastAsia="zh-CN"/>
        </w:rPr>
      </w:pPr>
      <w:r>
        <w:rPr>
          <w:rFonts w:hint="eastAsia" w:ascii="仿宋_GB2312" w:hAnsi="仿宋_GB2312" w:eastAsia="仿宋_GB2312" w:cs="仿宋_GB2312"/>
          <w:b w:val="0"/>
          <w:bCs/>
          <w:sz w:val="24"/>
          <w:szCs w:val="24"/>
          <w:lang w:val="en-US" w:eastAsia="zh-CN"/>
        </w:rPr>
        <w:t>详见竞争性磋商文件及响应文件</w:t>
      </w:r>
    </w:p>
    <w:p w14:paraId="577B6615">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九、技术要求</w:t>
      </w:r>
    </w:p>
    <w:p w14:paraId="4E1DA37D">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val="en-US" w:eastAsia="zh-CN"/>
        </w:rPr>
      </w:pPr>
      <w:r>
        <w:rPr>
          <w:rFonts w:hint="eastAsia" w:ascii="仿宋_GB2312" w:hAnsi="仿宋_GB2312" w:eastAsia="仿宋_GB2312" w:cs="仿宋_GB2312"/>
          <w:b w:val="0"/>
          <w:bCs/>
          <w:sz w:val="24"/>
          <w:szCs w:val="24"/>
          <w:lang w:val="en-US" w:eastAsia="zh-CN"/>
        </w:rPr>
        <w:t>详见竞争性磋商文件及响应文件</w:t>
      </w:r>
    </w:p>
    <w:p w14:paraId="428518DD">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十、验收</w:t>
      </w:r>
    </w:p>
    <w:p w14:paraId="3E83ECF6">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（一）维保完成后，由甲乙双方共同验收（</w:t>
      </w:r>
      <w:r>
        <w:rPr>
          <w:rFonts w:hint="eastAsia" w:ascii="仿宋_GB2312" w:hAnsi="仿宋_GB2312" w:eastAsia="仿宋_GB2312" w:cs="仿宋_GB2312"/>
          <w:b w:val="0"/>
          <w:bCs/>
          <w:sz w:val="24"/>
          <w:szCs w:val="24"/>
          <w:lang w:val="en-US" w:eastAsia="zh-CN"/>
        </w:rPr>
        <w:t>验收考核标准，相见附件）</w:t>
      </w:r>
      <w:r>
        <w:rPr>
          <w:rFonts w:hint="eastAsia" w:ascii="仿宋_GB2312" w:hAnsi="仿宋_GB2312" w:eastAsia="仿宋_GB2312" w:cs="仿宋_GB2312"/>
          <w:b w:val="0"/>
          <w:bCs/>
          <w:sz w:val="24"/>
          <w:szCs w:val="24"/>
          <w:lang w:eastAsia="zh-CN"/>
        </w:rPr>
        <w:t>，甲方填写验收合格并作为对乙方服务的认可。</w:t>
      </w:r>
    </w:p>
    <w:p w14:paraId="627BB3DD">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35"/>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（二）乙方向甲方提交设备维修过程中的相关资料及换下的故障配件。</w:t>
      </w:r>
    </w:p>
    <w:p w14:paraId="5A58BA97">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十一、违约责任</w:t>
      </w:r>
    </w:p>
    <w:p w14:paraId="7FC09A38">
      <w:pPr>
        <w:keepNext w:val="0"/>
        <w:keepLines w:val="0"/>
        <w:pageBreakBefore w:val="0"/>
        <w:widowControl w:val="0"/>
        <w:tabs>
          <w:tab w:val="left" w:pos="0"/>
          <w:tab w:val="center" w:pos="4153"/>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（一）按《中华人民共和国民法典》中的相关条款执行。</w:t>
      </w:r>
    </w:p>
    <w:p w14:paraId="4F8E55F1">
      <w:pPr>
        <w:keepNext w:val="0"/>
        <w:keepLines w:val="0"/>
        <w:pageBreakBefore w:val="0"/>
        <w:widowControl w:val="0"/>
        <w:tabs>
          <w:tab w:val="left" w:pos="0"/>
          <w:tab w:val="center" w:pos="4153"/>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二）乙方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并按照合同最高执行总价的</w:t>
      </w:r>
      <w:r>
        <w:rPr>
          <w:rFonts w:hint="eastAsia" w:ascii="仿宋_GB2312" w:hAnsi="仿宋_GB2312" w:eastAsia="仿宋_GB2312" w:cs="仿宋_GB2312"/>
          <w:b w:val="0"/>
          <w:bCs/>
          <w:sz w:val="24"/>
          <w:szCs w:val="24"/>
          <w:highlight w:val="none"/>
        </w:rPr>
        <w:t>30%支付违约金</w:t>
      </w:r>
      <w:r>
        <w:rPr>
          <w:rFonts w:hint="eastAsia" w:ascii="仿宋_GB2312" w:hAnsi="仿宋_GB2312" w:eastAsia="仿宋_GB2312" w:cs="仿宋_GB2312"/>
          <w:b w:val="0"/>
          <w:bCs/>
          <w:sz w:val="24"/>
          <w:szCs w:val="24"/>
        </w:rPr>
        <w:t>，同时按《政府采购法》有关处罚条款报监管机构进行相应的处罚。</w:t>
      </w:r>
    </w:p>
    <w:p w14:paraId="5DC719C0">
      <w:pPr>
        <w:keepNext w:val="0"/>
        <w:keepLines w:val="0"/>
        <w:pageBreakBefore w:val="0"/>
        <w:widowControl w:val="0"/>
        <w:tabs>
          <w:tab w:val="left" w:pos="0"/>
          <w:tab w:val="center" w:pos="4153"/>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kern w:val="36"/>
          <w:sz w:val="24"/>
          <w:szCs w:val="24"/>
          <w:highlight w:val="none"/>
        </w:rPr>
      </w:pPr>
      <w:r>
        <w:rPr>
          <w:rFonts w:hint="eastAsia" w:ascii="仿宋_GB2312" w:hAnsi="仿宋_GB2312" w:eastAsia="仿宋_GB2312" w:cs="仿宋_GB2312"/>
          <w:b w:val="0"/>
          <w:bCs/>
          <w:sz w:val="24"/>
          <w:szCs w:val="24"/>
          <w:highlight w:val="none"/>
        </w:rPr>
        <w:t>（三）服务期内，乙方每推迟或未提供服务1天，支付合同最高执行总价的1%作为违约金。累计超过15天的，视为乙方根本违约，甲方有权单方解除合同（合同自书面解除通知送达乙方之日起解除），乙方应赔偿解除合同给甲方造成的全部损失（包括但不限于重新采购产生的费用、合同未履行导致项目不能按规划提供可能产生的服务费用），</w:t>
      </w:r>
      <w:r>
        <w:rPr>
          <w:rFonts w:hint="eastAsia" w:ascii="仿宋_GB2312" w:hAnsi="仿宋_GB2312" w:eastAsia="仿宋_GB2312" w:cs="仿宋_GB2312"/>
          <w:b w:val="0"/>
          <w:bCs/>
          <w:kern w:val="36"/>
          <w:sz w:val="24"/>
          <w:szCs w:val="24"/>
          <w:highlight w:val="none"/>
        </w:rPr>
        <w:t>乙方应按照合同最高执行总价的30%承担违约金，若违约金不足以弥补甲方损失的，由乙方另行支付。</w:t>
      </w:r>
    </w:p>
    <w:p w14:paraId="2B9FA1D6">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4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四）乙方应严格遵守本合同约定的义务，如乙方在合同服务期内出现超过2次违反本合同义务的情形（不可抗力除外）即视为乙方恶意违约，此时甲方有权解除本合同，合同自甲方书面通知到达乙方时解除，乙方向甲方支付</w:t>
      </w:r>
      <w:r>
        <w:rPr>
          <w:rFonts w:hint="eastAsia" w:ascii="仿宋_GB2312" w:hAnsi="仿宋_GB2312" w:eastAsia="仿宋_GB2312" w:cs="仿宋_GB2312"/>
          <w:b w:val="0"/>
          <w:bCs/>
          <w:sz w:val="24"/>
          <w:szCs w:val="24"/>
          <w:highlight w:val="none"/>
          <w:lang w:eastAsia="zh-CN"/>
        </w:rPr>
        <w:t>合同总价款30%的违约金</w:t>
      </w:r>
      <w:r>
        <w:rPr>
          <w:rFonts w:hint="eastAsia" w:ascii="仿宋_GB2312" w:hAnsi="仿宋_GB2312" w:eastAsia="仿宋_GB2312" w:cs="仿宋_GB2312"/>
          <w:b w:val="0"/>
          <w:bCs/>
          <w:sz w:val="24"/>
          <w:szCs w:val="24"/>
          <w:lang w:eastAsia="zh-CN"/>
        </w:rPr>
        <w:t>。合同终止时，如果甲方已经提前支付全额合同款，则乙方应按比例退还已收取的从合同终止之日至维保合同到期日期间的该医疗设备的服务费用。</w:t>
      </w:r>
    </w:p>
    <w:p w14:paraId="322E17D5">
      <w:pPr>
        <w:keepNext w:val="0"/>
        <w:keepLines w:val="0"/>
        <w:pageBreakBefore w:val="0"/>
        <w:widowControl w:val="0"/>
        <w:tabs>
          <w:tab w:val="left" w:pos="0"/>
          <w:tab w:val="center" w:pos="4153"/>
        </w:tabs>
        <w:wordWrap/>
        <w:overflowPunct/>
        <w:topLinePunct w:val="0"/>
        <w:autoSpaceDE w:val="0"/>
        <w:autoSpaceDN w:val="0"/>
        <w:bidi w:val="0"/>
        <w:adjustRightInd/>
        <w:snapToGrid/>
        <w:spacing w:before="0" w:line="360" w:lineRule="auto"/>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十</w:t>
      </w:r>
      <w:r>
        <w:rPr>
          <w:rFonts w:hint="eastAsia" w:ascii="仿宋_GB2312" w:hAnsi="仿宋_GB2312" w:eastAsia="仿宋_GB2312" w:cs="仿宋_GB2312"/>
          <w:b w:val="0"/>
          <w:bCs/>
          <w:sz w:val="24"/>
          <w:szCs w:val="24"/>
          <w:lang w:val="en-US" w:eastAsia="zh-CN"/>
        </w:rPr>
        <w:t>二</w:t>
      </w:r>
      <w:r>
        <w:rPr>
          <w:rFonts w:hint="eastAsia" w:ascii="仿宋_GB2312" w:hAnsi="仿宋_GB2312" w:eastAsia="仿宋_GB2312" w:cs="仿宋_GB2312"/>
          <w:b w:val="0"/>
          <w:bCs/>
          <w:sz w:val="24"/>
          <w:szCs w:val="24"/>
        </w:rPr>
        <w:t>、合同争议的解决</w:t>
      </w:r>
    </w:p>
    <w:p w14:paraId="2BD23F98">
      <w:pPr>
        <w:pStyle w:val="4"/>
        <w:keepNext w:val="0"/>
        <w:keepLines w:val="0"/>
        <w:pageBreakBefore w:val="0"/>
        <w:widowControl w:val="0"/>
        <w:wordWrap/>
        <w:overflowPunct/>
        <w:topLinePunct w:val="0"/>
        <w:autoSpaceDE w:val="0"/>
        <w:autoSpaceDN w:val="0"/>
        <w:bidi w:val="0"/>
        <w:adjustRightInd/>
        <w:snapToGrid/>
        <w:spacing w:before="0" w:line="360" w:lineRule="auto"/>
        <w:ind w:firstLine="434" w:firstLineChars="181"/>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合同执行中发生争议的，当事人双方应协商解决，无法协商或协商达不成一致时，双方均有权向甲方住所地人民法院提请诉讼。</w:t>
      </w:r>
    </w:p>
    <w:p w14:paraId="6D50F537">
      <w:pPr>
        <w:keepNext w:val="0"/>
        <w:keepLines w:val="0"/>
        <w:pageBreakBefore w:val="0"/>
        <w:widowControl w:val="0"/>
        <w:wordWrap/>
        <w:overflowPunct/>
        <w:topLinePunct w:val="0"/>
        <w:autoSpaceDE w:val="0"/>
        <w:autoSpaceDN w:val="0"/>
        <w:bidi w:val="0"/>
        <w:adjustRightInd/>
        <w:snapToGrid/>
        <w:spacing w:before="0" w:line="360" w:lineRule="auto"/>
        <w:textAlignment w:val="auto"/>
        <w:outlineLvl w:val="9"/>
        <w:rPr>
          <w:rFonts w:hint="eastAsia" w:ascii="仿宋_GB2312" w:hAnsi="仿宋_GB2312" w:eastAsia="仿宋_GB2312" w:cs="仿宋_GB2312"/>
          <w:b w:val="0"/>
          <w:bCs/>
          <w:sz w:val="24"/>
          <w:szCs w:val="24"/>
          <w:highlight w:val="none"/>
        </w:rPr>
      </w:pPr>
      <w:r>
        <w:rPr>
          <w:rFonts w:hint="eastAsia" w:ascii="仿宋_GB2312" w:hAnsi="仿宋_GB2312" w:eastAsia="仿宋_GB2312" w:cs="仿宋_GB2312"/>
          <w:b w:val="0"/>
          <w:bCs/>
          <w:sz w:val="24"/>
          <w:szCs w:val="24"/>
        </w:rPr>
        <w:t>十</w:t>
      </w:r>
      <w:r>
        <w:rPr>
          <w:rFonts w:hint="eastAsia" w:ascii="仿宋_GB2312" w:hAnsi="仿宋_GB2312" w:eastAsia="仿宋_GB2312" w:cs="仿宋_GB2312"/>
          <w:b w:val="0"/>
          <w:bCs/>
          <w:sz w:val="24"/>
          <w:szCs w:val="24"/>
          <w:lang w:val="en-US" w:eastAsia="zh-CN"/>
        </w:rPr>
        <w:t>三</w:t>
      </w:r>
      <w:r>
        <w:rPr>
          <w:rFonts w:hint="eastAsia" w:ascii="仿宋_GB2312" w:hAnsi="仿宋_GB2312" w:eastAsia="仿宋_GB2312" w:cs="仿宋_GB2312"/>
          <w:b w:val="0"/>
          <w:bCs/>
          <w:sz w:val="24"/>
          <w:szCs w:val="24"/>
        </w:rPr>
        <w:t>、合同生效</w:t>
      </w:r>
    </w:p>
    <w:p w14:paraId="09D45764">
      <w:pPr>
        <w:keepNext w:val="0"/>
        <w:keepLines w:val="0"/>
        <w:pageBreakBefore w:val="0"/>
        <w:widowControl w:val="0"/>
        <w:wordWrap/>
        <w:overflowPunct/>
        <w:topLinePunct w:val="0"/>
        <w:autoSpaceDE w:val="0"/>
        <w:autoSpaceDN w:val="0"/>
        <w:bidi w:val="0"/>
        <w:adjustRightInd/>
        <w:snapToGrid/>
        <w:spacing w:before="0" w:line="360" w:lineRule="auto"/>
        <w:ind w:firstLine="480" w:firstLineChars="200"/>
        <w:textAlignment w:val="auto"/>
        <w:outlineLvl w:val="9"/>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highlight w:val="none"/>
        </w:rPr>
        <w:t>合同一式八份，甲方五份、乙方三份，均具有同等法律效力。合同经甲、乙</w:t>
      </w:r>
      <w:r>
        <w:rPr>
          <w:rFonts w:hint="eastAsia" w:ascii="仿宋_GB2312" w:hAnsi="仿宋_GB2312" w:eastAsia="仿宋_GB2312" w:cs="仿宋_GB2312"/>
          <w:b w:val="0"/>
          <w:bCs/>
          <w:sz w:val="24"/>
          <w:szCs w:val="24"/>
          <w:highlight w:val="none"/>
          <w:lang w:eastAsia="zh-CN"/>
        </w:rPr>
        <w:t>双</w:t>
      </w:r>
      <w:r>
        <w:rPr>
          <w:rFonts w:hint="eastAsia" w:ascii="仿宋_GB2312" w:hAnsi="仿宋_GB2312" w:eastAsia="仿宋_GB2312" w:cs="仿宋_GB2312"/>
          <w:b w:val="0"/>
          <w:bCs/>
          <w:sz w:val="24"/>
          <w:szCs w:val="24"/>
          <w:highlight w:val="none"/>
        </w:rPr>
        <w:t>方签字盖章后生效，合同执行完毕后，自动终止（合同的服</w:t>
      </w:r>
      <w:r>
        <w:rPr>
          <w:rFonts w:hint="eastAsia" w:ascii="仿宋_GB2312" w:hAnsi="仿宋_GB2312" w:eastAsia="仿宋_GB2312" w:cs="仿宋_GB2312"/>
          <w:b w:val="0"/>
          <w:bCs/>
          <w:sz w:val="24"/>
          <w:szCs w:val="24"/>
        </w:rPr>
        <w:t>务承诺则长期有效）。</w:t>
      </w:r>
    </w:p>
    <w:p w14:paraId="3E76467C">
      <w:pPr>
        <w:keepNext w:val="0"/>
        <w:keepLines w:val="0"/>
        <w:pageBreakBefore w:val="0"/>
        <w:widowControl w:val="0"/>
        <w:wordWrap/>
        <w:overflowPunct/>
        <w:topLinePunct w:val="0"/>
        <w:autoSpaceDE w:val="0"/>
        <w:autoSpaceDN w:val="0"/>
        <w:bidi w:val="0"/>
        <w:adjustRightInd/>
        <w:snapToGrid/>
        <w:spacing w:before="0" w:line="360" w:lineRule="auto"/>
        <w:textAlignment w:val="auto"/>
        <w:outlineLvl w:val="9"/>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十</w:t>
      </w:r>
      <w:r>
        <w:rPr>
          <w:rFonts w:hint="eastAsia" w:ascii="仿宋_GB2312" w:hAnsi="仿宋_GB2312" w:eastAsia="仿宋_GB2312" w:cs="仿宋_GB2312"/>
          <w:b w:val="0"/>
          <w:bCs/>
          <w:sz w:val="24"/>
          <w:szCs w:val="24"/>
          <w:lang w:val="en-US" w:eastAsia="zh-CN"/>
        </w:rPr>
        <w:t>四</w:t>
      </w:r>
      <w:r>
        <w:rPr>
          <w:rFonts w:hint="eastAsia" w:ascii="仿宋_GB2312" w:hAnsi="仿宋_GB2312" w:eastAsia="仿宋_GB2312" w:cs="仿宋_GB2312"/>
          <w:b w:val="0"/>
          <w:bCs/>
          <w:sz w:val="24"/>
          <w:szCs w:val="24"/>
        </w:rPr>
        <w:t>、其他事项</w:t>
      </w:r>
    </w:p>
    <w:p w14:paraId="51D91445">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（一）</w:t>
      </w:r>
      <w:r>
        <w:rPr>
          <w:rFonts w:hint="eastAsia" w:ascii="仿宋_GB2312" w:hAnsi="仿宋_GB2312" w:eastAsia="仿宋_GB2312" w:cs="仿宋_GB2312"/>
          <w:b w:val="0"/>
          <w:bCs/>
          <w:sz w:val="24"/>
          <w:szCs w:val="24"/>
          <w:lang w:val="en-US" w:eastAsia="zh-CN"/>
        </w:rPr>
        <w:t>招标</w:t>
      </w:r>
      <w:r>
        <w:rPr>
          <w:rFonts w:hint="eastAsia" w:ascii="仿宋_GB2312" w:hAnsi="仿宋_GB2312" w:eastAsia="仿宋_GB2312" w:cs="仿宋_GB2312"/>
          <w:b w:val="0"/>
          <w:bCs/>
          <w:sz w:val="24"/>
          <w:szCs w:val="24"/>
        </w:rPr>
        <w:t>文件、</w:t>
      </w:r>
      <w:r>
        <w:rPr>
          <w:rFonts w:hint="eastAsia" w:ascii="仿宋_GB2312" w:hAnsi="仿宋_GB2312" w:eastAsia="仿宋_GB2312" w:cs="仿宋_GB2312"/>
          <w:b w:val="0"/>
          <w:bCs/>
          <w:sz w:val="24"/>
          <w:szCs w:val="24"/>
          <w:lang w:val="en-US" w:eastAsia="zh-CN"/>
        </w:rPr>
        <w:t>投标</w:t>
      </w:r>
      <w:r>
        <w:rPr>
          <w:rFonts w:hint="eastAsia" w:ascii="仿宋_GB2312" w:hAnsi="仿宋_GB2312" w:eastAsia="仿宋_GB2312" w:cs="仿宋_GB2312"/>
          <w:b w:val="0"/>
          <w:bCs/>
          <w:sz w:val="24"/>
          <w:szCs w:val="24"/>
        </w:rPr>
        <w:t>文件、澄清表（函）、</w:t>
      </w:r>
      <w:r>
        <w:rPr>
          <w:rFonts w:hint="eastAsia" w:ascii="仿宋_GB2312" w:hAnsi="仿宋_GB2312" w:eastAsia="仿宋_GB2312" w:cs="仿宋_GB2312"/>
          <w:b w:val="0"/>
          <w:bCs/>
          <w:sz w:val="24"/>
          <w:szCs w:val="24"/>
          <w:lang w:val="en-US" w:eastAsia="zh-CN"/>
        </w:rPr>
        <w:t>中标</w:t>
      </w:r>
      <w:r>
        <w:rPr>
          <w:rFonts w:hint="eastAsia" w:ascii="仿宋_GB2312" w:hAnsi="仿宋_GB2312" w:eastAsia="仿宋_GB2312" w:cs="仿宋_GB2312"/>
          <w:b w:val="0"/>
          <w:bCs/>
          <w:sz w:val="24"/>
          <w:szCs w:val="24"/>
        </w:rPr>
        <w:t>通知书、合同附件均成为合同不可分割的部分，与本合同具有同等法律效力。</w:t>
      </w:r>
    </w:p>
    <w:p w14:paraId="0C2DAD0E">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（二）合同未尽事宜，由甲、乙双方协商签订补充协议，作为合同的补充，与原合同具有同等法律效力，补充协议与原协议不一致的，以补充协议为准。</w:t>
      </w:r>
    </w:p>
    <w:p w14:paraId="463335FD">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（以下无正文）</w:t>
      </w:r>
    </w:p>
    <w:p w14:paraId="4EC47157">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甲  方（公章）                            乙  方（公章）</w:t>
      </w:r>
    </w:p>
    <w:p w14:paraId="1FF47142">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 xml:space="preserve">单位名称：                                单位名称： </w:t>
      </w:r>
    </w:p>
    <w:p w14:paraId="23113214">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left="6720" w:leftChars="200" w:hanging="6240" w:hangingChars="26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 xml:space="preserve">地  址：                                  地  址： </w:t>
      </w:r>
    </w:p>
    <w:p w14:paraId="032A6A3E">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法定代表人：（签字）                      法定代表人：（签字）</w:t>
      </w:r>
    </w:p>
    <w:p w14:paraId="52394FC0">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代理人：（签字）                          代理人：（签字）</w:t>
      </w:r>
    </w:p>
    <w:p w14:paraId="6BB18F08">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 xml:space="preserve">                                          开户银行：</w:t>
      </w:r>
    </w:p>
    <w:p w14:paraId="71559E32">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 xml:space="preserve">                                          账    号：</w:t>
      </w:r>
    </w:p>
    <w:p w14:paraId="094A51F5">
      <w:pPr>
        <w:keepNext w:val="0"/>
        <w:keepLines w:val="0"/>
        <w:pageBreakBefore w:val="0"/>
        <w:widowControl w:val="0"/>
        <w:tabs>
          <w:tab w:val="left" w:pos="480"/>
        </w:tabs>
        <w:wordWrap/>
        <w:overflowPunct/>
        <w:topLinePunct w:val="0"/>
        <w:autoSpaceDE w:val="0"/>
        <w:autoSpaceDN w:val="0"/>
        <w:bidi w:val="0"/>
        <w:adjustRightInd/>
        <w:snapToGrid/>
        <w:spacing w:before="0" w:line="360" w:lineRule="auto"/>
        <w:ind w:firstLine="480" w:firstLineChars="200"/>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联系电话：                                联系电话：</w:t>
      </w:r>
    </w:p>
    <w:p w14:paraId="78B1FF92">
      <w:pPr>
        <w:pStyle w:val="6"/>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b w:val="0"/>
          <w:bCs/>
          <w:sz w:val="24"/>
          <w:szCs w:val="24"/>
          <w:lang w:eastAsia="zh-CN"/>
        </w:rPr>
        <w:t>签订日期：    年    月   日             签订日期：    年   月   日</w:t>
      </w:r>
    </w:p>
    <w:p w14:paraId="5316995E"/>
    <w:p w14:paraId="42B77631"/>
    <w:p w14:paraId="4D8882F1"/>
    <w:p w14:paraId="5E9C0AB2">
      <w:pPr>
        <w:jc w:val="center"/>
        <w:rPr>
          <w:rFonts w:hint="eastAsia" w:ascii="仿宋_GB2312" w:hAnsi="仿宋_GB2312" w:eastAsia="仿宋_GB2312" w:cs="仿宋_GB2312"/>
          <w:b/>
          <w:bCs/>
          <w:sz w:val="28"/>
          <w:szCs w:val="28"/>
          <w:highlight w:val="yellow"/>
        </w:rPr>
      </w:pPr>
      <w:r>
        <w:rPr>
          <w:rFonts w:hint="eastAsia" w:ascii="仿宋_GB2312" w:hAnsi="仿宋_GB2312" w:eastAsia="仿宋_GB2312" w:cs="仿宋_GB2312"/>
          <w:b/>
          <w:bCs/>
          <w:sz w:val="28"/>
          <w:szCs w:val="28"/>
          <w:lang w:val="en-US" w:eastAsia="zh-CN"/>
        </w:rPr>
        <w:t>附件：</w:t>
      </w:r>
      <w:r>
        <w:rPr>
          <w:rFonts w:hint="eastAsia" w:ascii="仿宋_GB2312" w:hAnsi="仿宋_GB2312" w:eastAsia="仿宋_GB2312" w:cs="仿宋_GB2312"/>
          <w:b/>
          <w:bCs/>
          <w:sz w:val="28"/>
          <w:szCs w:val="28"/>
        </w:rPr>
        <w:t>CT维保服务考核标准</w:t>
      </w:r>
    </w:p>
    <w:tbl>
      <w:tblPr>
        <w:tblStyle w:val="8"/>
        <w:tblW w:w="5160" w:type="pct"/>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3955"/>
        <w:gridCol w:w="722"/>
        <w:gridCol w:w="737"/>
        <w:gridCol w:w="2509"/>
      </w:tblGrid>
      <w:tr w14:paraId="732C3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496" w:type="pct"/>
            <w:noWrap w:val="0"/>
            <w:vAlign w:val="center"/>
          </w:tcPr>
          <w:p w14:paraId="53DB1D3A">
            <w:pPr>
              <w:widowControl w:val="0"/>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考核项目</w:t>
            </w:r>
          </w:p>
        </w:tc>
        <w:tc>
          <w:tcPr>
            <w:tcW w:w="2248" w:type="pct"/>
            <w:noWrap w:val="0"/>
            <w:vAlign w:val="center"/>
          </w:tcPr>
          <w:p w14:paraId="1330C8C6">
            <w:pPr>
              <w:widowControl w:val="0"/>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考核内容及标准</w:t>
            </w:r>
          </w:p>
        </w:tc>
        <w:tc>
          <w:tcPr>
            <w:tcW w:w="410" w:type="pct"/>
            <w:noWrap w:val="0"/>
            <w:vAlign w:val="center"/>
          </w:tcPr>
          <w:p w14:paraId="514EDF99">
            <w:pPr>
              <w:widowControl w:val="0"/>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分值</w:t>
            </w:r>
          </w:p>
        </w:tc>
        <w:tc>
          <w:tcPr>
            <w:tcW w:w="418" w:type="pct"/>
            <w:noWrap w:val="0"/>
            <w:vAlign w:val="center"/>
          </w:tcPr>
          <w:p w14:paraId="6B05C230">
            <w:pPr>
              <w:widowControl w:val="0"/>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考核得分</w:t>
            </w:r>
          </w:p>
        </w:tc>
        <w:tc>
          <w:tcPr>
            <w:tcW w:w="1426" w:type="pct"/>
            <w:noWrap w:val="0"/>
            <w:vAlign w:val="center"/>
          </w:tcPr>
          <w:p w14:paraId="5CA8EF16">
            <w:pPr>
              <w:widowControl w:val="0"/>
              <w:jc w:val="center"/>
              <w:rPr>
                <w:rFonts w:hint="eastAsia" w:ascii="仿宋" w:hAnsi="仿宋" w:eastAsia="仿宋" w:cs="仿宋"/>
                <w:sz w:val="21"/>
                <w:szCs w:val="21"/>
                <w:vertAlign w:val="baseline"/>
                <w:lang w:eastAsia="zh-CN"/>
              </w:rPr>
            </w:pPr>
            <w:r>
              <w:rPr>
                <w:rFonts w:hint="eastAsia" w:ascii="仿宋" w:hAnsi="仿宋" w:eastAsia="仿宋" w:cs="仿宋"/>
                <w:sz w:val="21"/>
                <w:szCs w:val="21"/>
                <w:vertAlign w:val="baseline"/>
                <w:lang w:eastAsia="zh-CN"/>
              </w:rPr>
              <w:t>评分说明</w:t>
            </w:r>
          </w:p>
        </w:tc>
      </w:tr>
      <w:tr w14:paraId="33933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496" w:type="pct"/>
            <w:vMerge w:val="restart"/>
            <w:noWrap w:val="0"/>
            <w:vAlign w:val="center"/>
          </w:tcPr>
          <w:p w14:paraId="718011D7">
            <w:pPr>
              <w:widowControl w:val="0"/>
              <w:jc w:val="both"/>
              <w:rPr>
                <w:rFonts w:hint="eastAsia" w:ascii="仿宋" w:hAnsi="仿宋" w:eastAsia="仿宋" w:cs="仿宋"/>
                <w:sz w:val="21"/>
                <w:szCs w:val="21"/>
                <w:vertAlign w:val="baseline"/>
              </w:rPr>
            </w:pPr>
            <w:r>
              <w:rPr>
                <w:rFonts w:hint="eastAsia" w:ascii="仿宋" w:hAnsi="仿宋" w:eastAsia="仿宋" w:cs="仿宋"/>
                <w:sz w:val="21"/>
                <w:szCs w:val="21"/>
              </w:rPr>
              <w:t>一、响应时间</w:t>
            </w:r>
          </w:p>
        </w:tc>
        <w:tc>
          <w:tcPr>
            <w:tcW w:w="2248" w:type="pct"/>
            <w:noWrap w:val="0"/>
            <w:vAlign w:val="center"/>
          </w:tcPr>
          <w:p w14:paraId="23AB4C9D">
            <w:pPr>
              <w:widowControl w:val="0"/>
              <w:jc w:val="both"/>
              <w:rPr>
                <w:rFonts w:hint="eastAsia" w:ascii="仿宋" w:hAnsi="仿宋" w:eastAsia="仿宋" w:cs="仿宋"/>
                <w:sz w:val="21"/>
                <w:szCs w:val="21"/>
                <w:vertAlign w:val="baseline"/>
                <w:lang w:val="en-US" w:eastAsia="zh-CN"/>
              </w:rPr>
            </w:pPr>
            <w:r>
              <w:rPr>
                <w:rFonts w:hint="eastAsia" w:ascii="仿宋" w:hAnsi="仿宋" w:eastAsia="仿宋" w:cs="仿宋"/>
                <w:sz w:val="21"/>
                <w:szCs w:val="21"/>
              </w:rPr>
              <w:t>1. 具备客户服务专线电话，24小时*365天有</w:t>
            </w:r>
            <w:r>
              <w:rPr>
                <w:rFonts w:hint="eastAsia" w:ascii="仿宋" w:hAnsi="仿宋" w:eastAsia="仿宋" w:cs="仿宋"/>
                <w:sz w:val="21"/>
                <w:szCs w:val="21"/>
                <w:lang w:eastAsia="zh-CN"/>
              </w:rPr>
              <w:t>服务人员</w:t>
            </w:r>
            <w:r>
              <w:rPr>
                <w:rFonts w:hint="eastAsia" w:ascii="仿宋" w:hAnsi="仿宋" w:eastAsia="仿宋" w:cs="仿宋"/>
                <w:sz w:val="21"/>
                <w:szCs w:val="21"/>
              </w:rPr>
              <w:t>接听，接到故障报修电话后，</w:t>
            </w:r>
            <w:r>
              <w:rPr>
                <w:rFonts w:hint="eastAsia" w:ascii="仿宋" w:hAnsi="仿宋" w:eastAsia="仿宋" w:cs="仿宋"/>
                <w:sz w:val="21"/>
                <w:szCs w:val="21"/>
                <w:lang w:val="en-US" w:eastAsia="zh-CN"/>
              </w:rPr>
              <w:t>30min</w:t>
            </w:r>
            <w:r>
              <w:rPr>
                <w:rFonts w:hint="eastAsia" w:ascii="仿宋" w:hAnsi="仿宋" w:eastAsia="仿宋" w:cs="仿宋"/>
                <w:sz w:val="21"/>
                <w:szCs w:val="21"/>
              </w:rPr>
              <w:t>内做出响应，工程师在</w:t>
            </w:r>
            <w:r>
              <w:rPr>
                <w:rFonts w:hint="eastAsia" w:ascii="仿宋" w:hAnsi="仿宋" w:eastAsia="仿宋" w:cs="仿宋"/>
                <w:sz w:val="21"/>
                <w:szCs w:val="21"/>
                <w:lang w:val="en-US" w:eastAsia="zh-CN"/>
              </w:rPr>
              <w:t>8</w:t>
            </w:r>
            <w:r>
              <w:rPr>
                <w:rFonts w:hint="eastAsia" w:ascii="仿宋" w:hAnsi="仿宋" w:eastAsia="仿宋" w:cs="仿宋"/>
                <w:sz w:val="21"/>
                <w:szCs w:val="21"/>
              </w:rPr>
              <w:t>小时内到达现场进行维修</w:t>
            </w:r>
            <w:r>
              <w:rPr>
                <w:rFonts w:hint="eastAsia" w:ascii="仿宋" w:hAnsi="仿宋" w:eastAsia="仿宋" w:cs="仿宋"/>
                <w:sz w:val="21"/>
                <w:szCs w:val="21"/>
                <w:lang w:eastAsia="zh-CN"/>
              </w:rPr>
              <w:t>。</w:t>
            </w:r>
          </w:p>
        </w:tc>
        <w:tc>
          <w:tcPr>
            <w:tcW w:w="410" w:type="pct"/>
            <w:noWrap w:val="0"/>
            <w:vAlign w:val="center"/>
          </w:tcPr>
          <w:p w14:paraId="3B716798">
            <w:pPr>
              <w:widowControl w:val="0"/>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16</w:t>
            </w:r>
          </w:p>
        </w:tc>
        <w:tc>
          <w:tcPr>
            <w:tcW w:w="418" w:type="pct"/>
            <w:noWrap w:val="0"/>
            <w:vAlign w:val="center"/>
          </w:tcPr>
          <w:p w14:paraId="1BB2CF8B">
            <w:pPr>
              <w:widowControl w:val="0"/>
              <w:jc w:val="both"/>
              <w:rPr>
                <w:rFonts w:hint="eastAsia" w:ascii="仿宋" w:hAnsi="仿宋" w:eastAsia="仿宋" w:cs="仿宋"/>
                <w:sz w:val="21"/>
                <w:szCs w:val="21"/>
                <w:vertAlign w:val="baseline"/>
              </w:rPr>
            </w:pPr>
          </w:p>
        </w:tc>
        <w:tc>
          <w:tcPr>
            <w:tcW w:w="1426" w:type="pct"/>
            <w:noWrap w:val="0"/>
            <w:vAlign w:val="center"/>
          </w:tcPr>
          <w:p w14:paraId="6BB446A7">
            <w:pPr>
              <w:widowControl w:val="0"/>
              <w:jc w:val="both"/>
              <w:rPr>
                <w:rFonts w:hint="eastAsia" w:ascii="仿宋" w:hAnsi="仿宋" w:eastAsia="仿宋" w:cs="仿宋"/>
                <w:sz w:val="21"/>
                <w:szCs w:val="21"/>
                <w:vertAlign w:val="baseline"/>
                <w:lang w:eastAsia="zh-CN"/>
              </w:rPr>
            </w:pPr>
            <w:r>
              <w:rPr>
                <w:rFonts w:hint="eastAsia" w:ascii="仿宋" w:hAnsi="仿宋" w:eastAsia="仿宋" w:cs="仿宋"/>
                <w:sz w:val="21"/>
                <w:szCs w:val="21"/>
                <w:lang w:eastAsia="zh-CN"/>
              </w:rPr>
              <w:t>未响应</w:t>
            </w:r>
            <w:r>
              <w:rPr>
                <w:rFonts w:hint="eastAsia" w:ascii="仿宋" w:hAnsi="仿宋" w:eastAsia="仿宋" w:cs="仿宋"/>
                <w:sz w:val="21"/>
                <w:szCs w:val="21"/>
                <w:lang w:val="en-US" w:eastAsia="zh-CN"/>
              </w:rPr>
              <w:t>1次</w:t>
            </w:r>
            <w:r>
              <w:rPr>
                <w:rFonts w:hint="eastAsia" w:ascii="仿宋" w:hAnsi="仿宋" w:eastAsia="仿宋" w:cs="仿宋"/>
                <w:sz w:val="21"/>
                <w:szCs w:val="21"/>
              </w:rPr>
              <w:t>，扣</w:t>
            </w:r>
            <w:r>
              <w:rPr>
                <w:rFonts w:hint="eastAsia" w:ascii="仿宋" w:hAnsi="仿宋" w:eastAsia="仿宋" w:cs="仿宋"/>
                <w:sz w:val="21"/>
                <w:szCs w:val="21"/>
                <w:lang w:val="en-US" w:eastAsia="zh-CN"/>
              </w:rPr>
              <w:t>2</w:t>
            </w:r>
            <w:r>
              <w:rPr>
                <w:rFonts w:hint="eastAsia" w:ascii="仿宋" w:hAnsi="仿宋" w:eastAsia="仿宋" w:cs="仿宋"/>
                <w:sz w:val="21"/>
                <w:szCs w:val="21"/>
              </w:rPr>
              <w:t>分</w:t>
            </w:r>
            <w:r>
              <w:rPr>
                <w:rFonts w:hint="eastAsia" w:ascii="仿宋" w:hAnsi="仿宋" w:eastAsia="仿宋" w:cs="仿宋"/>
                <w:sz w:val="21"/>
                <w:szCs w:val="21"/>
                <w:lang w:eastAsia="zh-CN"/>
              </w:rPr>
              <w:t>；超出响应时间</w:t>
            </w:r>
            <w:r>
              <w:rPr>
                <w:rFonts w:hint="eastAsia" w:ascii="仿宋" w:hAnsi="仿宋" w:eastAsia="仿宋" w:cs="仿宋"/>
                <w:sz w:val="21"/>
                <w:szCs w:val="21"/>
                <w:lang w:val="en-US" w:eastAsia="zh-CN"/>
              </w:rPr>
              <w:t>1次</w:t>
            </w:r>
            <w:r>
              <w:rPr>
                <w:rFonts w:hint="eastAsia" w:ascii="仿宋" w:hAnsi="仿宋" w:eastAsia="仿宋" w:cs="仿宋"/>
                <w:sz w:val="21"/>
                <w:szCs w:val="21"/>
                <w:lang w:eastAsia="zh-CN"/>
              </w:rPr>
              <w:t>，</w:t>
            </w:r>
            <w:r>
              <w:rPr>
                <w:rFonts w:hint="eastAsia" w:ascii="仿宋" w:hAnsi="仿宋" w:eastAsia="仿宋" w:cs="仿宋"/>
                <w:sz w:val="21"/>
                <w:szCs w:val="21"/>
              </w:rPr>
              <w:t>扣</w:t>
            </w:r>
            <w:r>
              <w:rPr>
                <w:rFonts w:hint="eastAsia" w:ascii="仿宋" w:hAnsi="仿宋" w:eastAsia="仿宋" w:cs="仿宋"/>
                <w:sz w:val="21"/>
                <w:szCs w:val="21"/>
                <w:lang w:val="en-US" w:eastAsia="zh-CN"/>
              </w:rPr>
              <w:t>1</w:t>
            </w:r>
            <w:r>
              <w:rPr>
                <w:rFonts w:hint="eastAsia" w:ascii="仿宋" w:hAnsi="仿宋" w:eastAsia="仿宋" w:cs="仿宋"/>
                <w:sz w:val="21"/>
                <w:szCs w:val="21"/>
              </w:rPr>
              <w:t>分</w:t>
            </w:r>
            <w:r>
              <w:rPr>
                <w:rFonts w:hint="eastAsia" w:ascii="仿宋" w:hAnsi="仿宋" w:eastAsia="仿宋" w:cs="仿宋"/>
                <w:sz w:val="21"/>
                <w:szCs w:val="21"/>
                <w:lang w:eastAsia="zh-CN"/>
              </w:rPr>
              <w:t>。</w:t>
            </w:r>
          </w:p>
        </w:tc>
      </w:tr>
      <w:tr w14:paraId="6ECD1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496" w:type="pct"/>
            <w:vMerge w:val="continue"/>
            <w:noWrap w:val="0"/>
            <w:vAlign w:val="center"/>
          </w:tcPr>
          <w:p w14:paraId="2CE5A91A">
            <w:pPr>
              <w:widowControl w:val="0"/>
              <w:jc w:val="both"/>
              <w:rPr>
                <w:rFonts w:hint="eastAsia" w:ascii="仿宋" w:hAnsi="仿宋" w:eastAsia="仿宋" w:cs="仿宋"/>
                <w:sz w:val="21"/>
                <w:szCs w:val="21"/>
                <w:vertAlign w:val="baseline"/>
              </w:rPr>
            </w:pPr>
          </w:p>
        </w:tc>
        <w:tc>
          <w:tcPr>
            <w:tcW w:w="2248" w:type="pct"/>
            <w:noWrap w:val="0"/>
            <w:vAlign w:val="center"/>
          </w:tcPr>
          <w:p w14:paraId="0CB355E9">
            <w:pPr>
              <w:widowControl w:val="0"/>
              <w:jc w:val="both"/>
              <w:rPr>
                <w:rFonts w:hint="eastAsia" w:ascii="仿宋" w:hAnsi="仿宋" w:eastAsia="仿宋" w:cs="仿宋"/>
                <w:sz w:val="21"/>
                <w:szCs w:val="21"/>
                <w:vertAlign w:val="baseline"/>
              </w:rPr>
            </w:pPr>
            <w:r>
              <w:rPr>
                <w:rFonts w:hint="eastAsia" w:ascii="仿宋" w:hAnsi="仿宋" w:eastAsia="仿宋" w:cs="仿宋"/>
                <w:sz w:val="21"/>
                <w:szCs w:val="21"/>
              </w:rPr>
              <w:t>2. 复杂故障需在24小时内提供备机或解决方案</w:t>
            </w:r>
            <w:r>
              <w:rPr>
                <w:rFonts w:hint="eastAsia" w:ascii="仿宋" w:hAnsi="仿宋" w:eastAsia="仿宋" w:cs="仿宋"/>
                <w:sz w:val="21"/>
                <w:szCs w:val="21"/>
                <w:lang w:val="en-US" w:eastAsia="zh-CN"/>
              </w:rPr>
              <w:t>,</w:t>
            </w:r>
            <w:r>
              <w:rPr>
                <w:rFonts w:hint="eastAsia" w:ascii="仿宋" w:hAnsi="仿宋" w:eastAsia="仿宋" w:cs="仿宋"/>
                <w:sz w:val="21"/>
                <w:szCs w:val="21"/>
              </w:rPr>
              <w:t>如诊断出需要更换零备件后，</w:t>
            </w:r>
            <w:r>
              <w:rPr>
                <w:rFonts w:hint="eastAsia" w:ascii="仿宋" w:hAnsi="仿宋" w:eastAsia="仿宋" w:cs="仿宋"/>
                <w:color w:val="000000"/>
                <w:sz w:val="21"/>
                <w:szCs w:val="21"/>
              </w:rPr>
              <w:t>在72小时内修复完毕，不可抗力因素除外。</w:t>
            </w:r>
            <w:r>
              <w:rPr>
                <w:rFonts w:hint="eastAsia" w:ascii="仿宋" w:hAnsi="仿宋" w:eastAsia="仿宋" w:cs="仿宋"/>
                <w:sz w:val="21"/>
                <w:szCs w:val="21"/>
              </w:rPr>
              <w:t>（仓库全年365天响应）</w:t>
            </w:r>
            <w:r>
              <w:rPr>
                <w:rFonts w:hint="eastAsia" w:ascii="仿宋" w:hAnsi="仿宋" w:eastAsia="仿宋" w:cs="仿宋"/>
                <w:sz w:val="21"/>
                <w:szCs w:val="21"/>
                <w:lang w:eastAsia="zh-CN"/>
              </w:rPr>
              <w:t>，</w:t>
            </w:r>
            <w:r>
              <w:rPr>
                <w:rFonts w:hint="eastAsia" w:ascii="仿宋" w:hAnsi="仿宋" w:eastAsia="仿宋" w:cs="仿宋"/>
                <w:color w:val="000000"/>
                <w:sz w:val="21"/>
                <w:szCs w:val="21"/>
              </w:rPr>
              <w:t>维修不涉及零配件更换，工程师到场后在24小时内修复完毕</w:t>
            </w:r>
            <w:r>
              <w:rPr>
                <w:rFonts w:hint="eastAsia" w:ascii="仿宋" w:hAnsi="仿宋" w:eastAsia="仿宋" w:cs="仿宋"/>
                <w:sz w:val="21"/>
                <w:szCs w:val="21"/>
              </w:rPr>
              <w:t>。</w:t>
            </w:r>
          </w:p>
        </w:tc>
        <w:tc>
          <w:tcPr>
            <w:tcW w:w="410" w:type="pct"/>
            <w:noWrap w:val="0"/>
            <w:vAlign w:val="center"/>
          </w:tcPr>
          <w:p w14:paraId="47ADD4AF">
            <w:pPr>
              <w:widowControl w:val="0"/>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16</w:t>
            </w:r>
          </w:p>
        </w:tc>
        <w:tc>
          <w:tcPr>
            <w:tcW w:w="418" w:type="pct"/>
            <w:noWrap w:val="0"/>
            <w:vAlign w:val="center"/>
          </w:tcPr>
          <w:p w14:paraId="1DC48E9D">
            <w:pPr>
              <w:widowControl w:val="0"/>
              <w:jc w:val="both"/>
              <w:rPr>
                <w:rFonts w:hint="eastAsia" w:ascii="仿宋" w:hAnsi="仿宋" w:eastAsia="仿宋" w:cs="仿宋"/>
                <w:sz w:val="21"/>
                <w:szCs w:val="21"/>
                <w:vertAlign w:val="baseline"/>
              </w:rPr>
            </w:pPr>
          </w:p>
        </w:tc>
        <w:tc>
          <w:tcPr>
            <w:tcW w:w="1426" w:type="pct"/>
            <w:noWrap w:val="0"/>
            <w:vAlign w:val="center"/>
          </w:tcPr>
          <w:p w14:paraId="4C946727">
            <w:pPr>
              <w:widowControl w:val="0"/>
              <w:jc w:val="both"/>
              <w:rPr>
                <w:rFonts w:hint="eastAsia" w:ascii="仿宋" w:hAnsi="仿宋" w:eastAsia="仿宋" w:cs="仿宋"/>
                <w:sz w:val="21"/>
                <w:szCs w:val="21"/>
                <w:vertAlign w:val="baseline"/>
              </w:rPr>
            </w:pPr>
            <w:r>
              <w:rPr>
                <w:rFonts w:hint="eastAsia" w:ascii="仿宋" w:hAnsi="仿宋" w:eastAsia="仿宋" w:cs="仿宋"/>
                <w:sz w:val="21"/>
                <w:szCs w:val="21"/>
                <w:lang w:eastAsia="zh-CN"/>
              </w:rPr>
              <w:t>未响应</w:t>
            </w:r>
            <w:r>
              <w:rPr>
                <w:rFonts w:hint="eastAsia" w:ascii="仿宋" w:hAnsi="仿宋" w:eastAsia="仿宋" w:cs="仿宋"/>
                <w:sz w:val="21"/>
                <w:szCs w:val="21"/>
                <w:lang w:val="en-US" w:eastAsia="zh-CN"/>
              </w:rPr>
              <w:t>1次</w:t>
            </w:r>
            <w:r>
              <w:rPr>
                <w:rFonts w:hint="eastAsia" w:ascii="仿宋" w:hAnsi="仿宋" w:eastAsia="仿宋" w:cs="仿宋"/>
                <w:sz w:val="21"/>
                <w:szCs w:val="21"/>
              </w:rPr>
              <w:t>，扣</w:t>
            </w:r>
            <w:r>
              <w:rPr>
                <w:rFonts w:hint="eastAsia" w:ascii="仿宋" w:hAnsi="仿宋" w:eastAsia="仿宋" w:cs="仿宋"/>
                <w:sz w:val="21"/>
                <w:szCs w:val="21"/>
                <w:lang w:val="en-US" w:eastAsia="zh-CN"/>
              </w:rPr>
              <w:t>2</w:t>
            </w:r>
            <w:r>
              <w:rPr>
                <w:rFonts w:hint="eastAsia" w:ascii="仿宋" w:hAnsi="仿宋" w:eastAsia="仿宋" w:cs="仿宋"/>
                <w:sz w:val="21"/>
                <w:szCs w:val="21"/>
              </w:rPr>
              <w:t>分</w:t>
            </w:r>
            <w:r>
              <w:rPr>
                <w:rFonts w:hint="eastAsia" w:ascii="仿宋" w:hAnsi="仿宋" w:eastAsia="仿宋" w:cs="仿宋"/>
                <w:sz w:val="21"/>
                <w:szCs w:val="21"/>
                <w:lang w:eastAsia="zh-CN"/>
              </w:rPr>
              <w:t>；超出响应时间</w:t>
            </w:r>
            <w:r>
              <w:rPr>
                <w:rFonts w:hint="eastAsia" w:ascii="仿宋" w:hAnsi="仿宋" w:eastAsia="仿宋" w:cs="仿宋"/>
                <w:sz w:val="21"/>
                <w:szCs w:val="21"/>
                <w:lang w:val="en-US" w:eastAsia="zh-CN"/>
              </w:rPr>
              <w:t>1次</w:t>
            </w:r>
            <w:r>
              <w:rPr>
                <w:rFonts w:hint="eastAsia" w:ascii="仿宋" w:hAnsi="仿宋" w:eastAsia="仿宋" w:cs="仿宋"/>
                <w:sz w:val="21"/>
                <w:szCs w:val="21"/>
                <w:lang w:eastAsia="zh-CN"/>
              </w:rPr>
              <w:t>，</w:t>
            </w:r>
            <w:r>
              <w:rPr>
                <w:rFonts w:hint="eastAsia" w:ascii="仿宋" w:hAnsi="仿宋" w:eastAsia="仿宋" w:cs="仿宋"/>
                <w:sz w:val="21"/>
                <w:szCs w:val="21"/>
              </w:rPr>
              <w:t>扣</w:t>
            </w:r>
            <w:r>
              <w:rPr>
                <w:rFonts w:hint="eastAsia" w:ascii="仿宋" w:hAnsi="仿宋" w:eastAsia="仿宋" w:cs="仿宋"/>
                <w:sz w:val="21"/>
                <w:szCs w:val="21"/>
                <w:lang w:val="en-US" w:eastAsia="zh-CN"/>
              </w:rPr>
              <w:t>1</w:t>
            </w:r>
            <w:r>
              <w:rPr>
                <w:rFonts w:hint="eastAsia" w:ascii="仿宋" w:hAnsi="仿宋" w:eastAsia="仿宋" w:cs="仿宋"/>
                <w:sz w:val="21"/>
                <w:szCs w:val="21"/>
              </w:rPr>
              <w:t>分</w:t>
            </w:r>
            <w:r>
              <w:rPr>
                <w:rFonts w:hint="eastAsia" w:ascii="仿宋" w:hAnsi="仿宋" w:eastAsia="仿宋" w:cs="仿宋"/>
                <w:sz w:val="21"/>
                <w:szCs w:val="21"/>
                <w:lang w:eastAsia="zh-CN"/>
              </w:rPr>
              <w:t>。维保方</w:t>
            </w:r>
            <w:r>
              <w:rPr>
                <w:rFonts w:hint="eastAsia" w:ascii="仿宋" w:hAnsi="仿宋" w:eastAsia="仿宋" w:cs="仿宋"/>
                <w:sz w:val="21"/>
                <w:szCs w:val="21"/>
              </w:rPr>
              <w:t>未在规定期限内修复设备，则按照使用方上年度该台设备日均营业额赔偿</w:t>
            </w:r>
            <w:r>
              <w:rPr>
                <w:rFonts w:hint="eastAsia" w:ascii="仿宋" w:hAnsi="仿宋" w:eastAsia="仿宋" w:cs="仿宋"/>
                <w:sz w:val="21"/>
                <w:szCs w:val="21"/>
                <w:lang w:eastAsia="zh-CN"/>
              </w:rPr>
              <w:t>相关</w:t>
            </w:r>
            <w:r>
              <w:rPr>
                <w:rFonts w:hint="eastAsia" w:ascii="仿宋" w:hAnsi="仿宋" w:eastAsia="仿宋" w:cs="仿宋"/>
                <w:sz w:val="21"/>
                <w:szCs w:val="21"/>
              </w:rPr>
              <w:t>经济损失。</w:t>
            </w:r>
          </w:p>
        </w:tc>
      </w:tr>
      <w:tr w14:paraId="45231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496" w:type="pct"/>
            <w:vMerge w:val="continue"/>
            <w:noWrap w:val="0"/>
            <w:vAlign w:val="center"/>
          </w:tcPr>
          <w:p w14:paraId="1BEAEA06">
            <w:pPr>
              <w:widowControl w:val="0"/>
              <w:jc w:val="both"/>
              <w:rPr>
                <w:rFonts w:hint="eastAsia" w:ascii="仿宋" w:hAnsi="仿宋" w:eastAsia="仿宋" w:cs="仿宋"/>
                <w:sz w:val="21"/>
                <w:szCs w:val="21"/>
                <w:vertAlign w:val="baseline"/>
              </w:rPr>
            </w:pPr>
          </w:p>
        </w:tc>
        <w:tc>
          <w:tcPr>
            <w:tcW w:w="2248" w:type="pct"/>
            <w:noWrap w:val="0"/>
            <w:vAlign w:val="center"/>
          </w:tcPr>
          <w:p w14:paraId="7F4E2A83">
            <w:pPr>
              <w:widowControl w:val="0"/>
              <w:jc w:val="both"/>
              <w:rPr>
                <w:rFonts w:hint="eastAsia" w:ascii="仿宋" w:hAnsi="仿宋" w:eastAsia="仿宋" w:cs="仿宋"/>
                <w:sz w:val="21"/>
                <w:szCs w:val="21"/>
                <w:vertAlign w:val="baseline"/>
              </w:rPr>
            </w:pPr>
            <w:r>
              <w:rPr>
                <w:rFonts w:hint="eastAsia" w:ascii="仿宋" w:hAnsi="仿宋" w:eastAsia="仿宋" w:cs="仿宋"/>
                <w:sz w:val="21"/>
                <w:szCs w:val="21"/>
              </w:rPr>
              <w:t>3.</w:t>
            </w:r>
            <w:r>
              <w:rPr>
                <w:rFonts w:hint="eastAsia" w:ascii="仿宋" w:hAnsi="仿宋" w:eastAsia="仿宋" w:cs="仿宋"/>
                <w:color w:val="000000"/>
                <w:sz w:val="21"/>
                <w:szCs w:val="21"/>
              </w:rPr>
              <w:t>维修时间从接到我院电话报修之时始至修复之时止，每次维修小计，全年进行累计（24小时算1天）</w:t>
            </w:r>
            <w:r>
              <w:rPr>
                <w:rFonts w:hint="eastAsia" w:ascii="仿宋" w:hAnsi="仿宋" w:eastAsia="仿宋" w:cs="仿宋"/>
                <w:sz w:val="21"/>
                <w:szCs w:val="21"/>
              </w:rPr>
              <w:t>确保CT设备年开机率≥95%</w:t>
            </w:r>
            <w:r>
              <w:rPr>
                <w:rFonts w:hint="eastAsia" w:ascii="仿宋" w:hAnsi="仿宋" w:eastAsia="仿宋" w:cs="仿宋"/>
                <w:color w:val="000000"/>
                <w:sz w:val="21"/>
                <w:szCs w:val="21"/>
                <w:lang w:eastAsia="zh-CN"/>
              </w:rPr>
              <w:t>。</w:t>
            </w:r>
          </w:p>
        </w:tc>
        <w:tc>
          <w:tcPr>
            <w:tcW w:w="410" w:type="pct"/>
            <w:noWrap w:val="0"/>
            <w:vAlign w:val="center"/>
          </w:tcPr>
          <w:p w14:paraId="5BCBF69F">
            <w:pPr>
              <w:widowControl w:val="0"/>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10</w:t>
            </w:r>
          </w:p>
        </w:tc>
        <w:tc>
          <w:tcPr>
            <w:tcW w:w="418" w:type="pct"/>
            <w:noWrap w:val="0"/>
            <w:vAlign w:val="center"/>
          </w:tcPr>
          <w:p w14:paraId="78E8A380">
            <w:pPr>
              <w:widowControl w:val="0"/>
              <w:jc w:val="both"/>
              <w:rPr>
                <w:rFonts w:hint="eastAsia" w:ascii="仿宋" w:hAnsi="仿宋" w:eastAsia="仿宋" w:cs="仿宋"/>
                <w:sz w:val="21"/>
                <w:szCs w:val="21"/>
                <w:vertAlign w:val="baseline"/>
              </w:rPr>
            </w:pPr>
          </w:p>
        </w:tc>
        <w:tc>
          <w:tcPr>
            <w:tcW w:w="1426" w:type="pct"/>
            <w:noWrap w:val="0"/>
            <w:vAlign w:val="center"/>
          </w:tcPr>
          <w:p w14:paraId="15F09405">
            <w:pPr>
              <w:widowControl w:val="0"/>
              <w:jc w:val="both"/>
              <w:rPr>
                <w:rFonts w:hint="eastAsia" w:ascii="仿宋" w:hAnsi="仿宋" w:eastAsia="仿宋" w:cs="仿宋"/>
                <w:sz w:val="21"/>
                <w:szCs w:val="21"/>
                <w:vertAlign w:val="baseline"/>
                <w:lang w:eastAsia="zh-CN"/>
              </w:rPr>
            </w:pPr>
            <w:r>
              <w:rPr>
                <w:rFonts w:hint="eastAsia" w:ascii="仿宋" w:hAnsi="仿宋" w:eastAsia="仿宋" w:cs="仿宋"/>
                <w:sz w:val="21"/>
                <w:szCs w:val="21"/>
                <w:lang w:eastAsia="zh-CN"/>
              </w:rPr>
              <w:t>每超</w:t>
            </w:r>
            <w:r>
              <w:rPr>
                <w:rFonts w:hint="eastAsia" w:ascii="仿宋" w:hAnsi="仿宋" w:eastAsia="仿宋" w:cs="仿宋"/>
                <w:sz w:val="21"/>
                <w:szCs w:val="21"/>
                <w:lang w:val="en-US" w:eastAsia="zh-CN"/>
              </w:rPr>
              <w:t>1天（超过4小时按1天1天计算）</w:t>
            </w:r>
            <w:r>
              <w:rPr>
                <w:rFonts w:hint="eastAsia" w:ascii="仿宋" w:hAnsi="仿宋" w:eastAsia="仿宋" w:cs="仿宋"/>
                <w:sz w:val="21"/>
                <w:szCs w:val="21"/>
              </w:rPr>
              <w:t>，扣</w:t>
            </w:r>
            <w:r>
              <w:rPr>
                <w:rFonts w:hint="eastAsia" w:ascii="仿宋" w:hAnsi="仿宋" w:eastAsia="仿宋" w:cs="仿宋"/>
                <w:sz w:val="21"/>
                <w:szCs w:val="21"/>
                <w:lang w:val="en-US" w:eastAsia="zh-CN"/>
              </w:rPr>
              <w:t>1</w:t>
            </w:r>
            <w:r>
              <w:rPr>
                <w:rFonts w:hint="eastAsia" w:ascii="仿宋" w:hAnsi="仿宋" w:eastAsia="仿宋" w:cs="仿宋"/>
                <w:sz w:val="21"/>
                <w:szCs w:val="21"/>
              </w:rPr>
              <w:t>分</w:t>
            </w:r>
            <w:r>
              <w:rPr>
                <w:rFonts w:hint="eastAsia" w:ascii="仿宋" w:hAnsi="仿宋" w:eastAsia="仿宋" w:cs="仿宋"/>
                <w:sz w:val="21"/>
                <w:szCs w:val="21"/>
                <w:lang w:eastAsia="zh-CN"/>
              </w:rPr>
              <w:t>，且超过</w:t>
            </w:r>
            <w:r>
              <w:rPr>
                <w:rFonts w:hint="eastAsia" w:ascii="仿宋" w:hAnsi="仿宋" w:eastAsia="仿宋" w:cs="仿宋"/>
                <w:sz w:val="21"/>
                <w:szCs w:val="21"/>
                <w:lang w:val="en-US" w:eastAsia="zh-CN"/>
              </w:rPr>
              <w:t>1</w:t>
            </w:r>
            <w:r>
              <w:rPr>
                <w:rFonts w:hint="eastAsia" w:ascii="仿宋" w:hAnsi="仿宋" w:eastAsia="仿宋" w:cs="仿宋"/>
                <w:sz w:val="21"/>
                <w:szCs w:val="21"/>
                <w:lang w:eastAsia="zh-CN"/>
              </w:rPr>
              <w:t>天，维保期顺延3天</w:t>
            </w:r>
          </w:p>
        </w:tc>
      </w:tr>
      <w:tr w14:paraId="1892B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 w:hRule="atLeast"/>
        </w:trPr>
        <w:tc>
          <w:tcPr>
            <w:tcW w:w="496" w:type="pct"/>
            <w:noWrap w:val="0"/>
            <w:vAlign w:val="center"/>
          </w:tcPr>
          <w:p w14:paraId="6B618B73">
            <w:pPr>
              <w:widowControl w:val="0"/>
              <w:jc w:val="both"/>
              <w:rPr>
                <w:rFonts w:hint="eastAsia" w:ascii="仿宋" w:hAnsi="仿宋" w:eastAsia="仿宋" w:cs="仿宋"/>
                <w:sz w:val="21"/>
                <w:szCs w:val="21"/>
                <w:vertAlign w:val="baseline"/>
              </w:rPr>
            </w:pPr>
            <w:r>
              <w:rPr>
                <w:rFonts w:hint="eastAsia" w:ascii="仿宋" w:hAnsi="仿宋" w:eastAsia="仿宋" w:cs="仿宋"/>
                <w:sz w:val="21"/>
                <w:szCs w:val="21"/>
              </w:rPr>
              <w:t>二、设备运行效率</w:t>
            </w:r>
          </w:p>
        </w:tc>
        <w:tc>
          <w:tcPr>
            <w:tcW w:w="2248" w:type="pct"/>
            <w:noWrap w:val="0"/>
            <w:vAlign w:val="center"/>
          </w:tcPr>
          <w:p w14:paraId="62B3E86A">
            <w:pPr>
              <w:widowControl w:val="0"/>
              <w:jc w:val="both"/>
              <w:rPr>
                <w:rFonts w:hint="eastAsia" w:ascii="仿宋" w:hAnsi="仿宋" w:eastAsia="仿宋" w:cs="仿宋"/>
                <w:sz w:val="21"/>
                <w:szCs w:val="21"/>
                <w:vertAlign w:val="baseline"/>
              </w:rPr>
            </w:pPr>
            <w:r>
              <w:rPr>
                <w:rFonts w:hint="eastAsia" w:ascii="仿宋" w:hAnsi="仿宋" w:eastAsia="仿宋" w:cs="仿宋"/>
                <w:sz w:val="21"/>
                <w:szCs w:val="21"/>
              </w:rPr>
              <w:t>1. 服务开机率：确保CT设备年开机率≥95%（按365天/年）。设备运行不稳定和图像质量不达标期间视为停机，计入停机天数。</w:t>
            </w:r>
          </w:p>
        </w:tc>
        <w:tc>
          <w:tcPr>
            <w:tcW w:w="410" w:type="pct"/>
            <w:noWrap w:val="0"/>
            <w:vAlign w:val="center"/>
          </w:tcPr>
          <w:p w14:paraId="34841F16">
            <w:pPr>
              <w:widowControl w:val="0"/>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18</w:t>
            </w:r>
          </w:p>
        </w:tc>
        <w:tc>
          <w:tcPr>
            <w:tcW w:w="418" w:type="pct"/>
            <w:noWrap w:val="0"/>
            <w:vAlign w:val="center"/>
          </w:tcPr>
          <w:p w14:paraId="42900C5E">
            <w:pPr>
              <w:widowControl w:val="0"/>
              <w:jc w:val="both"/>
              <w:rPr>
                <w:rFonts w:hint="eastAsia" w:ascii="仿宋" w:hAnsi="仿宋" w:eastAsia="仿宋" w:cs="仿宋"/>
                <w:sz w:val="21"/>
                <w:szCs w:val="21"/>
                <w:vertAlign w:val="baseline"/>
              </w:rPr>
            </w:pPr>
          </w:p>
        </w:tc>
        <w:tc>
          <w:tcPr>
            <w:tcW w:w="1426" w:type="pct"/>
            <w:noWrap w:val="0"/>
            <w:vAlign w:val="center"/>
          </w:tcPr>
          <w:p w14:paraId="3E3D9930">
            <w:pPr>
              <w:widowControl w:val="0"/>
              <w:jc w:val="both"/>
              <w:rPr>
                <w:rFonts w:hint="eastAsia" w:ascii="仿宋" w:hAnsi="仿宋" w:eastAsia="仿宋" w:cs="仿宋"/>
                <w:sz w:val="21"/>
                <w:szCs w:val="21"/>
                <w:vertAlign w:val="baseline"/>
              </w:rPr>
            </w:pPr>
            <w:r>
              <w:rPr>
                <w:rFonts w:hint="eastAsia" w:ascii="仿宋" w:hAnsi="仿宋" w:eastAsia="仿宋" w:cs="仿宋"/>
                <w:sz w:val="21"/>
                <w:szCs w:val="21"/>
                <w:lang w:eastAsia="zh-CN"/>
              </w:rPr>
              <w:t>每超</w:t>
            </w:r>
            <w:r>
              <w:rPr>
                <w:rFonts w:hint="eastAsia" w:ascii="仿宋" w:hAnsi="仿宋" w:eastAsia="仿宋" w:cs="仿宋"/>
                <w:sz w:val="21"/>
                <w:szCs w:val="21"/>
                <w:lang w:val="en-US" w:eastAsia="zh-CN"/>
              </w:rPr>
              <w:t>1天（超过4小时按1天1天计算）</w:t>
            </w:r>
            <w:r>
              <w:rPr>
                <w:rFonts w:hint="eastAsia" w:ascii="仿宋" w:hAnsi="仿宋" w:eastAsia="仿宋" w:cs="仿宋"/>
                <w:sz w:val="21"/>
                <w:szCs w:val="21"/>
              </w:rPr>
              <w:t>，扣</w:t>
            </w:r>
            <w:r>
              <w:rPr>
                <w:rFonts w:hint="eastAsia" w:ascii="仿宋" w:hAnsi="仿宋" w:eastAsia="仿宋" w:cs="仿宋"/>
                <w:sz w:val="21"/>
                <w:szCs w:val="21"/>
                <w:lang w:val="en-US" w:eastAsia="zh-CN"/>
              </w:rPr>
              <w:t>1</w:t>
            </w:r>
            <w:r>
              <w:rPr>
                <w:rFonts w:hint="eastAsia" w:ascii="仿宋" w:hAnsi="仿宋" w:eastAsia="仿宋" w:cs="仿宋"/>
                <w:sz w:val="21"/>
                <w:szCs w:val="21"/>
              </w:rPr>
              <w:t>分</w:t>
            </w:r>
            <w:r>
              <w:rPr>
                <w:rFonts w:hint="eastAsia" w:ascii="仿宋" w:hAnsi="仿宋" w:eastAsia="仿宋" w:cs="仿宋"/>
                <w:sz w:val="21"/>
                <w:szCs w:val="21"/>
                <w:lang w:eastAsia="zh-CN"/>
              </w:rPr>
              <w:t>，且超过</w:t>
            </w:r>
            <w:r>
              <w:rPr>
                <w:rFonts w:hint="eastAsia" w:ascii="仿宋" w:hAnsi="仿宋" w:eastAsia="仿宋" w:cs="仿宋"/>
                <w:sz w:val="21"/>
                <w:szCs w:val="21"/>
                <w:lang w:val="en-US" w:eastAsia="zh-CN"/>
              </w:rPr>
              <w:t>1</w:t>
            </w:r>
            <w:r>
              <w:rPr>
                <w:rFonts w:hint="eastAsia" w:ascii="仿宋" w:hAnsi="仿宋" w:eastAsia="仿宋" w:cs="仿宋"/>
                <w:sz w:val="21"/>
                <w:szCs w:val="21"/>
                <w:lang w:eastAsia="zh-CN"/>
              </w:rPr>
              <w:t>天，维保期顺延3天。</w:t>
            </w:r>
          </w:p>
        </w:tc>
      </w:tr>
      <w:tr w14:paraId="6CAF3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496" w:type="pct"/>
            <w:vMerge w:val="restart"/>
            <w:noWrap w:val="0"/>
            <w:vAlign w:val="center"/>
          </w:tcPr>
          <w:p w14:paraId="131A56AD">
            <w:pPr>
              <w:widowControl w:val="0"/>
              <w:jc w:val="both"/>
              <w:rPr>
                <w:rFonts w:hint="eastAsia" w:ascii="仿宋" w:hAnsi="仿宋" w:eastAsia="仿宋" w:cs="仿宋"/>
                <w:sz w:val="21"/>
                <w:szCs w:val="21"/>
                <w:vertAlign w:val="baseline"/>
              </w:rPr>
            </w:pPr>
            <w:r>
              <w:rPr>
                <w:rFonts w:hint="eastAsia" w:ascii="仿宋" w:hAnsi="仿宋" w:eastAsia="仿宋" w:cs="仿宋"/>
                <w:sz w:val="21"/>
                <w:szCs w:val="21"/>
              </w:rPr>
              <w:t>三、维护质量</w:t>
            </w:r>
          </w:p>
        </w:tc>
        <w:tc>
          <w:tcPr>
            <w:tcW w:w="2248" w:type="pct"/>
            <w:noWrap w:val="0"/>
            <w:vAlign w:val="center"/>
          </w:tcPr>
          <w:p w14:paraId="59F1576B">
            <w:pPr>
              <w:widowControl w:val="0"/>
              <w:jc w:val="both"/>
              <w:rPr>
                <w:rFonts w:hint="eastAsia" w:ascii="仿宋" w:hAnsi="仿宋" w:eastAsia="仿宋" w:cs="仿宋"/>
                <w:sz w:val="21"/>
                <w:szCs w:val="21"/>
                <w:vertAlign w:val="baseline"/>
              </w:rPr>
            </w:pPr>
            <w:r>
              <w:rPr>
                <w:rFonts w:hint="eastAsia" w:ascii="仿宋" w:hAnsi="仿宋" w:eastAsia="仿宋" w:cs="仿宋"/>
                <w:sz w:val="21"/>
                <w:szCs w:val="21"/>
              </w:rPr>
              <w:t>1.定期保养：</w:t>
            </w:r>
            <w:r>
              <w:rPr>
                <w:rFonts w:hint="eastAsia" w:ascii="仿宋" w:hAnsi="仿宋" w:eastAsia="仿宋" w:cs="仿宋"/>
                <w:sz w:val="21"/>
                <w:szCs w:val="21"/>
                <w:lang w:eastAsia="zh-CN"/>
              </w:rPr>
              <w:t>年</w:t>
            </w:r>
            <w:r>
              <w:rPr>
                <w:rFonts w:hint="eastAsia" w:ascii="仿宋" w:hAnsi="仿宋" w:eastAsia="仿宋" w:cs="仿宋"/>
                <w:sz w:val="21"/>
                <w:szCs w:val="21"/>
              </w:rPr>
              <w:t>提供4次高级保养</w:t>
            </w:r>
            <w:r>
              <w:rPr>
                <w:rFonts w:hint="eastAsia" w:ascii="仿宋" w:hAnsi="仿宋" w:eastAsia="仿宋" w:cs="仿宋"/>
                <w:sz w:val="21"/>
                <w:szCs w:val="21"/>
                <w:lang w:eastAsia="zh-CN"/>
              </w:rPr>
              <w:t>（每季度</w:t>
            </w:r>
            <w:r>
              <w:rPr>
                <w:rFonts w:hint="eastAsia" w:ascii="仿宋" w:hAnsi="仿宋" w:eastAsia="仿宋" w:cs="仿宋"/>
                <w:sz w:val="21"/>
                <w:szCs w:val="21"/>
                <w:lang w:val="en-US" w:eastAsia="zh-CN"/>
              </w:rPr>
              <w:t>1次</w:t>
            </w:r>
            <w:r>
              <w:rPr>
                <w:rFonts w:hint="eastAsia" w:ascii="仿宋" w:hAnsi="仿宋" w:eastAsia="仿宋" w:cs="仿宋"/>
                <w:sz w:val="21"/>
                <w:szCs w:val="21"/>
                <w:lang w:eastAsia="zh-CN"/>
              </w:rPr>
              <w:t>）</w:t>
            </w:r>
            <w:r>
              <w:rPr>
                <w:rFonts w:hint="eastAsia" w:ascii="仿宋" w:hAnsi="仿宋" w:eastAsia="仿宋" w:cs="仿宋"/>
                <w:sz w:val="21"/>
                <w:szCs w:val="21"/>
              </w:rPr>
              <w:t>，保持设备原厂标准，并能提供技术支持合格的保养报告。定期的维护保养服务包</w:t>
            </w:r>
            <w:r>
              <w:rPr>
                <w:rFonts w:hint="eastAsia" w:ascii="仿宋" w:hAnsi="仿宋" w:eastAsia="仿宋" w:cs="仿宋"/>
                <w:sz w:val="21"/>
                <w:szCs w:val="21"/>
                <w:lang w:eastAsia="zh-CN"/>
              </w:rPr>
              <w:t>含但不限于如下项目</w:t>
            </w:r>
            <w:r>
              <w:rPr>
                <w:rFonts w:hint="eastAsia" w:ascii="仿宋" w:hAnsi="仿宋" w:eastAsia="仿宋" w:cs="仿宋"/>
                <w:sz w:val="21"/>
                <w:szCs w:val="21"/>
              </w:rPr>
              <w:t>：设备的安全检查、</w:t>
            </w:r>
            <w:r>
              <w:rPr>
                <w:rFonts w:hint="eastAsia" w:ascii="仿宋" w:hAnsi="仿宋" w:eastAsia="仿宋" w:cs="仿宋"/>
                <w:sz w:val="21"/>
                <w:szCs w:val="21"/>
                <w:lang w:eastAsia="zh-CN"/>
              </w:rPr>
              <w:t>电气安全检查、记录检查结果、</w:t>
            </w:r>
            <w:r>
              <w:rPr>
                <w:rFonts w:hint="eastAsia" w:ascii="仿宋" w:hAnsi="仿宋" w:eastAsia="仿宋" w:cs="仿宋"/>
                <w:sz w:val="21"/>
                <w:szCs w:val="21"/>
              </w:rPr>
              <w:t>影像质量（效果）检查、设备清洁保养、性能测试及校准、电气环境检测</w:t>
            </w:r>
            <w:r>
              <w:rPr>
                <w:rFonts w:hint="eastAsia" w:ascii="仿宋" w:hAnsi="仿宋" w:eastAsia="仿宋" w:cs="仿宋"/>
                <w:sz w:val="21"/>
                <w:szCs w:val="21"/>
                <w:lang w:eastAsia="zh-CN"/>
              </w:rPr>
              <w:t>、</w:t>
            </w:r>
            <w:r>
              <w:rPr>
                <w:rFonts w:hint="eastAsia" w:ascii="仿宋" w:hAnsi="仿宋" w:eastAsia="仿宋" w:cs="仿宋"/>
                <w:sz w:val="21"/>
                <w:szCs w:val="21"/>
              </w:rPr>
              <w:t>运行状态检查</w:t>
            </w:r>
            <w:r>
              <w:rPr>
                <w:rFonts w:hint="eastAsia" w:ascii="仿宋" w:hAnsi="仿宋" w:eastAsia="仿宋" w:cs="仿宋"/>
                <w:sz w:val="21"/>
                <w:szCs w:val="21"/>
                <w:lang w:eastAsia="zh-CN"/>
              </w:rPr>
              <w:t>及相关的临床服务</w:t>
            </w:r>
            <w:r>
              <w:rPr>
                <w:rFonts w:hint="eastAsia" w:ascii="仿宋" w:hAnsi="仿宋" w:eastAsia="仿宋" w:cs="仿宋"/>
                <w:sz w:val="21"/>
                <w:szCs w:val="21"/>
              </w:rPr>
              <w:t>等</w:t>
            </w:r>
            <w:r>
              <w:rPr>
                <w:rFonts w:hint="eastAsia" w:ascii="仿宋" w:hAnsi="仿宋" w:eastAsia="仿宋" w:cs="仿宋"/>
                <w:sz w:val="21"/>
                <w:szCs w:val="21"/>
                <w:lang w:eastAsia="zh-CN"/>
              </w:rPr>
              <w:t>，</w:t>
            </w:r>
            <w:r>
              <w:rPr>
                <w:rFonts w:hint="eastAsia" w:ascii="仿宋" w:hAnsi="仿宋" w:eastAsia="仿宋" w:cs="仿宋"/>
                <w:sz w:val="21"/>
                <w:szCs w:val="21"/>
              </w:rPr>
              <w:t>评判参数结果，调整/校准至出厂标准，记录系统质量报告。免费提供保养中需更换的损耗品。</w:t>
            </w:r>
          </w:p>
        </w:tc>
        <w:tc>
          <w:tcPr>
            <w:tcW w:w="410" w:type="pct"/>
            <w:noWrap w:val="0"/>
            <w:vAlign w:val="center"/>
          </w:tcPr>
          <w:p w14:paraId="7237A8E5">
            <w:pPr>
              <w:widowControl w:val="0"/>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15</w:t>
            </w:r>
          </w:p>
        </w:tc>
        <w:tc>
          <w:tcPr>
            <w:tcW w:w="418" w:type="pct"/>
            <w:noWrap w:val="0"/>
            <w:vAlign w:val="center"/>
          </w:tcPr>
          <w:p w14:paraId="38119552">
            <w:pPr>
              <w:widowControl w:val="0"/>
              <w:jc w:val="both"/>
              <w:rPr>
                <w:rFonts w:hint="eastAsia" w:ascii="仿宋" w:hAnsi="仿宋" w:eastAsia="仿宋" w:cs="仿宋"/>
                <w:sz w:val="21"/>
                <w:szCs w:val="21"/>
                <w:vertAlign w:val="baseline"/>
              </w:rPr>
            </w:pPr>
          </w:p>
        </w:tc>
        <w:tc>
          <w:tcPr>
            <w:tcW w:w="1426" w:type="pct"/>
            <w:noWrap w:val="0"/>
            <w:vAlign w:val="center"/>
          </w:tcPr>
          <w:p w14:paraId="4EA5184D">
            <w:pPr>
              <w:widowControl w:val="0"/>
              <w:jc w:val="both"/>
              <w:rPr>
                <w:rFonts w:hint="eastAsia" w:ascii="仿宋" w:hAnsi="仿宋" w:eastAsia="仿宋" w:cs="仿宋"/>
                <w:sz w:val="21"/>
                <w:szCs w:val="21"/>
                <w:vertAlign w:val="baseline"/>
                <w:lang w:eastAsia="zh-CN"/>
              </w:rPr>
            </w:pPr>
            <w:r>
              <w:rPr>
                <w:rFonts w:hint="eastAsia" w:ascii="仿宋" w:hAnsi="仿宋" w:eastAsia="仿宋" w:cs="仿宋"/>
                <w:sz w:val="21"/>
                <w:szCs w:val="21"/>
                <w:lang w:eastAsia="zh-CN"/>
              </w:rPr>
              <w:t>未达到</w:t>
            </w:r>
            <w:r>
              <w:rPr>
                <w:rFonts w:hint="eastAsia" w:ascii="仿宋" w:hAnsi="仿宋" w:eastAsia="仿宋" w:cs="仿宋"/>
                <w:sz w:val="21"/>
                <w:szCs w:val="21"/>
                <w:lang w:val="en-US" w:eastAsia="zh-CN"/>
              </w:rPr>
              <w:t>1条</w:t>
            </w:r>
            <w:r>
              <w:rPr>
                <w:rFonts w:hint="eastAsia" w:ascii="仿宋" w:hAnsi="仿宋" w:eastAsia="仿宋" w:cs="仿宋"/>
                <w:sz w:val="21"/>
                <w:szCs w:val="21"/>
              </w:rPr>
              <w:t>，扣</w:t>
            </w:r>
            <w:r>
              <w:rPr>
                <w:rFonts w:hint="eastAsia" w:ascii="仿宋" w:hAnsi="仿宋" w:eastAsia="仿宋" w:cs="仿宋"/>
                <w:sz w:val="21"/>
                <w:szCs w:val="21"/>
                <w:lang w:val="en-US" w:eastAsia="zh-CN"/>
              </w:rPr>
              <w:t>1</w:t>
            </w:r>
            <w:r>
              <w:rPr>
                <w:rFonts w:hint="eastAsia" w:ascii="仿宋" w:hAnsi="仿宋" w:eastAsia="仿宋" w:cs="仿宋"/>
                <w:sz w:val="21"/>
                <w:szCs w:val="21"/>
              </w:rPr>
              <w:t>分</w:t>
            </w:r>
            <w:r>
              <w:rPr>
                <w:rFonts w:hint="eastAsia" w:ascii="仿宋" w:hAnsi="仿宋" w:eastAsia="仿宋" w:cs="仿宋"/>
                <w:sz w:val="21"/>
                <w:szCs w:val="21"/>
                <w:lang w:eastAsia="zh-CN"/>
              </w:rPr>
              <w:t>。</w:t>
            </w:r>
          </w:p>
        </w:tc>
      </w:tr>
      <w:tr w14:paraId="4D463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496" w:type="pct"/>
            <w:vMerge w:val="continue"/>
            <w:noWrap w:val="0"/>
            <w:vAlign w:val="center"/>
          </w:tcPr>
          <w:p w14:paraId="5C51FBC4">
            <w:pPr>
              <w:widowControl w:val="0"/>
              <w:jc w:val="both"/>
              <w:rPr>
                <w:rFonts w:hint="eastAsia" w:ascii="仿宋" w:hAnsi="仿宋" w:eastAsia="仿宋" w:cs="仿宋"/>
                <w:sz w:val="21"/>
                <w:szCs w:val="21"/>
                <w:vertAlign w:val="baseline"/>
              </w:rPr>
            </w:pPr>
          </w:p>
        </w:tc>
        <w:tc>
          <w:tcPr>
            <w:tcW w:w="2248" w:type="pct"/>
            <w:noWrap w:val="0"/>
            <w:vAlign w:val="center"/>
          </w:tcPr>
          <w:p w14:paraId="1E21E3FC">
            <w:pPr>
              <w:widowControl w:val="0"/>
              <w:jc w:val="both"/>
              <w:rPr>
                <w:rFonts w:hint="eastAsia" w:ascii="仿宋" w:hAnsi="仿宋" w:eastAsia="仿宋" w:cs="仿宋"/>
                <w:color w:val="000000"/>
                <w:sz w:val="21"/>
                <w:szCs w:val="21"/>
              </w:rPr>
            </w:pPr>
            <w:r>
              <w:rPr>
                <w:rFonts w:hint="eastAsia" w:ascii="仿宋" w:hAnsi="仿宋" w:eastAsia="仿宋" w:cs="仿宋"/>
                <w:sz w:val="21"/>
                <w:szCs w:val="21"/>
              </w:rPr>
              <w:t>维修后设备需达到正常运行标准</w:t>
            </w:r>
            <w:r>
              <w:rPr>
                <w:rFonts w:hint="eastAsia" w:ascii="仿宋" w:hAnsi="仿宋" w:eastAsia="仿宋" w:cs="仿宋"/>
                <w:sz w:val="21"/>
                <w:szCs w:val="21"/>
                <w:lang w:eastAsia="zh-CN"/>
              </w:rPr>
              <w:t>，并出具相关报告单或测试报告。</w:t>
            </w:r>
          </w:p>
        </w:tc>
        <w:tc>
          <w:tcPr>
            <w:tcW w:w="410" w:type="pct"/>
            <w:noWrap w:val="0"/>
            <w:vAlign w:val="center"/>
          </w:tcPr>
          <w:p w14:paraId="183AB254">
            <w:pPr>
              <w:widowControl w:val="0"/>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10</w:t>
            </w:r>
          </w:p>
        </w:tc>
        <w:tc>
          <w:tcPr>
            <w:tcW w:w="418" w:type="pct"/>
            <w:noWrap w:val="0"/>
            <w:vAlign w:val="center"/>
          </w:tcPr>
          <w:p w14:paraId="68B537A1">
            <w:pPr>
              <w:widowControl w:val="0"/>
              <w:jc w:val="both"/>
              <w:rPr>
                <w:rFonts w:hint="eastAsia" w:ascii="仿宋" w:hAnsi="仿宋" w:eastAsia="仿宋" w:cs="仿宋"/>
                <w:sz w:val="21"/>
                <w:szCs w:val="21"/>
                <w:vertAlign w:val="baseline"/>
              </w:rPr>
            </w:pPr>
          </w:p>
        </w:tc>
        <w:tc>
          <w:tcPr>
            <w:tcW w:w="1426" w:type="pct"/>
            <w:noWrap w:val="0"/>
            <w:vAlign w:val="center"/>
          </w:tcPr>
          <w:p w14:paraId="3D16C863">
            <w:pPr>
              <w:widowControl w:val="0"/>
              <w:jc w:val="both"/>
              <w:rPr>
                <w:rFonts w:hint="eastAsia" w:ascii="仿宋" w:hAnsi="仿宋" w:eastAsia="仿宋" w:cs="仿宋"/>
                <w:sz w:val="21"/>
                <w:szCs w:val="21"/>
              </w:rPr>
            </w:pPr>
            <w:r>
              <w:rPr>
                <w:rFonts w:hint="eastAsia" w:ascii="仿宋" w:hAnsi="仿宋" w:eastAsia="仿宋" w:cs="仿宋"/>
                <w:sz w:val="21"/>
                <w:szCs w:val="21"/>
                <w:lang w:eastAsia="zh-CN"/>
              </w:rPr>
              <w:t>未达到</w:t>
            </w:r>
            <w:r>
              <w:rPr>
                <w:rFonts w:hint="eastAsia" w:ascii="仿宋" w:hAnsi="仿宋" w:eastAsia="仿宋" w:cs="仿宋"/>
                <w:sz w:val="21"/>
                <w:szCs w:val="21"/>
                <w:lang w:val="en-US" w:eastAsia="zh-CN"/>
              </w:rPr>
              <w:t>1次</w:t>
            </w:r>
            <w:r>
              <w:rPr>
                <w:rFonts w:hint="eastAsia" w:ascii="仿宋" w:hAnsi="仿宋" w:eastAsia="仿宋" w:cs="仿宋"/>
                <w:sz w:val="21"/>
                <w:szCs w:val="21"/>
              </w:rPr>
              <w:t>，扣1分</w:t>
            </w:r>
            <w:r>
              <w:rPr>
                <w:rFonts w:hint="eastAsia" w:ascii="仿宋" w:hAnsi="仿宋" w:eastAsia="仿宋" w:cs="仿宋"/>
                <w:sz w:val="21"/>
                <w:szCs w:val="21"/>
                <w:lang w:eastAsia="zh-CN"/>
              </w:rPr>
              <w:t>，</w:t>
            </w:r>
            <w:r>
              <w:rPr>
                <w:rFonts w:hint="eastAsia" w:ascii="仿宋" w:hAnsi="仿宋" w:eastAsia="仿宋" w:cs="仿宋"/>
                <w:sz w:val="21"/>
                <w:szCs w:val="21"/>
              </w:rPr>
              <w:t>因维修引发的新故障由</w:t>
            </w:r>
            <w:r>
              <w:rPr>
                <w:rFonts w:hint="eastAsia" w:ascii="仿宋" w:hAnsi="仿宋" w:eastAsia="仿宋" w:cs="仿宋"/>
                <w:sz w:val="21"/>
                <w:szCs w:val="21"/>
                <w:lang w:eastAsia="zh-CN"/>
              </w:rPr>
              <w:t>维保方</w:t>
            </w:r>
            <w:r>
              <w:rPr>
                <w:rFonts w:hint="eastAsia" w:ascii="仿宋" w:hAnsi="仿宋" w:eastAsia="仿宋" w:cs="仿宋"/>
                <w:sz w:val="21"/>
                <w:szCs w:val="21"/>
              </w:rPr>
              <w:t>自行解决并承担费用</w:t>
            </w:r>
            <w:r>
              <w:rPr>
                <w:rFonts w:hint="eastAsia" w:ascii="仿宋" w:hAnsi="仿宋" w:eastAsia="仿宋" w:cs="仿宋"/>
                <w:sz w:val="21"/>
                <w:szCs w:val="21"/>
                <w:lang w:eastAsia="zh-CN"/>
              </w:rPr>
              <w:t>及使用方的相关损失费用。</w:t>
            </w:r>
          </w:p>
        </w:tc>
      </w:tr>
      <w:tr w14:paraId="0AD74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496" w:type="pct"/>
            <w:vMerge w:val="continue"/>
            <w:noWrap w:val="0"/>
            <w:vAlign w:val="center"/>
          </w:tcPr>
          <w:p w14:paraId="255D3A62">
            <w:pPr>
              <w:widowControl w:val="0"/>
              <w:jc w:val="both"/>
              <w:rPr>
                <w:rFonts w:hint="eastAsia" w:ascii="仿宋" w:hAnsi="仿宋" w:eastAsia="仿宋" w:cs="仿宋"/>
                <w:sz w:val="21"/>
                <w:szCs w:val="21"/>
                <w:vertAlign w:val="baseline"/>
              </w:rPr>
            </w:pPr>
          </w:p>
        </w:tc>
        <w:tc>
          <w:tcPr>
            <w:tcW w:w="2248" w:type="pct"/>
            <w:noWrap w:val="0"/>
            <w:vAlign w:val="center"/>
          </w:tcPr>
          <w:p w14:paraId="2C50CBF7">
            <w:pPr>
              <w:widowControl w:val="0"/>
              <w:jc w:val="both"/>
              <w:rPr>
                <w:rFonts w:hint="eastAsia" w:ascii="仿宋" w:hAnsi="仿宋" w:eastAsia="仿宋" w:cs="仿宋"/>
                <w:sz w:val="21"/>
                <w:szCs w:val="21"/>
                <w:vertAlign w:val="baseline"/>
              </w:rPr>
            </w:pPr>
            <w:r>
              <w:rPr>
                <w:rFonts w:hint="eastAsia" w:ascii="仿宋" w:hAnsi="仿宋" w:eastAsia="仿宋" w:cs="仿宋"/>
                <w:color w:val="000000"/>
                <w:sz w:val="21"/>
                <w:szCs w:val="21"/>
              </w:rPr>
              <w:t>在服务期满出保前最近一次更换的球管须免费质保壹年或球管使用曝光秒次达20万秒次（提供承诺函）</w:t>
            </w:r>
          </w:p>
        </w:tc>
        <w:tc>
          <w:tcPr>
            <w:tcW w:w="410" w:type="pct"/>
            <w:noWrap w:val="0"/>
            <w:vAlign w:val="center"/>
          </w:tcPr>
          <w:p w14:paraId="5F33D319">
            <w:pPr>
              <w:widowControl w:val="0"/>
              <w:jc w:val="center"/>
              <w:rPr>
                <w:rFonts w:hint="eastAsia" w:ascii="仿宋" w:hAnsi="仿宋" w:eastAsia="仿宋" w:cs="仿宋"/>
                <w:sz w:val="21"/>
                <w:szCs w:val="21"/>
                <w:vertAlign w:val="baseline"/>
              </w:rPr>
            </w:pPr>
            <w:r>
              <w:rPr>
                <w:rFonts w:hint="eastAsia" w:ascii="仿宋" w:hAnsi="仿宋" w:eastAsia="仿宋" w:cs="仿宋"/>
                <w:sz w:val="21"/>
                <w:szCs w:val="21"/>
                <w:vertAlign w:val="baseline"/>
                <w:lang w:val="en-US" w:eastAsia="zh-CN"/>
              </w:rPr>
              <w:t>10</w:t>
            </w:r>
          </w:p>
        </w:tc>
        <w:tc>
          <w:tcPr>
            <w:tcW w:w="418" w:type="pct"/>
            <w:noWrap w:val="0"/>
            <w:vAlign w:val="center"/>
          </w:tcPr>
          <w:p w14:paraId="57E00C51">
            <w:pPr>
              <w:widowControl w:val="0"/>
              <w:jc w:val="both"/>
              <w:rPr>
                <w:rFonts w:hint="eastAsia" w:ascii="仿宋" w:hAnsi="仿宋" w:eastAsia="仿宋" w:cs="仿宋"/>
                <w:sz w:val="21"/>
                <w:szCs w:val="21"/>
                <w:vertAlign w:val="baseline"/>
              </w:rPr>
            </w:pPr>
          </w:p>
        </w:tc>
        <w:tc>
          <w:tcPr>
            <w:tcW w:w="1426" w:type="pct"/>
            <w:noWrap w:val="0"/>
            <w:vAlign w:val="center"/>
          </w:tcPr>
          <w:p w14:paraId="73E924B0">
            <w:pPr>
              <w:widowControl w:val="0"/>
              <w:jc w:val="both"/>
              <w:rPr>
                <w:rFonts w:hint="eastAsia" w:ascii="仿宋" w:hAnsi="仿宋" w:eastAsia="仿宋" w:cs="仿宋"/>
                <w:sz w:val="21"/>
                <w:szCs w:val="21"/>
                <w:vertAlign w:val="baseline"/>
              </w:rPr>
            </w:pPr>
            <w:r>
              <w:rPr>
                <w:rFonts w:hint="eastAsia" w:ascii="仿宋" w:hAnsi="仿宋" w:eastAsia="仿宋" w:cs="仿宋"/>
                <w:sz w:val="21"/>
                <w:szCs w:val="21"/>
                <w:lang w:eastAsia="zh-CN"/>
              </w:rPr>
              <w:t>未满足</w:t>
            </w:r>
            <w:r>
              <w:rPr>
                <w:rFonts w:hint="eastAsia" w:ascii="仿宋" w:hAnsi="仿宋" w:eastAsia="仿宋" w:cs="仿宋"/>
                <w:sz w:val="21"/>
                <w:szCs w:val="21"/>
              </w:rPr>
              <w:t>，扣</w:t>
            </w:r>
            <w:r>
              <w:rPr>
                <w:rFonts w:hint="eastAsia" w:ascii="仿宋" w:hAnsi="仿宋" w:eastAsia="仿宋" w:cs="仿宋"/>
                <w:sz w:val="21"/>
                <w:szCs w:val="21"/>
                <w:lang w:val="en-US" w:eastAsia="zh-CN"/>
              </w:rPr>
              <w:t>10</w:t>
            </w:r>
            <w:r>
              <w:rPr>
                <w:rFonts w:hint="eastAsia" w:ascii="仿宋" w:hAnsi="仿宋" w:eastAsia="仿宋" w:cs="仿宋"/>
                <w:sz w:val="21"/>
                <w:szCs w:val="21"/>
              </w:rPr>
              <w:t>分。</w:t>
            </w:r>
          </w:p>
        </w:tc>
      </w:tr>
      <w:tr w14:paraId="4DE2D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496" w:type="pct"/>
            <w:noWrap w:val="0"/>
            <w:vAlign w:val="center"/>
          </w:tcPr>
          <w:p w14:paraId="1DA34D4A">
            <w:pPr>
              <w:widowControl w:val="0"/>
              <w:jc w:val="both"/>
              <w:rPr>
                <w:rFonts w:hint="eastAsia" w:ascii="仿宋" w:hAnsi="仿宋" w:eastAsia="仿宋" w:cs="仿宋"/>
                <w:sz w:val="21"/>
                <w:szCs w:val="21"/>
                <w:vertAlign w:val="baseline"/>
              </w:rPr>
            </w:pPr>
            <w:r>
              <w:rPr>
                <w:rFonts w:hint="eastAsia" w:ascii="仿宋" w:hAnsi="仿宋" w:eastAsia="仿宋" w:cs="仿宋"/>
                <w:sz w:val="21"/>
                <w:szCs w:val="21"/>
              </w:rPr>
              <w:t>四、安全合规</w:t>
            </w:r>
          </w:p>
        </w:tc>
        <w:tc>
          <w:tcPr>
            <w:tcW w:w="2248" w:type="pct"/>
            <w:noWrap w:val="0"/>
            <w:vAlign w:val="center"/>
          </w:tcPr>
          <w:p w14:paraId="4FBD96E9">
            <w:pPr>
              <w:widowControl w:val="0"/>
              <w:jc w:val="both"/>
              <w:rPr>
                <w:rFonts w:hint="eastAsia" w:ascii="仿宋" w:hAnsi="仿宋" w:eastAsia="仿宋" w:cs="仿宋"/>
                <w:sz w:val="21"/>
                <w:szCs w:val="21"/>
              </w:rPr>
            </w:pPr>
            <w:r>
              <w:rPr>
                <w:rFonts w:hint="eastAsia" w:ascii="仿宋" w:hAnsi="仿宋" w:eastAsia="仿宋" w:cs="仿宋"/>
                <w:sz w:val="21"/>
                <w:szCs w:val="21"/>
              </w:rPr>
              <w:t>严格遵守相关法律法规和医院规章制度</w:t>
            </w:r>
            <w:r>
              <w:rPr>
                <w:rFonts w:hint="eastAsia" w:ascii="仿宋" w:hAnsi="仿宋" w:eastAsia="仿宋" w:cs="仿宋"/>
                <w:sz w:val="21"/>
                <w:szCs w:val="21"/>
                <w:lang w:eastAsia="zh-CN"/>
              </w:rPr>
              <w:t>和</w:t>
            </w:r>
            <w:r>
              <w:rPr>
                <w:rFonts w:hint="eastAsia" w:ascii="仿宋" w:hAnsi="仿宋" w:eastAsia="仿宋" w:cs="仿宋"/>
                <w:sz w:val="21"/>
                <w:szCs w:val="21"/>
              </w:rPr>
              <w:t>安全操作规范，避免人为事故和违章操作</w:t>
            </w:r>
            <w:r>
              <w:rPr>
                <w:rFonts w:hint="eastAsia" w:ascii="仿宋" w:hAnsi="仿宋" w:eastAsia="仿宋" w:cs="仿宋"/>
                <w:sz w:val="21"/>
                <w:szCs w:val="21"/>
                <w:lang w:eastAsia="zh-CN"/>
              </w:rPr>
              <w:t>，</w:t>
            </w:r>
            <w:r>
              <w:rPr>
                <w:rFonts w:hint="eastAsia" w:ascii="仿宋" w:hAnsi="仿宋" w:eastAsia="仿宋" w:cs="仿宋"/>
                <w:sz w:val="21"/>
                <w:szCs w:val="21"/>
              </w:rPr>
              <w:t>确保设备年检和评审检查顺利通过。</w:t>
            </w:r>
          </w:p>
        </w:tc>
        <w:tc>
          <w:tcPr>
            <w:tcW w:w="410" w:type="pct"/>
            <w:noWrap w:val="0"/>
            <w:vAlign w:val="center"/>
          </w:tcPr>
          <w:p w14:paraId="28B10E0A">
            <w:pPr>
              <w:widowControl w:val="0"/>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5</w:t>
            </w:r>
          </w:p>
        </w:tc>
        <w:tc>
          <w:tcPr>
            <w:tcW w:w="418" w:type="pct"/>
            <w:noWrap w:val="0"/>
            <w:vAlign w:val="center"/>
          </w:tcPr>
          <w:p w14:paraId="6B616461">
            <w:pPr>
              <w:widowControl w:val="0"/>
              <w:jc w:val="both"/>
              <w:rPr>
                <w:rFonts w:hint="eastAsia" w:ascii="仿宋" w:hAnsi="仿宋" w:eastAsia="仿宋" w:cs="仿宋"/>
                <w:sz w:val="21"/>
                <w:szCs w:val="21"/>
                <w:vertAlign w:val="baseline"/>
              </w:rPr>
            </w:pPr>
          </w:p>
        </w:tc>
        <w:tc>
          <w:tcPr>
            <w:tcW w:w="1426" w:type="pct"/>
            <w:noWrap w:val="0"/>
            <w:vAlign w:val="center"/>
          </w:tcPr>
          <w:p w14:paraId="7FAFFE62">
            <w:pPr>
              <w:widowControl w:val="0"/>
              <w:jc w:val="both"/>
              <w:rPr>
                <w:rFonts w:hint="default" w:ascii="仿宋" w:hAnsi="仿宋" w:eastAsia="仿宋" w:cs="仿宋"/>
                <w:sz w:val="21"/>
                <w:szCs w:val="21"/>
                <w:lang w:val="en-US" w:eastAsia="zh-CN"/>
              </w:rPr>
            </w:pPr>
            <w:r>
              <w:rPr>
                <w:rFonts w:hint="eastAsia" w:ascii="仿宋" w:hAnsi="仿宋" w:eastAsia="仿宋" w:cs="仿宋"/>
                <w:sz w:val="21"/>
                <w:szCs w:val="21"/>
                <w:lang w:eastAsia="zh-CN"/>
              </w:rPr>
              <w:t>出现</w:t>
            </w:r>
            <w:r>
              <w:rPr>
                <w:rFonts w:hint="eastAsia" w:ascii="仿宋" w:hAnsi="仿宋" w:eastAsia="仿宋" w:cs="仿宋"/>
                <w:sz w:val="21"/>
                <w:szCs w:val="21"/>
                <w:lang w:val="en-US" w:eastAsia="zh-CN"/>
              </w:rPr>
              <w:t>1次，扣1分。</w:t>
            </w:r>
          </w:p>
        </w:tc>
      </w:tr>
      <w:tr w14:paraId="199DB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496" w:type="pct"/>
            <w:noWrap w:val="0"/>
            <w:vAlign w:val="center"/>
          </w:tcPr>
          <w:p w14:paraId="720D9D67">
            <w:pPr>
              <w:widowControl w:val="0"/>
              <w:jc w:val="center"/>
              <w:rPr>
                <w:rFonts w:hint="eastAsia" w:ascii="仿宋" w:hAnsi="仿宋" w:eastAsia="仿宋" w:cs="仿宋"/>
                <w:lang w:eastAsia="zh-CN"/>
              </w:rPr>
            </w:pPr>
            <w:r>
              <w:rPr>
                <w:rFonts w:hint="eastAsia" w:ascii="仿宋" w:hAnsi="仿宋" w:eastAsia="仿宋" w:cs="仿宋"/>
                <w:lang w:eastAsia="zh-CN"/>
              </w:rPr>
              <w:t>总分</w:t>
            </w:r>
          </w:p>
        </w:tc>
        <w:tc>
          <w:tcPr>
            <w:tcW w:w="2248" w:type="pct"/>
            <w:noWrap w:val="0"/>
            <w:vAlign w:val="center"/>
          </w:tcPr>
          <w:p w14:paraId="7D3EB98C">
            <w:pPr>
              <w:widowControl w:val="0"/>
              <w:jc w:val="center"/>
              <w:rPr>
                <w:rFonts w:hint="eastAsia" w:ascii="仿宋" w:hAnsi="仿宋" w:eastAsia="仿宋" w:cs="仿宋"/>
                <w:lang w:val="en-US" w:eastAsia="zh-CN"/>
              </w:rPr>
            </w:pPr>
            <w:r>
              <w:rPr>
                <w:rFonts w:hint="eastAsia" w:ascii="仿宋" w:hAnsi="仿宋" w:eastAsia="仿宋" w:cs="仿宋"/>
                <w:lang w:val="en-US" w:eastAsia="zh-CN"/>
              </w:rPr>
              <w:t>100</w:t>
            </w:r>
          </w:p>
        </w:tc>
        <w:tc>
          <w:tcPr>
            <w:tcW w:w="829" w:type="pct"/>
            <w:gridSpan w:val="2"/>
            <w:noWrap w:val="0"/>
            <w:vAlign w:val="center"/>
          </w:tcPr>
          <w:p w14:paraId="392A9756">
            <w:pPr>
              <w:widowControl w:val="0"/>
              <w:jc w:val="center"/>
              <w:rPr>
                <w:rFonts w:hint="eastAsia" w:ascii="仿宋" w:hAnsi="仿宋" w:eastAsia="仿宋" w:cs="仿宋"/>
                <w:vertAlign w:val="baseline"/>
                <w:lang w:eastAsia="zh-CN"/>
              </w:rPr>
            </w:pPr>
            <w:r>
              <w:rPr>
                <w:rFonts w:hint="eastAsia" w:ascii="仿宋" w:hAnsi="仿宋" w:eastAsia="仿宋" w:cs="仿宋"/>
                <w:vertAlign w:val="baseline"/>
                <w:lang w:eastAsia="zh-CN"/>
              </w:rPr>
              <w:t>考核总分</w:t>
            </w:r>
          </w:p>
        </w:tc>
        <w:tc>
          <w:tcPr>
            <w:tcW w:w="1426" w:type="pct"/>
            <w:noWrap w:val="0"/>
            <w:vAlign w:val="center"/>
          </w:tcPr>
          <w:p w14:paraId="6865ED8D">
            <w:pPr>
              <w:widowControl w:val="0"/>
              <w:jc w:val="center"/>
              <w:rPr>
                <w:rFonts w:hint="eastAsia" w:ascii="仿宋" w:hAnsi="仿宋" w:eastAsia="仿宋" w:cs="仿宋"/>
              </w:rPr>
            </w:pPr>
          </w:p>
        </w:tc>
      </w:tr>
      <w:tr w14:paraId="14BF1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496" w:type="pct"/>
            <w:noWrap w:val="0"/>
            <w:vAlign w:val="center"/>
          </w:tcPr>
          <w:p w14:paraId="38C446D6">
            <w:pPr>
              <w:widowControl w:val="0"/>
              <w:jc w:val="center"/>
              <w:rPr>
                <w:rFonts w:hint="eastAsia" w:ascii="仿宋" w:hAnsi="仿宋" w:eastAsia="仿宋" w:cs="仿宋"/>
                <w:lang w:eastAsia="zh-CN"/>
              </w:rPr>
            </w:pPr>
            <w:r>
              <w:rPr>
                <w:rFonts w:hint="eastAsia" w:ascii="仿宋" w:hAnsi="仿宋" w:eastAsia="仿宋" w:cs="仿宋"/>
                <w:lang w:eastAsia="zh-CN"/>
              </w:rPr>
              <w:t>考核人</w:t>
            </w:r>
          </w:p>
        </w:tc>
        <w:tc>
          <w:tcPr>
            <w:tcW w:w="2248" w:type="pct"/>
            <w:noWrap w:val="0"/>
            <w:vAlign w:val="center"/>
          </w:tcPr>
          <w:p w14:paraId="29DD6280">
            <w:pPr>
              <w:widowControl w:val="0"/>
              <w:jc w:val="center"/>
              <w:rPr>
                <w:rFonts w:hint="eastAsia" w:ascii="仿宋" w:hAnsi="仿宋" w:eastAsia="仿宋" w:cs="仿宋"/>
                <w:lang w:val="en-US" w:eastAsia="zh-CN"/>
              </w:rPr>
            </w:pPr>
          </w:p>
        </w:tc>
        <w:tc>
          <w:tcPr>
            <w:tcW w:w="829" w:type="pct"/>
            <w:gridSpan w:val="2"/>
            <w:noWrap w:val="0"/>
            <w:vAlign w:val="center"/>
          </w:tcPr>
          <w:p w14:paraId="3286EA11">
            <w:pPr>
              <w:widowControl w:val="0"/>
              <w:jc w:val="center"/>
              <w:rPr>
                <w:rFonts w:hint="eastAsia" w:ascii="仿宋" w:hAnsi="仿宋" w:eastAsia="仿宋" w:cs="仿宋"/>
                <w:vertAlign w:val="baseline"/>
                <w:lang w:eastAsia="zh-CN"/>
              </w:rPr>
            </w:pPr>
            <w:r>
              <w:rPr>
                <w:rFonts w:hint="eastAsia" w:ascii="仿宋" w:hAnsi="仿宋" w:eastAsia="仿宋" w:cs="仿宋"/>
                <w:vertAlign w:val="baseline"/>
                <w:lang w:eastAsia="zh-CN"/>
              </w:rPr>
              <w:t>乙方签字确认</w:t>
            </w:r>
          </w:p>
        </w:tc>
        <w:tc>
          <w:tcPr>
            <w:tcW w:w="1426" w:type="pct"/>
            <w:noWrap w:val="0"/>
            <w:vAlign w:val="center"/>
          </w:tcPr>
          <w:p w14:paraId="12EDAF27">
            <w:pPr>
              <w:widowControl w:val="0"/>
              <w:jc w:val="center"/>
              <w:rPr>
                <w:rFonts w:hint="eastAsia" w:ascii="仿宋" w:hAnsi="仿宋" w:eastAsia="仿宋" w:cs="仿宋"/>
              </w:rPr>
            </w:pPr>
          </w:p>
        </w:tc>
      </w:tr>
      <w:tr w14:paraId="69EC1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496" w:type="pct"/>
            <w:noWrap w:val="0"/>
            <w:vAlign w:val="center"/>
          </w:tcPr>
          <w:p w14:paraId="33E4EE63">
            <w:pPr>
              <w:widowControl w:val="0"/>
              <w:jc w:val="center"/>
              <w:rPr>
                <w:rFonts w:hint="eastAsia" w:ascii="仿宋" w:hAnsi="仿宋" w:eastAsia="仿宋" w:cs="仿宋"/>
                <w:lang w:eastAsia="zh-CN"/>
              </w:rPr>
            </w:pPr>
            <w:r>
              <w:rPr>
                <w:rFonts w:hint="eastAsia" w:ascii="仿宋" w:hAnsi="仿宋" w:eastAsia="仿宋" w:cs="仿宋"/>
                <w:lang w:eastAsia="zh-CN"/>
              </w:rPr>
              <w:t>意见</w:t>
            </w:r>
          </w:p>
        </w:tc>
        <w:tc>
          <w:tcPr>
            <w:tcW w:w="4503" w:type="pct"/>
            <w:gridSpan w:val="4"/>
            <w:noWrap w:val="0"/>
            <w:vAlign w:val="center"/>
          </w:tcPr>
          <w:p w14:paraId="62F00C1D">
            <w:pPr>
              <w:widowControl w:val="0"/>
              <w:jc w:val="center"/>
              <w:rPr>
                <w:rFonts w:hint="eastAsia" w:ascii="仿宋" w:hAnsi="仿宋" w:eastAsia="仿宋" w:cs="仿宋"/>
              </w:rPr>
            </w:pPr>
          </w:p>
        </w:tc>
      </w:tr>
      <w:tr w14:paraId="0E555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trPr>
        <w:tc>
          <w:tcPr>
            <w:tcW w:w="496" w:type="pct"/>
            <w:noWrap w:val="0"/>
            <w:vAlign w:val="center"/>
          </w:tcPr>
          <w:p w14:paraId="705BFFEA">
            <w:pPr>
              <w:widowControl w:val="0"/>
              <w:jc w:val="center"/>
              <w:rPr>
                <w:rFonts w:hint="eastAsia" w:ascii="仿宋" w:hAnsi="仿宋" w:eastAsia="仿宋" w:cs="仿宋"/>
                <w:lang w:eastAsia="zh-CN"/>
              </w:rPr>
            </w:pPr>
            <w:r>
              <w:rPr>
                <w:rFonts w:hint="eastAsia" w:ascii="仿宋" w:hAnsi="仿宋" w:eastAsia="仿宋" w:cs="仿宋"/>
                <w:lang w:eastAsia="zh-CN"/>
              </w:rPr>
              <w:t>考核结果评定</w:t>
            </w:r>
          </w:p>
        </w:tc>
        <w:tc>
          <w:tcPr>
            <w:tcW w:w="4503" w:type="pct"/>
            <w:gridSpan w:val="4"/>
            <w:noWrap w:val="0"/>
            <w:vAlign w:val="center"/>
          </w:tcPr>
          <w:p w14:paraId="73C1ECE8">
            <w:pPr>
              <w:widowControl w:val="0"/>
              <w:jc w:val="both"/>
              <w:rPr>
                <w:rFonts w:hint="eastAsia" w:ascii="仿宋" w:hAnsi="仿宋" w:eastAsia="仿宋" w:cs="仿宋"/>
                <w:lang w:val="en-US" w:eastAsia="zh-CN"/>
              </w:rPr>
            </w:pPr>
            <w:r>
              <w:rPr>
                <w:rFonts w:hint="eastAsia" w:ascii="仿宋" w:hAnsi="仿宋" w:eastAsia="仿宋" w:cs="仿宋"/>
                <w:lang w:eastAsia="zh-CN"/>
              </w:rPr>
              <w:t>总分</w:t>
            </w:r>
            <w:r>
              <w:rPr>
                <w:rFonts w:hint="eastAsia" w:ascii="仿宋" w:hAnsi="仿宋" w:eastAsia="仿宋" w:cs="仿宋"/>
                <w:lang w:val="en-US" w:eastAsia="zh-CN"/>
              </w:rPr>
              <w:t>100分，按次考核付款。</w:t>
            </w:r>
          </w:p>
          <w:p w14:paraId="40CC5B13">
            <w:pPr>
              <w:widowControl w:val="0"/>
              <w:jc w:val="both"/>
              <w:rPr>
                <w:rFonts w:hint="eastAsia" w:ascii="仿宋" w:hAnsi="仿宋" w:eastAsia="仿宋" w:cs="仿宋"/>
                <w:lang w:val="en-US" w:eastAsia="zh-CN"/>
              </w:rPr>
            </w:pPr>
            <w:r>
              <w:rPr>
                <w:rFonts w:hint="eastAsia" w:ascii="仿宋" w:hAnsi="仿宋" w:eastAsia="仿宋" w:cs="仿宋"/>
                <w:lang w:val="en-US" w:eastAsia="zh-CN"/>
              </w:rPr>
              <w:t>考评人为使用科室负责人。</w:t>
            </w:r>
          </w:p>
          <w:p w14:paraId="77867182">
            <w:pPr>
              <w:widowControl w:val="0"/>
              <w:jc w:val="both"/>
              <w:rPr>
                <w:rFonts w:hint="eastAsia" w:ascii="仿宋" w:hAnsi="仿宋" w:eastAsia="仿宋" w:cs="仿宋"/>
                <w:highlight w:val="yellow"/>
              </w:rPr>
            </w:pPr>
            <w:r>
              <w:rPr>
                <w:rFonts w:hint="eastAsia" w:ascii="仿宋" w:hAnsi="仿宋" w:eastAsia="仿宋" w:cs="仿宋"/>
                <w:highlight w:val="yellow"/>
                <w:lang w:eastAsia="zh-CN"/>
              </w:rPr>
              <w:t>考核结果</w:t>
            </w:r>
            <w:r>
              <w:rPr>
                <w:rFonts w:hint="eastAsia" w:ascii="宋体" w:hAnsi="宋体" w:eastAsia="宋体" w:cs="宋体"/>
                <w:highlight w:val="yellow"/>
                <w:lang w:eastAsia="zh-CN"/>
              </w:rPr>
              <w:t>≧</w:t>
            </w:r>
            <w:r>
              <w:rPr>
                <w:rFonts w:hint="eastAsia" w:ascii="仿宋" w:hAnsi="仿宋" w:eastAsia="仿宋" w:cs="仿宋"/>
                <w:highlight w:val="yellow"/>
                <w:lang w:val="en-US" w:eastAsia="zh-CN"/>
              </w:rPr>
              <w:t>90</w:t>
            </w:r>
            <w:r>
              <w:rPr>
                <w:rFonts w:hint="eastAsia" w:ascii="仿宋" w:hAnsi="仿宋" w:eastAsia="仿宋" w:cs="仿宋"/>
                <w:highlight w:val="yellow"/>
              </w:rPr>
              <w:t>分：</w:t>
            </w:r>
            <w:r>
              <w:rPr>
                <w:rFonts w:hint="eastAsia" w:ascii="仿宋" w:hAnsi="仿宋" w:eastAsia="仿宋" w:cs="仿宋"/>
                <w:highlight w:val="yellow"/>
                <w:lang w:eastAsia="zh-CN"/>
              </w:rPr>
              <w:t>全额支付</w:t>
            </w:r>
            <w:r>
              <w:rPr>
                <w:rFonts w:hint="eastAsia" w:ascii="仿宋" w:hAnsi="仿宋" w:eastAsia="仿宋" w:cs="仿宋"/>
                <w:highlight w:val="yellow"/>
              </w:rPr>
              <w:t xml:space="preserve">  </w:t>
            </w:r>
          </w:p>
          <w:p w14:paraId="388FBEFA">
            <w:pPr>
              <w:widowControl w:val="0"/>
              <w:ind w:firstLine="960" w:firstLineChars="400"/>
              <w:jc w:val="both"/>
              <w:rPr>
                <w:rFonts w:hint="eastAsia" w:ascii="仿宋" w:hAnsi="仿宋" w:eastAsia="仿宋" w:cs="仿宋"/>
                <w:highlight w:val="yellow"/>
                <w:lang w:val="en-US" w:eastAsia="zh-CN"/>
              </w:rPr>
            </w:pPr>
            <w:r>
              <w:rPr>
                <w:rFonts w:hint="eastAsia" w:ascii="仿宋" w:hAnsi="仿宋" w:eastAsia="仿宋" w:cs="仿宋"/>
                <w:highlight w:val="yellow"/>
                <w:lang w:eastAsia="zh-CN"/>
              </w:rPr>
              <w:t>[</w:t>
            </w:r>
            <w:r>
              <w:rPr>
                <w:rFonts w:hint="eastAsia" w:ascii="仿宋" w:hAnsi="仿宋" w:eastAsia="仿宋" w:cs="仿宋"/>
                <w:highlight w:val="yellow"/>
                <w:lang w:val="en-US" w:eastAsia="zh-CN"/>
              </w:rPr>
              <w:t>75-89）</w:t>
            </w:r>
            <w:r>
              <w:rPr>
                <w:rFonts w:hint="eastAsia" w:ascii="仿宋" w:hAnsi="仿宋" w:eastAsia="仿宋" w:cs="仿宋"/>
                <w:highlight w:val="yellow"/>
              </w:rPr>
              <w:t>分：</w:t>
            </w:r>
            <w:r>
              <w:rPr>
                <w:rFonts w:hint="eastAsia" w:ascii="仿宋" w:hAnsi="仿宋" w:eastAsia="仿宋" w:cs="仿宋"/>
                <w:highlight w:val="yellow"/>
                <w:lang w:eastAsia="zh-CN"/>
              </w:rPr>
              <w:t>支付付款金额的</w:t>
            </w:r>
            <w:r>
              <w:rPr>
                <w:rFonts w:hint="eastAsia" w:ascii="仿宋" w:hAnsi="仿宋" w:eastAsia="仿宋" w:cs="仿宋"/>
                <w:highlight w:val="yellow"/>
                <w:lang w:val="en-US" w:eastAsia="zh-CN"/>
              </w:rPr>
              <w:t>95%</w:t>
            </w:r>
          </w:p>
          <w:p w14:paraId="0D2B569D">
            <w:pPr>
              <w:widowControl w:val="0"/>
              <w:ind w:firstLine="960" w:firstLineChars="400"/>
              <w:jc w:val="both"/>
              <w:rPr>
                <w:rFonts w:hint="eastAsia" w:ascii="仿宋" w:hAnsi="仿宋" w:eastAsia="仿宋" w:cs="仿宋"/>
                <w:highlight w:val="yellow"/>
                <w:lang w:val="en-US" w:eastAsia="zh-CN"/>
              </w:rPr>
            </w:pPr>
            <w:r>
              <w:rPr>
                <w:rFonts w:hint="eastAsia" w:ascii="仿宋" w:hAnsi="仿宋" w:eastAsia="仿宋" w:cs="仿宋"/>
                <w:highlight w:val="yellow"/>
                <w:lang w:eastAsia="zh-CN"/>
              </w:rPr>
              <w:t>[</w:t>
            </w:r>
            <w:r>
              <w:rPr>
                <w:rFonts w:hint="eastAsia" w:ascii="仿宋" w:hAnsi="仿宋" w:eastAsia="仿宋" w:cs="仿宋"/>
                <w:highlight w:val="yellow"/>
                <w:lang w:val="en-US" w:eastAsia="zh-CN"/>
              </w:rPr>
              <w:t>60-74）</w:t>
            </w:r>
            <w:r>
              <w:rPr>
                <w:rFonts w:hint="eastAsia" w:ascii="仿宋" w:hAnsi="仿宋" w:eastAsia="仿宋" w:cs="仿宋"/>
                <w:highlight w:val="yellow"/>
              </w:rPr>
              <w:t>分：</w:t>
            </w:r>
            <w:r>
              <w:rPr>
                <w:rFonts w:hint="eastAsia" w:ascii="仿宋" w:hAnsi="仿宋" w:eastAsia="仿宋" w:cs="仿宋"/>
                <w:highlight w:val="yellow"/>
                <w:lang w:eastAsia="zh-CN"/>
              </w:rPr>
              <w:t>支付付款金额的</w:t>
            </w:r>
            <w:r>
              <w:rPr>
                <w:rFonts w:hint="eastAsia" w:ascii="仿宋" w:hAnsi="仿宋" w:eastAsia="仿宋" w:cs="仿宋"/>
                <w:highlight w:val="yellow"/>
                <w:lang w:val="en-US" w:eastAsia="zh-CN"/>
              </w:rPr>
              <w:t>90%，并约谈其公司；</w:t>
            </w:r>
          </w:p>
          <w:p w14:paraId="36EEA20E">
            <w:pPr>
              <w:widowControl w:val="0"/>
              <w:ind w:firstLine="960" w:firstLineChars="400"/>
              <w:jc w:val="both"/>
              <w:rPr>
                <w:rFonts w:hint="eastAsia" w:ascii="仿宋" w:hAnsi="仿宋" w:eastAsia="仿宋" w:cs="仿宋"/>
                <w:lang w:eastAsia="zh-CN"/>
              </w:rPr>
            </w:pPr>
            <w:r>
              <w:rPr>
                <w:rFonts w:hint="eastAsia" w:ascii="仿宋" w:hAnsi="仿宋" w:eastAsia="仿宋" w:cs="仿宋"/>
                <w:highlight w:val="yellow"/>
                <w:lang w:val="en-US" w:eastAsia="zh-CN"/>
              </w:rPr>
              <w:t>60</w:t>
            </w:r>
            <w:r>
              <w:rPr>
                <w:rFonts w:hint="eastAsia" w:ascii="仿宋" w:hAnsi="仿宋" w:eastAsia="仿宋" w:cs="仿宋"/>
                <w:highlight w:val="yellow"/>
              </w:rPr>
              <w:t>分</w:t>
            </w:r>
            <w:r>
              <w:rPr>
                <w:rFonts w:hint="eastAsia" w:ascii="仿宋" w:hAnsi="仿宋" w:eastAsia="仿宋" w:cs="仿宋"/>
                <w:highlight w:val="yellow"/>
                <w:lang w:eastAsia="zh-CN"/>
              </w:rPr>
              <w:t>以下</w:t>
            </w:r>
            <w:r>
              <w:rPr>
                <w:rFonts w:hint="eastAsia" w:ascii="仿宋" w:hAnsi="仿宋" w:eastAsia="仿宋" w:cs="仿宋"/>
                <w:highlight w:val="yellow"/>
              </w:rPr>
              <w:t>：</w:t>
            </w:r>
            <w:r>
              <w:rPr>
                <w:rFonts w:hint="eastAsia" w:ascii="仿宋" w:hAnsi="仿宋" w:eastAsia="仿宋" w:cs="仿宋"/>
                <w:sz w:val="21"/>
                <w:szCs w:val="21"/>
                <w:highlight w:val="yellow"/>
                <w:lang w:eastAsia="zh-CN"/>
              </w:rPr>
              <w:t>使用方</w:t>
            </w:r>
            <w:r>
              <w:rPr>
                <w:rFonts w:hint="eastAsia" w:ascii="仿宋" w:hAnsi="仿宋" w:eastAsia="仿宋" w:cs="仿宋"/>
                <w:color w:val="000000"/>
                <w:sz w:val="21"/>
                <w:szCs w:val="21"/>
                <w:highlight w:val="yellow"/>
              </w:rPr>
              <w:t>可单方面终止合同</w:t>
            </w:r>
            <w:r>
              <w:rPr>
                <w:rFonts w:hint="eastAsia" w:ascii="仿宋" w:hAnsi="仿宋" w:eastAsia="仿宋" w:cs="仿宋"/>
                <w:color w:val="000000"/>
                <w:sz w:val="21"/>
                <w:szCs w:val="21"/>
                <w:highlight w:val="yellow"/>
                <w:lang w:eastAsia="zh-CN"/>
              </w:rPr>
              <w:t>，为</w:t>
            </w:r>
            <w:r>
              <w:rPr>
                <w:rFonts w:hint="eastAsia" w:ascii="仿宋" w:hAnsi="仿宋" w:eastAsia="仿宋" w:cs="仿宋"/>
                <w:sz w:val="21"/>
                <w:szCs w:val="21"/>
                <w:highlight w:val="yellow"/>
                <w:lang w:eastAsia="zh-CN"/>
              </w:rPr>
              <w:t>维保方单方面违约承担违约责任。</w:t>
            </w:r>
          </w:p>
        </w:tc>
      </w:tr>
    </w:tbl>
    <w:p w14:paraId="5D4834FD">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FE56B4"/>
    <w:multiLevelType w:val="multilevel"/>
    <w:tmpl w:val="7DFE56B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3A6EE2"/>
    <w:rsid w:val="0781507A"/>
    <w:rsid w:val="10096A7C"/>
    <w:rsid w:val="193A6EE2"/>
    <w:rsid w:val="19901545"/>
    <w:rsid w:val="1A197394"/>
    <w:rsid w:val="1E8A3391"/>
    <w:rsid w:val="24F609FE"/>
    <w:rsid w:val="27C35A94"/>
    <w:rsid w:val="2E60747F"/>
    <w:rsid w:val="326F60A3"/>
    <w:rsid w:val="38156F95"/>
    <w:rsid w:val="3C630081"/>
    <w:rsid w:val="3CCF54D3"/>
    <w:rsid w:val="3CE753A4"/>
    <w:rsid w:val="455B668D"/>
    <w:rsid w:val="4ED15397"/>
    <w:rsid w:val="50507D76"/>
    <w:rsid w:val="55B333B0"/>
    <w:rsid w:val="597C67AB"/>
    <w:rsid w:val="677E31CB"/>
    <w:rsid w:val="714639EC"/>
    <w:rsid w:val="72936D77"/>
    <w:rsid w:val="78564BB1"/>
    <w:rsid w:val="79E73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styleId="4">
    <w:name w:val="Normal Indent"/>
    <w:basedOn w:val="1"/>
    <w:qFormat/>
    <w:uiPriority w:val="99"/>
    <w:pPr>
      <w:ind w:firstLine="420"/>
    </w:pPr>
  </w:style>
  <w:style w:type="paragraph" w:styleId="5">
    <w:name w:val="annotation text"/>
    <w:basedOn w:val="1"/>
    <w:unhideWhenUsed/>
    <w:qFormat/>
    <w:uiPriority w:val="99"/>
    <w:pPr>
      <w:spacing w:line="400" w:lineRule="exact"/>
    </w:pPr>
    <w:rPr>
      <w:rFonts w:ascii="Calibri Light" w:hAnsi="Calibri Light" w:eastAsia="华文仿宋" w:cs="Calibri Light"/>
      <w:kern w:val="2"/>
      <w:sz w:val="28"/>
      <w:szCs w:val="28"/>
    </w:rPr>
  </w:style>
  <w:style w:type="paragraph" w:styleId="6">
    <w:name w:val="Body Text"/>
    <w:basedOn w:val="1"/>
    <w:qFormat/>
    <w:uiPriority w:val="99"/>
    <w:rPr>
      <w:sz w:val="2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0"/>
    <w:pPr>
      <w:ind w:left="720"/>
      <w:contextualSpacing/>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4352</Words>
  <Characters>4424</Characters>
  <Lines>0</Lines>
  <Paragraphs>0</Paragraphs>
  <TotalTime>1</TotalTime>
  <ScaleCrop>false</ScaleCrop>
  <LinksUpToDate>false</LinksUpToDate>
  <CharactersWithSpaces>4803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2025-07-31T08:40:00Z</dcterms:created>
  <dc:creator>骆秀亚</dc:creator>
  <cp:lastModifiedBy>骆秀亚</cp:lastModifiedBy>
  <dcterms:modified xsi:type="dcterms:W3CDTF">2025-08-26T08:28:26Z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B4076885B80D456FB0F0CF554FAC6B3C_13</vt:lpwstr>
  </property>
  <property fmtid="{D5CDD505-2E9C-101B-9397-08002B2CF9AE}" pid="4" name="KSOTemplateDocerSaveRecord">
    <vt:lpwstr>eyJoZGlkIjoiYjZhMWU1NTk2YjdkMzIyM2RlZmMwZWVlOGIwMTRjZGYiLCJ1c2VySWQiOiIzMTc5NzA4MzkifQ==</vt:lpwstr>
  </property>
</Properties>
</file>