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版本号：JXRC-250725-220250825001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北大街院区污水处理站更换生物膜项目(二次)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JXRC-250725-2</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北大街院区污水处理站更换生物膜项目(二次)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JXRC-250725-2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北大街院区污水处理站更换生物膜项目(二次)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北大街院区污水处理站生物膜使用年限已超寿命，现每月离线清洗，已无明显效果。膜丝断裂、板结，产水通量下降，跨膜压差上升直接导致出水水质波动及膜池溢流。已对污水处理效果及系统稳定运行造成较大风险，需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采购包1（北大街院区污水处理站更换生物膜项目）：属于专门面向中小企业采购。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供应商应有良好的财务状况：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供应商应有依法缴纳税收的良好记录：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p>
      <w:pPr>
        <w:pStyle w:val="null3"/>
      </w:pPr>
      <w:r>
        <w:rPr>
          <w:rFonts w:ascii="仿宋_GB2312" w:hAnsi="仿宋_GB2312" w:cs="仿宋_GB2312" w:eastAsia="仿宋_GB2312"/>
        </w:rPr>
        <w:t>4、供应商应有依法缴纳社会保障资金的良好记录：提供自2025年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提供被授权人近三个月在本公司的社会保障资金缴纳证明；</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w:t>
      </w:r>
    </w:p>
    <w:p>
      <w:pPr>
        <w:pStyle w:val="null3"/>
      </w:pPr>
      <w:r>
        <w:rPr>
          <w:rFonts w:ascii="仿宋_GB2312" w:hAnsi="仿宋_GB2312" w:cs="仿宋_GB2312" w:eastAsia="仿宋_GB2312"/>
        </w:rPr>
        <w:t>8、供应商资质：供应商应具有环保工程专业承包二级及以上资质，并具有国家行政管理部门颁发的安全生产许可证书。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曲慧、陆频、张海、田颖琦、陈利娜、晁奕菲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联系人：曲慧、陆频、张海、田颖琦、陈利娜、晁奕菲</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大街院区污水处理站生物膜使用年限已超寿命，现每月离线清洗，已无明显效果。膜丝断裂、板结，产水通量下降，跨膜压差上升直接导致出水水质波动及膜池溢流。已对污水处理效果及系统稳定运行造成较大风险，需更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北大街院区污水处理站更换生物膜项目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标的名称：北大街院区污水处理站更换生物膜项目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一、服务内容</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、MBR膜组件 200 片采购与安装调试。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、安装调试期间不得影响污水站正常运行。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、拆除旧料及垃圾由承包方按规定及时清理。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二、技术要求</w:t>
            </w:r>
          </w:p>
          <w:p>
            <w:pPr>
              <w:pStyle w:val="null3"/>
            </w:pPr>
            <w:r>
              <w:rPr>
                <w:rFonts w:ascii="仿宋_GB2312" w:hAnsi="仿宋_GB2312" w:cs="仿宋_GB2312" w:eastAsia="仿宋_GB2312"/>
                <w:sz w:val="24"/>
                <w:color w:val="000000"/>
              </w:rPr>
              <w:t>MBR</w:t>
            </w:r>
            <w:r>
              <w:rPr>
                <w:rFonts w:ascii="仿宋_GB2312" w:hAnsi="仿宋_GB2312" w:cs="仿宋_GB2312" w:eastAsia="仿宋_GB2312"/>
                <w:sz w:val="24"/>
                <w:color w:val="000000"/>
              </w:rPr>
              <w:t>膜技术要求</w:t>
            </w:r>
          </w:p>
          <w:p>
            <w:pPr>
              <w:pStyle w:val="null3"/>
            </w:pPr>
            <w:r>
              <w:rPr>
                <w:rFonts w:ascii="仿宋_GB2312" w:hAnsi="仿宋_GB2312" w:cs="仿宋_GB2312" w:eastAsia="仿宋_GB2312"/>
                <w:sz w:val="24"/>
                <w:color w:val="000000"/>
              </w:rPr>
              <w:t>（1）聚偏氟乙烯复合膜（PVDF）帘式中空纤维膜（带内衬）</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（2）中空纤维膜材质：聚偏氟乙烯复合膜（PVDF）</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（3）膜形式：帘式中空纤维膜（带内衬）</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（4）截留孔径：0.03-0.05um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（5）中空纤维膜内径：1.0±0.1mm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color w:val="000000"/>
              </w:rPr>
              <w:t>（6）中空纤维膜外经：2.1±0.1mm</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（7）设计通量≥2T/D</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color w:val="000000"/>
              </w:rPr>
              <w:t>（8）膜面积≥ 12㎡</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color w:val="000000"/>
              </w:rPr>
              <w:t>（9）膜片尺寸：宽660±0.01mm  高1160±0.01mm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color w:val="000000"/>
              </w:rPr>
              <w:t>三、服务要求</w:t>
            </w:r>
          </w:p>
          <w:p>
            <w:pPr>
              <w:pStyle w:val="null3"/>
            </w:pPr>
            <w:r>
              <w:rPr>
                <w:rFonts w:ascii="仿宋_GB2312" w:hAnsi="仿宋_GB2312" w:cs="仿宋_GB2312" w:eastAsia="仿宋_GB2312"/>
                <w:sz w:val="24"/>
                <w:color w:val="000000"/>
              </w:rPr>
              <w:t>（1）供应商严格执行施工规范、安全操作规程、防火安全规定、环境保护规定。严格按照环保要求进行施工，做好各项质量检查记录。</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color w:val="000000"/>
              </w:rPr>
              <w:t>（2）供应商要遵守国家或地方政府及有关部门对施工现场管理的规定，妥善保护好施工现场建筑物、设备管线不受损坏。做好施工现场保卫和垃圾清理等工作，处理好由于施工带来的扰民问题。</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color w:val="000000"/>
              </w:rPr>
              <w:t>（3）供应商必须严格按照工期约定完工。因供应商责任不能按期开工或中途无故停工，影响工期，工期不顺延。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color w:val="000000"/>
              </w:rPr>
              <w:t>（4）本工程质量应达到相关环保要求。由于供应商原因造成质量事故，其返工费用由供应商承担，工期不顺延。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不付预付款，乙方按合同要求更换完毕全部生物膜并经甲方验收合格无质量问题后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项目验收合格后满壹年后无质量问题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1、质保期：验收之日起壹年。 2、工期：15天。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提供被授权人近三个月在本公司的社会保障资金缴纳证明；</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供应商应具有环保工程专业承包二级及以上资质，并具有国家行政管理部门颁发的安全生产许可证书。</w:t>
            </w:r>
          </w:p>
        </w:tc>
        <w:tc>
          <w:tcPr>
            <w:tcW w:type="dxa" w:w="1661"/>
          </w:tcPr>
          <w:p>
            <w:pPr>
              <w:pStyle w:val="null3"/>
            </w:pPr>
            <w:r>
              <w:rPr>
                <w:rFonts w:ascii="仿宋_GB2312" w:hAnsi="仿宋_GB2312" w:cs="仿宋_GB2312" w:eastAsia="仿宋_GB2312"/>
              </w:rPr>
              <w:t>供应商资格证明材料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供应商资格证明材料 中小企业声明函 报价表 供应商业绩 响应文件封面 其他材料 残疾人福利性单位声明函 供应商企业关联关系声明函 供应商基本信息 服务方案 标的清单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所有技术指标满足或高于采购文件要求的，得满分24分。技术指标（共16项）有一项不满足扣1.5分，扣完为止。 备注：供应商应在响应文件中尽可能多地提供佐证材料予以证明其技术指标响应性（佐证材料包括但不限于产品彩页、检测报告、承诺书等），并在技术响应偏离表中标注对应页码及位置。</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根据项目实际需求，提供质量保证方案。内容包含①产品性能、使用寿命及效果；②质量保证措施；③产品来源渠道证明材料（包括但不限于合同、发票、代理协议等）。 二、评审标准 1、完整性：方案须全面，对评审内容中的各项要求有详细描述； 2、可实施性：切合本项目实际情况，实施步骤清晰、合理； 3、针对性：方案能够紧扣项目实际情况，内容科学合理。 三、赋分依据（满分9分）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供应商针对本项目提供完整的项目实施方案。内容包含：①施工计划及进度计划；②具有健全的产品安装、检测、调试、试运行及验收方案；③供货组织安排。 二、评审标准 1、完整性：方案须全面，对评审内容中的各项要求有详细描述； 2、可实施性：切合本项目实际情况，实施步骤清晰、合理； 3、针对性：方案能够紧扣本项目实际情况，内容科学合理。 三、赋分依据（满分15分） 上述3项评审内容全部满足评审标准得15分；每有一个评审内容缺项扣5分，扣完为止；每有一项评审内容存在缺陷，扣（0-5）分。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一、评审内容 供应商针对本项目提供人员配置计划，内容包含：①人员的配备计划；②岗位分工、职责；③项目负责人工作经验及专业水平的证明资料（包括但不限于项目负责人学历证、身份证、相关证书等）。 二、评审标准 1、完整性：方案必须全面，对评审内容中的各项要求有详细描述； 2、可实施性：切合本项目实际情况，提出步骤清晰、合理的方案； 3、针对性：方案能够紧扣项目实际情况，内容科学合理。 三、赋分标准（满分9分）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提供近三年（2022年8月至今）同类业绩证明材料（加盖公章），业绩证明材料以完整的合同为准。每提供一个项目的合同计3分，满分9分，提供不全或不提供不得分。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根据项目实际需求提供售后服务方案。内容包含：①服务范围及保障措施；②快速响应的服务能力；③应急处理方案。 二、评审标准 1.完整性：方案须全面，对评审内容中的各项要求有详细描述； 2.可实施性：切合本项目实际情况，提出步骤清晰、合理的方案； 3.针对性：方案能够紧扣项目实际情况，内容科学合理。 三、赋分依据（满分9分）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满足采购文件要求且投标价格最低的投标报价为评标基准价，其价格分为满分。其他供应商的价格分统一按照下列公式计算：投标报价得分=(评标基准价／投标报价)×25。计算分数时四舍五入取小数点后两位。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详见附件：供应商基本信息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