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版本号：ZHJ-2025-01020250903001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2025年度江村沟垃圾填埋场堆体安全稳定监测评估服务项目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ZHJ-2025-010</w:t>
      </w:r>
      <w:r>
        <w:br/>
      </w:r>
      <w:r>
        <w:br/>
      </w:r>
      <w:r>
        <w:br/>
      </w:r>
    </w:p>
    <w:p>
      <w:pPr>
        <w:pStyle w:val="null3"/>
        <w:jc w:val="center"/>
        <w:outlineLvl w:val="2"/>
      </w:pPr>
      <w:r>
        <w:rPr>
          <w:rFonts w:ascii="仿宋_GB2312" w:hAnsi="仿宋_GB2312" w:cs="仿宋_GB2312" w:eastAsia="仿宋_GB2312"/>
          <w:sz w:val="28"/>
          <w:b/>
        </w:rPr>
        <w:t>西安市固体废弃物处置中心</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西安市固体废弃物处置中心</w:t>
      </w:r>
      <w:r>
        <w:rPr>
          <w:rFonts w:ascii="仿宋_GB2312" w:hAnsi="仿宋_GB2312" w:cs="仿宋_GB2312" w:eastAsia="仿宋_GB2312"/>
        </w:rPr>
        <w:t>委托，拟对</w:t>
      </w:r>
      <w:r>
        <w:rPr>
          <w:rFonts w:ascii="仿宋_GB2312" w:hAnsi="仿宋_GB2312" w:cs="仿宋_GB2312" w:eastAsia="仿宋_GB2312"/>
        </w:rPr>
        <w:t>2025年度江村沟垃圾填埋场堆体安全稳定监测评估服务项目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ZHJ-2025-010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2025年度江村沟垃圾填埋场堆体安全稳定监测评估服务项目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本项目主要工作为围绕堆体开展表面水平位移及沉降监测、深层水平位移监测、垃圾堆体主水位和滞水位监测，同时基于跟踪监测结果开展相关分析评估工作等。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1、资质证书：供应商具有工程勘察综合甲级资质或工程勘察专业（岩土工程）甲级资质</w:t>
      </w:r>
    </w:p>
    <w:p>
      <w:pPr>
        <w:pStyle w:val="null3"/>
      </w:pPr>
      <w:r>
        <w:rPr>
          <w:rFonts w:ascii="仿宋_GB2312" w:hAnsi="仿宋_GB2312" w:cs="仿宋_GB2312" w:eastAsia="仿宋_GB2312"/>
        </w:rPr>
        <w:t>2、项目负责人：拟派项目负责人具有注册土木工程师（岩土）注册证书，且在本单位注册</w:t>
      </w:r>
    </w:p>
    <w:p>
      <w:pPr>
        <w:pStyle w:val="null3"/>
      </w:pPr>
      <w:r>
        <w:rPr>
          <w:rFonts w:ascii="仿宋_GB2312" w:hAnsi="仿宋_GB2312" w:cs="仿宋_GB2312" w:eastAsia="仿宋_GB2312"/>
        </w:rPr>
        <w:t>3、法定代表人身份证复印件/法定代表人授权委托书：1)法定代表人参加磋商的，提供法定代表人身份证复印件；2)法定代表人委托代理人参加磋商的，提供法定代表人授权委托书（附法定代表人身份证复印件及被授权委托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西安市固体废弃物处置中心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西安市雁塔区南二环西段154号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宋丽娜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029-87307297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 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17782558318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招标代理办法》计价格[2002]1980号文和发改价格[2011]534号收费标服务费准下浮20%收取代理费。中标/成交供应商向招标代理机构一次性支付，费用含在投标报价中。 开户名称：中鸿建（陕西）建设项目管理有限公司 开户银行：中国银行股份有限公司西安浐灞区支行 账号:102510747970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西安市固体废弃物处置中心</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西安市固体废弃物处置中心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西安市固体废弃物处置中心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根据采购合同规定，对供应商的交付成果按采购文件的验收标准进行验收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联系人：刘峰</w:t>
      </w:r>
    </w:p>
    <w:p>
      <w:pPr>
        <w:pStyle w:val="null3"/>
      </w:pPr>
      <w:r>
        <w:rPr>
          <w:rFonts w:ascii="仿宋_GB2312" w:hAnsi="仿宋_GB2312" w:cs="仿宋_GB2312" w:eastAsia="仿宋_GB2312"/>
        </w:rPr>
        <w:t>联系电话：17782558318</w:t>
      </w:r>
    </w:p>
    <w:p>
      <w:pPr>
        <w:pStyle w:val="null3"/>
      </w:pPr>
      <w:r>
        <w:rPr>
          <w:rFonts w:ascii="仿宋_GB2312" w:hAnsi="仿宋_GB2312" w:cs="仿宋_GB2312" w:eastAsia="仿宋_GB2312"/>
        </w:rPr>
        <w:t>地址：陕西省西安市未央区 陕西省西安市浐灞生态区欧亚大道666号欧亚国际一期A座0917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本项目主要工作为围绕堆体开展表面水平位移及沉降监测、深层水平位移监测、垃圾堆体主水位和滞水位监测，同时基于跟踪监测结果开展相关分析评估工作等。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2025年度江村沟垃圾填埋场堆体安全监测评估服务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标的名称：2025年度江村沟垃圾填埋场堆体安全监测评估服务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安全监测（包括表面水平位移、表面沉降、深层水平位移、水位监测等）</w:t>
            </w:r>
            <w:r>
              <w:rPr>
                <w:rFonts w:ascii="仿宋_GB2312" w:hAnsi="仿宋_GB2312" w:cs="仿宋_GB2312" w:eastAsia="仿宋_GB2312"/>
                <w:sz w:val="21"/>
              </w:rPr>
              <w:t>及稳定性评估</w:t>
            </w:r>
            <w:r>
              <w:rPr>
                <w:rFonts w:ascii="仿宋_GB2312" w:hAnsi="仿宋_GB2312" w:cs="仿宋_GB2312" w:eastAsia="仿宋_GB2312"/>
                <w:sz w:val="21"/>
              </w:rPr>
              <w:t>，堆体降解稳定化评估</w:t>
            </w:r>
            <w:r>
              <w:rPr>
                <w:rFonts w:ascii="仿宋_GB2312" w:hAnsi="仿宋_GB2312" w:cs="仿宋_GB2312" w:eastAsia="仿宋_GB2312"/>
                <w:sz w:val="21"/>
              </w:rPr>
              <w:t>1项，地下水洗井维护服务共</w:t>
            </w:r>
            <w:r>
              <w:rPr>
                <w:rFonts w:ascii="仿宋_GB2312" w:hAnsi="仿宋_GB2312" w:cs="仿宋_GB2312" w:eastAsia="仿宋_GB2312"/>
                <w:sz w:val="21"/>
              </w:rPr>
              <w:t>12</w:t>
            </w:r>
            <w:r>
              <w:rPr>
                <w:rFonts w:ascii="仿宋_GB2312" w:hAnsi="仿宋_GB2312" w:cs="仿宋_GB2312" w:eastAsia="仿宋_GB2312"/>
                <w:sz w:val="21"/>
              </w:rPr>
              <w:t>次。（可根据现场实际需要调整各点位的监测、采样频率、水位测量等工作数量，但各类工作的总工作量不能少于表</w:t>
            </w:r>
            <w:r>
              <w:rPr>
                <w:rFonts w:ascii="仿宋_GB2312" w:hAnsi="仿宋_GB2312" w:cs="仿宋_GB2312" w:eastAsia="仿宋_GB2312"/>
                <w:sz w:val="21"/>
              </w:rPr>
              <w:t>1要求）</w:t>
            </w:r>
            <w:r>
              <w:rPr>
                <w:rFonts w:ascii="仿宋_GB2312" w:hAnsi="仿宋_GB2312" w:cs="仿宋_GB2312" w:eastAsia="仿宋_GB2312"/>
                <w:sz w:val="21"/>
              </w:rPr>
              <w:t>。</w:t>
            </w:r>
            <w:r>
              <w:rPr>
                <w:rFonts w:ascii="仿宋_GB2312" w:hAnsi="仿宋_GB2312" w:cs="仿宋_GB2312" w:eastAsia="仿宋_GB2312"/>
                <w:sz w:val="21"/>
              </w:rPr>
              <w:t>表</w:t>
            </w:r>
            <w:r>
              <w:rPr>
                <w:rFonts w:ascii="仿宋_GB2312" w:hAnsi="仿宋_GB2312" w:cs="仿宋_GB2312" w:eastAsia="仿宋_GB2312"/>
                <w:sz w:val="21"/>
              </w:rPr>
              <w:t>1详见“3.4其他要求”或“第八章拟签订采购合同文本附件</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监测内容包括但不限于堆体表面水平位移与沉降监测、深层水平位移监测、滞水位监测和主水位监测。</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通过表面位移和沉降监测获得堆体滑移影响的范围，并通过水位测试判断可能引起滑移的原因，每月形成监测报告提交甲方。</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开展监测工作后每月向甲方提交上个月监测成果报告，包括监测结果分析和堆体稳定评估。</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当堆体稳定情况恶化时，需要及时预警，并提出有效的堆体安全控制建议及填埋场安全问题技术咨询等。</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堆体降解稳定化评估完成后应及时向甲方汇报并针对堆体降解稳定化情况对堆体降解潜力做出预测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供应商根据磋商文件要求及项目实际情况，自行配置投入完成本项目服务的人员，建立以项目负责人为核心的服务团队，实行项目负责人责任制，相关人员经过严格培训，能够胜任项目工作，保证项目顺利实施。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供应商根据磋商文件要求及项目实际情况，自行配置投入完成本项目服务的设施设备（包含但不限于专业设备、辅助设备、工具、软件等）。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为总价报价，供应商的报价包括乙方履行合同的全部费用，即包括所有机械设备费、服务费、规范规定的检验费、保险费、管理费、税费、规费和利润，以及汛期或特殊情况开展的加密检测工作费用等一切费用，如有缺漏项，视同包含在合同总价内。 特别注意：根据《陕西省财政厅关于进一步优化政府采购营商环境有关事项的通知》（陕财办采〔2023〕4号）规定，采购人应在中标通知书发出之日起25日与中标人签订采购合同，因采购系统文件编制有所限制，文件前后不一致以此处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合同签订后至2025年12月15日。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西安市江村沟垃圾填埋场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根据采购合同规定，对供应商的交付成果按采购文件的验收标准进行验收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乙方按照合同要求完成所有服务内容并出具所有评估报告报在甲方接收后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表1项目工作量汇总表 （注：因采购文件编制格式限制，此处表格以文字体现，表格格式详见第八章拟签订采购合同文本附件，以下内容依次为序号、工作内容、单位、数量、备注） 一、现场堆体安全监测 1.1表面水平位移监测、点*次、2720、 共170个表面位移监测点；费用包含汛期或有特殊情况时，根据甲方要求开展的加密监测工作。 1.2表面沉降监测、点*次、2720、共170个表面沉降监测点；费用包含汛期或有特殊情况时，根据甲方要求开展的加密监测工作。 1.3深层水平位移监测、米*次、11968、共34个测斜（兼滞水位）监测井，单井平均监测深度约22m；费用包含汛期或有特殊情况时，根据甲方要求开展的加密监测工作。 1.4水位监测（含孔压监测）、次、944、共34个测斜（兼滞水位）监测井，25个孔压（主水位）监测井；费用包含汛期或有特殊情况时，根据甲方要求开展的加密监测工作。 1.5、监测数据整理分析、次、6、数据整理及安全评估，需至少2位中级及中级以上职称人员。 二、堆体降解稳定化评估 2.1渗滤液水样、pH、个、10、按照GB/T 18772规定方法测试。 电导率、个、10、按照GB/T 18772规定方法测试。 COD、个、10、按照GB/T 18772规定方法测试。 BOD、个、10、按照GB/T 18772规定方法测试。 VFA、个、10 、化学滴定法。 总氮、个、10按照GB/T 18772规定方法测试。 氨氮、个、10按照GB/T 18772规定方法测试。 SUV254、个、10使用分光光度计测试。 DOC、个、10、HJ 501燃烧氧化-非分散红外吸收法。 三维荧光光谱、个、10、荧光光谱仪。 2.2气体组分、组 、20 、测试导排井内、监测井内的填埋气组分。 甲烷逸出量、次、10、静态箱法测试。 抽气实验、项、1 无人机航测、项、1、根据需要，采用带红外探测设备的无人机对全场进行不少于1次扫描。 2.3堆体降解稳定化评估、项、1、内容包括降解潜力、堆体内积存渗滤液、导排系统效能、填埋气产气量、组分变化情况、填埋气逸散等评估。 三、地下水监测井洗井服务 3.1地下水监测井洗井、点*次、72、共6口地下水监测井包括抽水设备安装、调试、拆卸、人工等全部费用，抽水所用的设备、电缆、管道、电源等问题和材料问题均由乙方解决，抽水台班视监测情况而定，一般不少于5个小时。 3.2地下水位测量、次、360、水位监测视抽水情况而定，每口监测井每次洗井测量不少于5次。 注：1、本表内的工作内容和工作量为本场前期安全监测经验和目前实际需要，结合相关规范制定，投标人可根据自身需要在此基础上进行优化补充，但不能少于表中工作内容和工作量，若加密监测涉及增设点位的，全部相关费用由委托方（乙方）承担。 2、乙方报价应包括为了完成项目所涉及的人员费、机械费、材料费、高空作业费、税费等全部相关费用，且价格不因政策调整而发生变化。 3、合同执行期若发生水灾、风灾、旱灾、地震、战争、封锁、公共卫生事件、政府禁令等不可抗力事件导致维护工程实施成本增加的，全部相关费用由承包方承担。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以上②至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 注：财务状况资格审查所需证明材料，提供“陕西省政府采购供应商信用承诺书”的，可不再提供其他证明文件。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供应商具有工程勘察综合甲级资质或工程勘察专业（岩土工程）甲级资质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拟派项目负责人具有注册土木工程师（岩土）注册证书，且在本单位注册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1)法定代表人参加磋商的，提供法定代表人身份证复印件；2)法定代表人委托代理人参加磋商的，提供法定代表人授权委托书（附法定代表人身份证复印件及被授权委托人身份证复印件）。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商务、服务、技术条款偏离表.docx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商务、服务、技术条款偏离表.docx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根据各供应商针对本项目提供的服务方案，包括 ①工作目标②实施方案③岗位职责制度④工作秩序⑤本项目技术流程、重点、难点把控等内容。 2、赋分标准 （1）方案内容科学合理、可操作性强、方案内容齐全、完全满足项目需求，得20分； （2）方案内容可行且科学合理可操作性较强、方案内容较齐全，满足项目需求，得16分； （3）方案内容较科学合理有一定的操作性、方案内容较齐全，基本满足项目需求得12分； （4）方案内容可行性一般，方案内容基本合理，得8分； （5）方案内容欠缺、缺乏科学性合理性、可操作性较差，得4分。 未提供或其他得0分。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1、评审内容 根据各供应商针对本项目提供的服务质量保障措施，包括①项目服务时间②服务质量保障③服务人员到位情况等内容。 2、赋分标准 （1）服务质量保障措施科学合理、可操作性强、方案内容齐全、完全满足项目需求，得10分； （2）服务质量保障措施可行且科学合理可操作性较强、方案内容较齐全，满足项目需求，得8分； （3）服务质量保障措施较科学合理有一定的操作性、方案内容较齐全，基本满足项目需求得6分； （4）服务质量保障措施可行性一般，方案内容基本合理，得4分； （5）服务质量保障措施内容欠缺、缺乏科学性合理性、可操作性较差，得2分。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1、评审内容 根据各供应商针对本项目提供的应急方案，包括①各种突发事件②火灾、爆炸、泄露等方面。 2、赋分标准 （1）方案内容科学合理、可操作性强、方案内容齐全、完全满足项目需求，得10分； （2）方案内容可行且科学合理可操作性较强、方案内容较齐全，满足项目需求，得8分； （3）方案内容较科学合理有一定的操作性、方案内容较齐全，基本满足项目需求得6分； （4）方案内容可行性一般，方案内容基本合理，得4分； （5）方案内容欠缺、缺乏科学性合理性、可操作性较差，得2分。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安全控制措施</w:t>
            </w:r>
          </w:p>
        </w:tc>
        <w:tc>
          <w:tcPr>
            <w:tcW w:type="dxa" w:w="2492"/>
          </w:tcPr>
          <w:p>
            <w:pPr>
              <w:pStyle w:val="null3"/>
            </w:pPr>
            <w:r>
              <w:rPr>
                <w:rFonts w:ascii="仿宋_GB2312" w:hAnsi="仿宋_GB2312" w:cs="仿宋_GB2312" w:eastAsia="仿宋_GB2312"/>
              </w:rPr>
              <w:t>1、评审内容 根据各供应商针对本项目提供的安全控制措施，包括①项目安全目标②安全管理制度③安全保证措施等内容。 2、赋分标准 （1）安全控制措施科学合理、可操作性强、方案内容齐全、完全满足项目需求，得10分； （2）安全控制措施可行且科学合理可操作性较强、方案内容较齐全，满足项目需求，得8分； （3）安全控制措施较科学合理有一定的操作性、方案内容较齐全，基本满足项目需求得6分； （4）安全控制措施可行性一般，方案内容基本合理，得4分； （5）安全控制措施内容欠缺、缺乏科学性合理性、可操作性较差，得2分。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1、评审内容 根据各供应商针对本项目拟投入的设备方案，包括①设备清单②设备配套使用情况③储存场地的标准、安全、管理等内容。 2、赋分标准 （1）拟投入设备方案配套齐全、设备数量充足、能有效保证项目顺利实施的，得10分； （2）拟投入设备方案配套较齐全、设备数量充足、能保证项目顺利实施的，得8分； （3）拟投入设备方案配套基本齐全、设备数量较为充足、能基本保证项目顺利实施的，得6分； （4）拟投入设备方案配套基本齐全、设备数量基本充足、能基本保证项目顺利实施的，得4分； （5）拟投入设备方案配套不齐全、设备数量一般、缺少关键设施设备，不能保证基本所需的，得2分。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拟投入人员配备</w:t>
            </w:r>
          </w:p>
        </w:tc>
        <w:tc>
          <w:tcPr>
            <w:tcW w:type="dxa" w:w="2492"/>
          </w:tcPr>
          <w:p>
            <w:pPr>
              <w:pStyle w:val="null3"/>
            </w:pPr>
            <w:r>
              <w:rPr>
                <w:rFonts w:ascii="仿宋_GB2312" w:hAnsi="仿宋_GB2312" w:cs="仿宋_GB2312" w:eastAsia="仿宋_GB2312"/>
              </w:rPr>
              <w:t>1、评审内容 根据各供应商针对本项目拟投入人员配备，包括①拟投入人员清单②岗位分工及责任制度③人员工作经验④人员管理制度等内容。 2、赋分标准 （1）拟投入人员配备合理、人员数量充足、职责明确、分工清晰、工作经历丰富、能够完全满足采购所需的得，得10分； （2）拟投入人员配备较为合理、人员数量较充足、职责、分工较清晰、工作经历较丰富、能满足采购所需的，得8分； （3）拟投入人员配备较为合理、人员数量基本充足、职责、分工基本清晰、工作经历、基本能满足基本采购所需的，得6分； （4）拟投入人员配备较为合理、人员数量一般、职责、分工一般、缺少部分工作经历、勉强能满足基本采购所需的，得4分； （5）拟派人员配备不合理且有欠缺、人员数量无保证、职责、分工不明确、工作经历较少、不能够满足采购所需的，得2分。 未提供或其他得0分。 注：须提供人员相关证明材料（包括但不限于身份证、执业证书、劳动合同、从业证明等）证明材料，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①服务质量保证措施及承诺，包括但不限于信息的及时反馈、实施工作中的主动沟通汇报；②拟派人员专业能力承诺，包括但不限于拟派人员专业能力的承诺、若采购人对服务不满意，可要求更换拟派人员等； 2、赋分标准 （1）承诺内容科学合理、可操作性强、内容齐全、完全满足项目需求，得10分； （2）承诺内容可行且科学合理可操作性较强、内容较齐全，基本满足项目需求，得8分； （3）承诺内容较科学合理有一定的操作性、内容较齐全，基本满足项目需求得6分； （4）承诺内容可行性一般，内容基本合理，得4分； （5）承诺内容欠缺、缺乏科学性合理性、可操作性较差，得2分。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一、评审内容：供应商提供2022年1月1日至今（以合同签订日期为准）类似项目业绩（承担过类似项目的勘察、稳定性监测和安全评估、降解稳定化评估其中一项），每一份计5分，最多计10分。 二、评审标准：业绩证明材料（以磋商响应文件中提供的合同复印件为准，合同关键页内容须包含合同名称、签订双方名称、签订时间、主要服务内容、双方盖章页等）。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1）满足磋商文件要求且最后报价最低的供应商的价格为基准价，其价格分为满分。其他供应商的价格分统一按照下列公式计算： 报价得分=（基准价/投标报价）×价格权值×100 价格评审过程中，不得去掉报价中的最高报价和最低报价。 各供应商投标报价不得超过该项目预算，否则视为无效投标。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