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626CC">
      <w:pPr>
        <w:adjustRightInd w:val="0"/>
        <w:snapToGrid w:val="0"/>
        <w:spacing w:line="360" w:lineRule="auto"/>
        <w:ind w:firstLine="406" w:firstLineChars="145"/>
        <w:rPr>
          <w:rFonts w:ascii="Times New Roman" w:hAnsi="Times New Roman" w:eastAsia="黑体"/>
          <w:color w:val="auto"/>
          <w:sz w:val="28"/>
        </w:rPr>
      </w:pPr>
      <w:r>
        <w:rPr>
          <w:rFonts w:ascii="Times New Roman" w:hAnsi="Times New Roman" w:eastAsia="黑体"/>
          <w:color w:val="auto"/>
          <w:sz w:val="28"/>
        </w:rPr>
        <w:t>合同编号：</w:t>
      </w:r>
    </w:p>
    <w:p w14:paraId="0D1AEE38">
      <w:pPr>
        <w:adjustRightInd w:val="0"/>
        <w:snapToGrid w:val="0"/>
        <w:spacing w:line="360" w:lineRule="auto"/>
        <w:ind w:firstLine="198" w:firstLineChars="45"/>
        <w:rPr>
          <w:rFonts w:ascii="Times New Roman" w:hAnsi="Times New Roman"/>
          <w:color w:val="auto"/>
          <w:sz w:val="44"/>
        </w:rPr>
      </w:pPr>
    </w:p>
    <w:p w14:paraId="2C6644B7">
      <w:pPr>
        <w:adjustRightInd w:val="0"/>
        <w:snapToGrid w:val="0"/>
        <w:spacing w:line="312" w:lineRule="auto"/>
        <w:jc w:val="center"/>
        <w:rPr>
          <w:rFonts w:ascii="Times New Roman" w:hAnsi="Times New Roman" w:eastAsia="黑体"/>
          <w:color w:val="auto"/>
          <w:sz w:val="44"/>
        </w:rPr>
      </w:pPr>
    </w:p>
    <w:p w14:paraId="1CFA620A">
      <w:pPr>
        <w:adjustRightInd w:val="0"/>
        <w:snapToGrid w:val="0"/>
        <w:spacing w:line="312" w:lineRule="auto"/>
        <w:ind w:firstLine="418" w:firstLineChars="80"/>
        <w:jc w:val="center"/>
        <w:rPr>
          <w:rFonts w:ascii="Times New Roman" w:hAnsi="Times New Roman" w:eastAsia="黑体"/>
          <w:b/>
          <w:bCs/>
          <w:color w:val="auto"/>
          <w:sz w:val="52"/>
        </w:rPr>
      </w:pPr>
      <w:r>
        <w:rPr>
          <w:rFonts w:ascii="Times New Roman" w:hAnsi="Times New Roman" w:eastAsia="黑体"/>
          <w:b/>
          <w:bCs/>
          <w:color w:val="auto"/>
          <w:sz w:val="52"/>
        </w:rPr>
        <w:t>技术服务合同</w:t>
      </w:r>
    </w:p>
    <w:p w14:paraId="14C46896">
      <w:pPr>
        <w:adjustRightInd w:val="0"/>
        <w:snapToGrid w:val="0"/>
        <w:spacing w:line="312" w:lineRule="auto"/>
        <w:rPr>
          <w:rFonts w:ascii="Times New Roman" w:hAnsi="Times New Roman"/>
          <w:color w:val="auto"/>
          <w:sz w:val="36"/>
        </w:rPr>
      </w:pPr>
    </w:p>
    <w:p w14:paraId="4A99D88C">
      <w:pPr>
        <w:adjustRightInd w:val="0"/>
        <w:snapToGrid w:val="0"/>
        <w:spacing w:line="312" w:lineRule="auto"/>
        <w:rPr>
          <w:rFonts w:ascii="Times New Roman" w:hAnsi="Times New Roman"/>
          <w:color w:val="auto"/>
          <w:sz w:val="36"/>
        </w:rPr>
      </w:pPr>
    </w:p>
    <w:p w14:paraId="4C3564CC">
      <w:pPr>
        <w:adjustRightInd w:val="0"/>
        <w:snapToGrid w:val="0"/>
        <w:spacing w:line="312" w:lineRule="auto"/>
        <w:rPr>
          <w:rFonts w:ascii="Times New Roman" w:hAnsi="Times New Roman" w:eastAsia="仿宋_GB2312"/>
          <w:color w:val="auto"/>
          <w:sz w:val="36"/>
        </w:rPr>
      </w:pPr>
    </w:p>
    <w:p w14:paraId="432F6ED5">
      <w:pPr>
        <w:adjustRightInd w:val="0"/>
        <w:snapToGrid w:val="0"/>
        <w:spacing w:after="100" w:afterAutospacing="1" w:line="360" w:lineRule="auto"/>
        <w:ind w:left="2146" w:leftChars="257" w:hanging="1606" w:hangingChars="500"/>
        <w:rPr>
          <w:rFonts w:ascii="Times New Roman" w:hAnsi="Times New Roman" w:eastAsia="仿宋_GB2312"/>
          <w:b/>
          <w:bCs/>
          <w:color w:val="auto"/>
          <w:sz w:val="32"/>
          <w:szCs w:val="32"/>
          <w:u w:val="single"/>
        </w:rPr>
      </w:pPr>
      <w:r>
        <w:rPr>
          <w:rFonts w:ascii="Times New Roman" w:hAnsi="Times New Roman" w:eastAsia="仿宋_GB2312"/>
          <w:b/>
          <w:bCs/>
          <w:color w:val="auto"/>
          <w:sz w:val="32"/>
          <w:szCs w:val="32"/>
        </w:rPr>
        <w:t>项目名称：</w:t>
      </w:r>
      <w:r>
        <w:rPr>
          <w:rFonts w:ascii="Times New Roman" w:hAnsi="Times New Roman" w:eastAsia="仿宋_GB2312"/>
          <w:b/>
          <w:bCs/>
          <w:color w:val="auto"/>
          <w:sz w:val="32"/>
          <w:szCs w:val="32"/>
          <w:u w:val="single"/>
        </w:rPr>
        <w:t xml:space="preserve"> 202</w:t>
      </w:r>
      <w:r>
        <w:rPr>
          <w:rFonts w:hint="eastAsia" w:ascii="Times New Roman" w:hAnsi="Times New Roman" w:eastAsia="仿宋_GB2312"/>
          <w:b/>
          <w:bCs/>
          <w:color w:val="auto"/>
          <w:sz w:val="32"/>
          <w:szCs w:val="32"/>
          <w:u w:val="single"/>
          <w:lang w:val="en-US" w:eastAsia="zh-CN"/>
        </w:rPr>
        <w:t>5</w:t>
      </w:r>
      <w:r>
        <w:rPr>
          <w:rFonts w:hint="eastAsia" w:ascii="Times New Roman" w:hAnsi="Times New Roman" w:eastAsia="仿宋_GB2312"/>
          <w:b/>
          <w:bCs/>
          <w:color w:val="auto"/>
          <w:sz w:val="32"/>
          <w:szCs w:val="32"/>
          <w:u w:val="single"/>
        </w:rPr>
        <w:t>年度江村沟垃圾填埋场堆体安全稳定监测</w:t>
      </w:r>
      <w:r>
        <w:rPr>
          <w:rFonts w:hint="eastAsia" w:ascii="Times New Roman" w:hAnsi="Times New Roman" w:eastAsia="仿宋_GB2312"/>
          <w:b/>
          <w:bCs/>
          <w:color w:val="auto"/>
          <w:sz w:val="32"/>
          <w:szCs w:val="32"/>
          <w:u w:val="single"/>
          <w:lang w:val="en-US" w:eastAsia="zh-CN"/>
        </w:rPr>
        <w:t>评估</w:t>
      </w:r>
      <w:r>
        <w:rPr>
          <w:rFonts w:hint="eastAsia" w:ascii="Times New Roman" w:hAnsi="Times New Roman" w:eastAsia="仿宋_GB2312"/>
          <w:b/>
          <w:bCs/>
          <w:color w:val="auto"/>
          <w:sz w:val="32"/>
          <w:szCs w:val="32"/>
          <w:u w:val="single"/>
        </w:rPr>
        <w:t>服务</w:t>
      </w:r>
      <w:r>
        <w:rPr>
          <w:rFonts w:ascii="Times New Roman" w:hAnsi="Times New Roman" w:eastAsia="仿宋_GB2312"/>
          <w:b/>
          <w:bCs/>
          <w:color w:val="auto"/>
          <w:sz w:val="32"/>
          <w:szCs w:val="32"/>
          <w:u w:val="single"/>
        </w:rPr>
        <w:t xml:space="preserve">  </w:t>
      </w:r>
      <w:bookmarkStart w:id="0" w:name="_GoBack"/>
      <w:bookmarkEnd w:id="0"/>
    </w:p>
    <w:p w14:paraId="0DF739C0">
      <w:pPr>
        <w:adjustRightInd w:val="0"/>
        <w:snapToGrid w:val="0"/>
        <w:spacing w:before="20" w:line="480" w:lineRule="auto"/>
        <w:ind w:left="359" w:leftChars="171" w:firstLine="183" w:firstLineChars="57"/>
        <w:jc w:val="left"/>
        <w:rPr>
          <w:rFonts w:ascii="Times New Roman" w:hAnsi="Times New Roman" w:eastAsia="仿宋_GB2312"/>
          <w:b/>
          <w:bCs/>
          <w:color w:val="auto"/>
          <w:sz w:val="32"/>
          <w:szCs w:val="32"/>
          <w:u w:val="single"/>
        </w:rPr>
      </w:pPr>
      <w:r>
        <w:rPr>
          <w:rFonts w:ascii="Times New Roman" w:hAnsi="Times New Roman" w:eastAsia="仿宋_GB2312"/>
          <w:b/>
          <w:bCs/>
          <w:color w:val="auto"/>
          <w:sz w:val="32"/>
          <w:szCs w:val="32"/>
        </w:rPr>
        <w:t>项目地点：</w:t>
      </w:r>
      <w:r>
        <w:rPr>
          <w:rFonts w:ascii="Times New Roman" w:hAnsi="Times New Roman" w:eastAsia="仿宋_GB2312"/>
          <w:b/>
          <w:bCs/>
          <w:color w:val="auto"/>
          <w:sz w:val="32"/>
          <w:szCs w:val="32"/>
          <w:u w:val="single"/>
        </w:rPr>
        <w:t xml:space="preserve">     </w:t>
      </w:r>
      <w:r>
        <w:rPr>
          <w:rFonts w:hint="eastAsia" w:ascii="Times New Roman" w:hAnsi="Times New Roman" w:eastAsia="仿宋_GB2312"/>
          <w:b/>
          <w:bCs/>
          <w:color w:val="auto"/>
          <w:sz w:val="32"/>
          <w:szCs w:val="32"/>
          <w:u w:val="single"/>
        </w:rPr>
        <w:t>西安市江村沟垃圾填埋场</w:t>
      </w:r>
      <w:r>
        <w:rPr>
          <w:rFonts w:ascii="Times New Roman" w:hAnsi="Times New Roman" w:eastAsia="仿宋_GB2312"/>
          <w:b/>
          <w:bCs/>
          <w:color w:val="auto"/>
          <w:sz w:val="32"/>
          <w:szCs w:val="32"/>
          <w:u w:val="single"/>
        </w:rPr>
        <w:t xml:space="preserve">           </w:t>
      </w:r>
    </w:p>
    <w:p w14:paraId="1BDFED5D">
      <w:pPr>
        <w:adjustRightInd w:val="0"/>
        <w:snapToGrid w:val="0"/>
        <w:spacing w:before="20" w:line="480" w:lineRule="auto"/>
        <w:ind w:left="359" w:leftChars="171" w:firstLine="183" w:firstLineChars="57"/>
        <w:jc w:val="left"/>
        <w:rPr>
          <w:rFonts w:ascii="Times New Roman" w:hAnsi="Times New Roman" w:eastAsia="仿宋_GB2312"/>
          <w:b/>
          <w:bCs/>
          <w:color w:val="auto"/>
          <w:sz w:val="32"/>
          <w:szCs w:val="32"/>
        </w:rPr>
      </w:pPr>
      <w:r>
        <w:rPr>
          <w:rFonts w:ascii="Times New Roman" w:hAnsi="Times New Roman" w:eastAsia="仿宋_GB2312"/>
          <w:b/>
          <w:bCs/>
          <w:color w:val="auto"/>
          <w:sz w:val="32"/>
          <w:szCs w:val="32"/>
        </w:rPr>
        <w:t>委托方（甲方）：</w:t>
      </w:r>
      <w:r>
        <w:rPr>
          <w:rFonts w:hint="eastAsia" w:ascii="Times New Roman" w:hAnsi="Times New Roman" w:eastAsia="仿宋_GB2312"/>
          <w:b/>
          <w:bCs/>
          <w:color w:val="auto"/>
          <w:sz w:val="32"/>
          <w:szCs w:val="32"/>
          <w:u w:val="single"/>
        </w:rPr>
        <w:t xml:space="preserve"> </w:t>
      </w:r>
      <w:r>
        <w:rPr>
          <w:rFonts w:ascii="Times New Roman" w:hAnsi="Times New Roman" w:eastAsia="仿宋_GB2312"/>
          <w:b/>
          <w:bCs/>
          <w:color w:val="auto"/>
          <w:sz w:val="32"/>
          <w:szCs w:val="32"/>
          <w:u w:val="single"/>
        </w:rPr>
        <w:t xml:space="preserve">                                </w:t>
      </w:r>
    </w:p>
    <w:p w14:paraId="24EBCC8B">
      <w:pPr>
        <w:adjustRightInd w:val="0"/>
        <w:snapToGrid w:val="0"/>
        <w:spacing w:before="20" w:line="480" w:lineRule="auto"/>
        <w:ind w:firstLine="504" w:firstLineChars="157"/>
        <w:rPr>
          <w:rFonts w:ascii="Times New Roman" w:hAnsi="Times New Roman" w:eastAsia="仿宋_GB2312"/>
          <w:b/>
          <w:bCs/>
          <w:color w:val="auto"/>
          <w:sz w:val="32"/>
          <w:szCs w:val="32"/>
          <w:u w:val="single"/>
        </w:rPr>
      </w:pPr>
      <w:r>
        <w:rPr>
          <w:rFonts w:ascii="Times New Roman" w:hAnsi="Times New Roman" w:eastAsia="仿宋_GB2312"/>
          <w:b/>
          <w:bCs/>
          <w:color w:val="auto"/>
          <w:sz w:val="32"/>
          <w:szCs w:val="32"/>
        </w:rPr>
        <w:t>受托方（乙方）：</w:t>
      </w:r>
      <w:r>
        <w:rPr>
          <w:rFonts w:hint="eastAsia" w:ascii="Times New Roman" w:hAnsi="Times New Roman" w:eastAsia="仿宋_GB2312"/>
          <w:b/>
          <w:bCs/>
          <w:color w:val="auto"/>
          <w:sz w:val="32"/>
          <w:szCs w:val="32"/>
          <w:u w:val="single"/>
        </w:rPr>
        <w:t xml:space="preserve"> </w:t>
      </w:r>
      <w:r>
        <w:rPr>
          <w:rFonts w:ascii="Times New Roman" w:hAnsi="Times New Roman" w:eastAsia="仿宋_GB2312"/>
          <w:b/>
          <w:bCs/>
          <w:color w:val="auto"/>
          <w:sz w:val="32"/>
          <w:szCs w:val="32"/>
          <w:u w:val="single"/>
        </w:rPr>
        <w:t xml:space="preserve">                                </w:t>
      </w:r>
    </w:p>
    <w:p w14:paraId="26AC80E7">
      <w:pPr>
        <w:adjustRightInd w:val="0"/>
        <w:snapToGrid w:val="0"/>
        <w:spacing w:before="20" w:line="480" w:lineRule="auto"/>
        <w:ind w:firstLine="504" w:firstLineChars="157"/>
        <w:rPr>
          <w:rFonts w:ascii="Times New Roman" w:hAnsi="Times New Roman"/>
          <w:b/>
          <w:bCs/>
          <w:color w:val="auto"/>
          <w:sz w:val="32"/>
          <w:szCs w:val="32"/>
        </w:rPr>
      </w:pPr>
      <w:r>
        <w:rPr>
          <w:rFonts w:ascii="Times New Roman" w:hAnsi="Times New Roman" w:eastAsia="仿宋_GB2312"/>
          <w:b/>
          <w:bCs/>
          <w:color w:val="auto"/>
          <w:sz w:val="32"/>
          <w:szCs w:val="32"/>
        </w:rPr>
        <w:t>签订地点：</w:t>
      </w:r>
      <w:r>
        <w:rPr>
          <w:rFonts w:ascii="Times New Roman" w:hAnsi="Times New Roman" w:eastAsia="仿宋_GB2312"/>
          <w:b/>
          <w:bCs/>
          <w:color w:val="auto"/>
          <w:sz w:val="32"/>
          <w:szCs w:val="32"/>
          <w:u w:val="single"/>
        </w:rPr>
        <w:t xml:space="preserve">                                      </w:t>
      </w:r>
    </w:p>
    <w:p w14:paraId="02B7E9B9">
      <w:pPr>
        <w:adjustRightInd w:val="0"/>
        <w:snapToGrid w:val="0"/>
        <w:spacing w:line="312" w:lineRule="auto"/>
        <w:rPr>
          <w:rFonts w:ascii="Times New Roman" w:hAnsi="Times New Roman"/>
          <w:b/>
          <w:bCs/>
          <w:color w:val="auto"/>
          <w:sz w:val="36"/>
        </w:rPr>
      </w:pPr>
    </w:p>
    <w:p w14:paraId="604D2434">
      <w:pPr>
        <w:adjustRightInd w:val="0"/>
        <w:snapToGrid w:val="0"/>
        <w:spacing w:line="312" w:lineRule="auto"/>
        <w:rPr>
          <w:rFonts w:ascii="Times New Roman" w:hAnsi="Times New Roman"/>
          <w:b/>
          <w:bCs/>
          <w:color w:val="auto"/>
          <w:sz w:val="36"/>
        </w:rPr>
      </w:pPr>
    </w:p>
    <w:p w14:paraId="239F95C4">
      <w:pPr>
        <w:adjustRightInd w:val="0"/>
        <w:snapToGrid w:val="0"/>
        <w:spacing w:before="405" w:beforeLines="130" w:line="288" w:lineRule="auto"/>
        <w:ind w:firstLine="405" w:firstLineChars="112"/>
        <w:jc w:val="center"/>
        <w:rPr>
          <w:rFonts w:ascii="Times New Roman" w:hAnsi="Times New Roman" w:eastAsia="黑体"/>
          <w:b/>
          <w:bCs/>
          <w:color w:val="auto"/>
          <w:sz w:val="36"/>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50D748F5">
      <w:pPr>
        <w:pStyle w:val="3"/>
        <w:spacing w:line="324" w:lineRule="auto"/>
        <w:rPr>
          <w:rFonts w:ascii="Times New Roman" w:hAnsi="Times New Roman" w:eastAsia="仿宋_GB2312"/>
          <w:color w:val="auto"/>
        </w:rPr>
      </w:pPr>
      <w:r>
        <w:rPr>
          <w:rFonts w:ascii="Times New Roman" w:hAnsi="Times New Roman" w:eastAsia="仿宋_GB2312"/>
          <w:color w:val="auto"/>
        </w:rPr>
        <w:t>委托方（甲方）：</w:t>
      </w:r>
      <w:r>
        <w:rPr>
          <w:rFonts w:ascii="Times New Roman" w:hAnsi="Times New Roman" w:eastAsia="仿宋_GB2312"/>
          <w:color w:val="auto"/>
          <w:u w:val="single"/>
        </w:rPr>
        <w:t xml:space="preserve">   </w:t>
      </w:r>
      <w:r>
        <w:rPr>
          <w:rFonts w:hint="eastAsia" w:ascii="Times New Roman" w:hAnsi="Times New Roman" w:eastAsia="仿宋_GB2312"/>
          <w:color w:val="auto"/>
          <w:u w:val="single"/>
        </w:rPr>
        <w:t xml:space="preserve">西安市固体废弃物处置中心 </w:t>
      </w:r>
      <w:r>
        <w:rPr>
          <w:rFonts w:ascii="Times New Roman" w:hAnsi="Times New Roman" w:eastAsia="仿宋_GB2312"/>
          <w:color w:val="auto"/>
          <w:u w:val="single"/>
        </w:rPr>
        <w:t xml:space="preserve">        </w:t>
      </w:r>
    </w:p>
    <w:p w14:paraId="439244AA">
      <w:pPr>
        <w:pStyle w:val="3"/>
        <w:spacing w:line="336" w:lineRule="auto"/>
        <w:rPr>
          <w:rFonts w:ascii="Times New Roman" w:hAnsi="Times New Roman" w:eastAsia="仿宋_GB2312"/>
          <w:color w:val="auto"/>
        </w:rPr>
      </w:pPr>
      <w:r>
        <w:rPr>
          <w:rFonts w:ascii="Times New Roman" w:hAnsi="Times New Roman" w:eastAsia="仿宋_GB2312"/>
          <w:color w:val="auto"/>
        </w:rPr>
        <w:t>受托方（乙方）：</w:t>
      </w:r>
      <w:r>
        <w:rPr>
          <w:rFonts w:ascii="Times New Roman" w:hAnsi="Times New Roman" w:eastAsia="仿宋_GB2312"/>
          <w:color w:val="auto"/>
          <w:u w:val="single"/>
        </w:rPr>
        <w:t xml:space="preserve">                                     </w:t>
      </w:r>
    </w:p>
    <w:p w14:paraId="6CBE4CA6">
      <w:pPr>
        <w:pStyle w:val="3"/>
        <w:spacing w:line="324" w:lineRule="auto"/>
        <w:rPr>
          <w:rFonts w:ascii="Times New Roman" w:hAnsi="Times New Roman" w:eastAsia="仿宋_GB2312"/>
          <w:color w:val="auto"/>
          <w:u w:val="single"/>
        </w:rPr>
      </w:pPr>
      <w:r>
        <w:rPr>
          <w:rFonts w:ascii="Times New Roman" w:hAnsi="Times New Roman" w:eastAsia="仿宋_GB2312"/>
          <w:color w:val="auto"/>
        </w:rPr>
        <w:t>本合同甲方委托乙方就</w:t>
      </w:r>
      <w:r>
        <w:rPr>
          <w:rFonts w:hint="eastAsia" w:ascii="Times New Roman" w:hAnsi="Times New Roman" w:eastAsia="仿宋_GB2312"/>
          <w:color w:val="auto"/>
        </w:rPr>
        <w:t xml:space="preserve"> </w:t>
      </w:r>
      <w:r>
        <w:rPr>
          <w:rFonts w:hint="eastAsia" w:ascii="Times New Roman" w:hAnsi="Times New Roman" w:eastAsia="仿宋_GB2312"/>
          <w:color w:val="auto"/>
          <w:u w:val="single"/>
        </w:rPr>
        <w:t xml:space="preserve">江村沟垃圾填埋场堆体稳定安全监测 </w:t>
      </w:r>
      <w:r>
        <w:rPr>
          <w:rFonts w:ascii="Times New Roman" w:hAnsi="Times New Roman" w:eastAsia="仿宋_GB2312"/>
          <w:color w:val="auto"/>
        </w:rPr>
        <w:t>提供技术服务</w:t>
      </w:r>
      <w:r>
        <w:rPr>
          <w:rFonts w:hint="eastAsia" w:ascii="Times New Roman" w:hAnsi="Times New Roman" w:eastAsia="仿宋_GB2312"/>
          <w:color w:val="auto"/>
        </w:rPr>
        <w:t>工作</w:t>
      </w:r>
      <w:r>
        <w:rPr>
          <w:rFonts w:ascii="Times New Roman" w:hAnsi="Times New Roman" w:eastAsia="仿宋_GB2312"/>
          <w:color w:val="auto"/>
        </w:rPr>
        <w:t>，并支付相应的技术服务报酬，双方经过平等协商，在真实、充分地表达各自意愿的基础上，根据《中华人民共和国民法典》</w:t>
      </w:r>
      <w:r>
        <w:rPr>
          <w:rFonts w:hint="eastAsia" w:ascii="Times New Roman" w:hAnsi="Times New Roman" w:eastAsia="仿宋_GB2312"/>
          <w:color w:val="auto"/>
        </w:rPr>
        <w:t>和国家有关规定</w:t>
      </w:r>
      <w:r>
        <w:rPr>
          <w:rFonts w:ascii="Times New Roman" w:hAnsi="Times New Roman" w:eastAsia="仿宋_GB2312"/>
          <w:color w:val="auto"/>
        </w:rPr>
        <w:t>的规定，达成如下协议，并由双方共同恪守。</w:t>
      </w:r>
    </w:p>
    <w:p w14:paraId="37AF2207">
      <w:pPr>
        <w:pStyle w:val="3"/>
        <w:numPr>
          <w:ilvl w:val="0"/>
          <w:numId w:val="1"/>
        </w:numPr>
        <w:spacing w:line="324" w:lineRule="auto"/>
        <w:ind w:left="0" w:firstLine="562"/>
        <w:rPr>
          <w:rFonts w:ascii="Times New Roman" w:hAnsi="Times New Roman" w:eastAsia="仿宋_GB2312"/>
          <w:b/>
          <w:color w:val="auto"/>
        </w:rPr>
      </w:pPr>
      <w:r>
        <w:rPr>
          <w:rFonts w:ascii="Times New Roman" w:hAnsi="Times New Roman" w:eastAsia="仿宋_GB2312"/>
          <w:b/>
          <w:color w:val="auto"/>
        </w:rPr>
        <w:t>乙方进行技术服务的内容、要求和方式：</w:t>
      </w:r>
    </w:p>
    <w:p w14:paraId="38AD8C77">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1.技术服务内容：</w:t>
      </w:r>
    </w:p>
    <w:p w14:paraId="2FD23A5E">
      <w:pPr>
        <w:adjustRightInd w:val="0"/>
        <w:snapToGrid w:val="0"/>
        <w:spacing w:line="324" w:lineRule="auto"/>
        <w:ind w:firstLine="560" w:firstLineChars="200"/>
        <w:rPr>
          <w:rFonts w:ascii="Times New Roman" w:hAnsi="Times New Roman" w:eastAsia="仿宋_GB2312"/>
          <w:color w:val="auto"/>
          <w:sz w:val="28"/>
          <w:u w:val="single"/>
        </w:rPr>
      </w:pPr>
      <w:r>
        <w:rPr>
          <w:rFonts w:ascii="Times New Roman" w:hAnsi="Times New Roman" w:eastAsia="仿宋_GB2312"/>
          <w:color w:val="auto"/>
          <w:sz w:val="28"/>
          <w:u w:val="single"/>
        </w:rPr>
        <w:t>（1）</w:t>
      </w:r>
      <w:r>
        <w:rPr>
          <w:rFonts w:hint="eastAsia" w:ascii="Times New Roman" w:hAnsi="Times New Roman" w:eastAsia="仿宋_GB2312"/>
          <w:color w:val="auto"/>
          <w:sz w:val="28"/>
          <w:u w:val="single"/>
        </w:rPr>
        <w:t>安全监测：定期跟踪监测堆体表面水平位移、表面沉降、深层水平位移、水位监测等工作</w:t>
      </w:r>
      <w:r>
        <w:rPr>
          <w:rFonts w:ascii="Times New Roman" w:hAnsi="Times New Roman" w:eastAsia="仿宋_GB2312"/>
          <w:color w:val="auto"/>
          <w:sz w:val="28"/>
          <w:u w:val="single"/>
        </w:rPr>
        <w:t>。</w:t>
      </w:r>
      <w:r>
        <w:rPr>
          <w:rFonts w:hint="eastAsia" w:ascii="Times New Roman" w:hAnsi="Times New Roman" w:eastAsia="仿宋_GB2312"/>
          <w:color w:val="auto"/>
          <w:sz w:val="28"/>
          <w:u w:val="single"/>
        </w:rPr>
        <w:t>极端天气或紧急情况时，需要及时预警预报（具体安全检测工作内容见工作量汇总表）。每月整理分析监测数据，实时掌握稳定状况，开展稳定评估，确定稳定安全系数和警戒水位，利用现场实测数据建立稳定评估模型；根据现场监测结果及稳定计算结果，提出现场稳定控制建议及措施，编制分析并提交稳定评估报告。</w:t>
      </w:r>
    </w:p>
    <w:p w14:paraId="05C41DBA">
      <w:pPr>
        <w:adjustRightInd w:val="0"/>
        <w:snapToGrid w:val="0"/>
        <w:spacing w:line="324" w:lineRule="auto"/>
        <w:ind w:firstLine="560" w:firstLineChars="200"/>
        <w:rPr>
          <w:rFonts w:hint="eastAsia" w:ascii="Times New Roman" w:hAnsi="Times New Roman" w:eastAsia="仿宋_GB2312"/>
          <w:color w:val="auto"/>
          <w:sz w:val="28"/>
          <w:u w:val="single"/>
          <w:lang w:eastAsia="zh-CN"/>
        </w:rPr>
      </w:pPr>
      <w:r>
        <w:rPr>
          <w:rFonts w:ascii="Times New Roman" w:hAnsi="Times New Roman" w:eastAsia="仿宋_GB2312"/>
          <w:color w:val="auto"/>
          <w:sz w:val="28"/>
          <w:u w:val="single"/>
        </w:rPr>
        <w:t>（2）</w:t>
      </w:r>
      <w:r>
        <w:rPr>
          <w:rFonts w:hint="eastAsia" w:ascii="Times New Roman" w:hAnsi="Times New Roman" w:eastAsia="仿宋_GB2312"/>
          <w:color w:val="auto"/>
          <w:sz w:val="28"/>
          <w:u w:val="single"/>
        </w:rPr>
        <w:t>堆体降解稳定化评估：通过对堆体渗滤液水样、</w:t>
      </w:r>
      <w:r>
        <w:rPr>
          <w:rFonts w:hint="eastAsia" w:ascii="Times New Roman" w:hAnsi="Times New Roman" w:eastAsia="仿宋_GB2312"/>
          <w:color w:val="auto"/>
          <w:sz w:val="28"/>
          <w:u w:val="single"/>
          <w:lang w:val="en-US" w:eastAsia="zh-CN"/>
        </w:rPr>
        <w:t>填埋气成分、甲烷溢出量、抽气实验</w:t>
      </w:r>
      <w:r>
        <w:rPr>
          <w:rFonts w:hint="eastAsia" w:ascii="Times New Roman" w:hAnsi="Times New Roman" w:eastAsia="仿宋_GB2312"/>
          <w:color w:val="auto"/>
          <w:sz w:val="28"/>
          <w:u w:val="single"/>
        </w:rPr>
        <w:t>等进行取样分析，对堆体降解稳定化情况进行评估（具体工作内容见工作量汇总表）</w:t>
      </w:r>
      <w:r>
        <w:rPr>
          <w:rFonts w:hint="eastAsia" w:ascii="Times New Roman" w:hAnsi="Times New Roman" w:eastAsia="仿宋_GB2312"/>
          <w:color w:val="auto"/>
          <w:sz w:val="28"/>
          <w:u w:val="single"/>
          <w:lang w:eastAsia="zh-CN"/>
        </w:rPr>
        <w:t>。</w:t>
      </w:r>
    </w:p>
    <w:p w14:paraId="7FEDF8C1">
      <w:pPr>
        <w:adjustRightInd w:val="0"/>
        <w:snapToGrid w:val="0"/>
        <w:spacing w:line="324" w:lineRule="auto"/>
        <w:ind w:firstLine="560" w:firstLineChars="200"/>
        <w:rPr>
          <w:rFonts w:ascii="Times New Roman" w:hAnsi="Times New Roman" w:eastAsia="仿宋_GB2312"/>
          <w:color w:val="auto"/>
          <w:sz w:val="28"/>
          <w:u w:val="single"/>
        </w:rPr>
      </w:pPr>
      <w:r>
        <w:rPr>
          <w:rFonts w:ascii="Times New Roman" w:hAnsi="Times New Roman" w:eastAsia="仿宋_GB2312"/>
          <w:color w:val="auto"/>
          <w:sz w:val="28"/>
          <w:u w:val="single"/>
        </w:rPr>
        <w:t>（3）</w:t>
      </w:r>
      <w:r>
        <w:rPr>
          <w:rFonts w:hint="eastAsia" w:ascii="Times New Roman" w:hAnsi="Times New Roman" w:eastAsia="仿宋_GB2312"/>
          <w:bCs/>
          <w:color w:val="auto"/>
          <w:sz w:val="28"/>
          <w:u w:val="single"/>
        </w:rPr>
        <w:t>地下水监测井洗井及水位测量：对6口地下水监测井进行洗井及水位测量</w:t>
      </w:r>
      <w:r>
        <w:rPr>
          <w:rFonts w:hint="eastAsia" w:ascii="Times New Roman" w:hAnsi="Times New Roman" w:eastAsia="仿宋_GB2312"/>
          <w:color w:val="auto"/>
          <w:sz w:val="28"/>
          <w:u w:val="single"/>
        </w:rPr>
        <w:t>（具体工作内容见工作量汇总表）</w:t>
      </w:r>
      <w:r>
        <w:rPr>
          <w:rFonts w:hint="eastAsia" w:ascii="Times New Roman" w:hAnsi="Times New Roman" w:eastAsia="仿宋_GB2312"/>
          <w:bCs/>
          <w:color w:val="auto"/>
          <w:sz w:val="28"/>
          <w:u w:val="single"/>
        </w:rPr>
        <w:t>。</w:t>
      </w:r>
    </w:p>
    <w:p w14:paraId="2F72375A">
      <w:pPr>
        <w:adjustRightInd w:val="0"/>
        <w:snapToGrid w:val="0"/>
        <w:spacing w:line="324" w:lineRule="auto"/>
        <w:ind w:firstLine="560" w:firstLineChars="200"/>
        <w:rPr>
          <w:rFonts w:ascii="Times New Roman" w:hAnsi="Times New Roman" w:eastAsia="仿宋_GB2312"/>
          <w:color w:val="auto"/>
          <w:sz w:val="28"/>
          <w:u w:val="single"/>
        </w:rPr>
      </w:pPr>
      <w:r>
        <w:rPr>
          <w:rFonts w:ascii="Times New Roman" w:hAnsi="Times New Roman" w:eastAsia="仿宋_GB2312"/>
          <w:bCs/>
          <w:color w:val="auto"/>
          <w:sz w:val="28"/>
        </w:rPr>
        <w:t>2.</w:t>
      </w:r>
      <w:r>
        <w:rPr>
          <w:rFonts w:hint="eastAsia" w:ascii="Times New Roman" w:hAnsi="Times New Roman" w:eastAsia="仿宋_GB2312"/>
          <w:bCs/>
          <w:color w:val="auto"/>
          <w:sz w:val="28"/>
        </w:rPr>
        <w:t>监测工作量：</w:t>
      </w:r>
      <w:r>
        <w:rPr>
          <w:rFonts w:hint="eastAsia" w:ascii="Times New Roman" w:hAnsi="Times New Roman" w:eastAsia="仿宋_GB2312"/>
          <w:color w:val="auto"/>
          <w:sz w:val="28"/>
          <w:u w:val="single"/>
        </w:rPr>
        <w:t>按工作量汇总表执行</w:t>
      </w:r>
    </w:p>
    <w:p w14:paraId="7F944B89">
      <w:pPr>
        <w:adjustRightInd w:val="0"/>
        <w:snapToGrid w:val="0"/>
        <w:spacing w:line="324" w:lineRule="auto"/>
        <w:ind w:firstLine="560" w:firstLineChars="200"/>
        <w:rPr>
          <w:rFonts w:ascii="Times New Roman" w:hAnsi="Times New Roman" w:eastAsia="仿宋_GB2312"/>
          <w:color w:val="auto"/>
          <w:sz w:val="28"/>
          <w:u w:val="single"/>
        </w:rPr>
      </w:pPr>
      <w:r>
        <w:rPr>
          <w:rFonts w:ascii="Times New Roman" w:hAnsi="Times New Roman" w:eastAsia="仿宋_GB2312"/>
          <w:color w:val="auto"/>
          <w:sz w:val="28"/>
        </w:rPr>
        <w:t>3.服务要求:</w:t>
      </w:r>
    </w:p>
    <w:p w14:paraId="30FF0A3B">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Times New Roman" w:hAnsi="Times New Roman" w:eastAsia="仿宋_GB2312"/>
          <w:color w:val="auto"/>
          <w:sz w:val="28"/>
          <w:u w:val="single"/>
        </w:rPr>
        <w:t>（1）人员和设备要求：现场人员配备不少于2名专业技术人员和必要的辅助人员长期驻场。需至少2位中级及中级以上职称人员，进行每周数据和每月数据整理分析等。配备必要的专用监测设备和仪器，保证服务期内工作正常开展。乙方在本项目派驻的技术人员应当具备法律规定、行业规定的相关资质并对其工作期间的行为负责。若乙方指派人员在工作中因故意或过失给甲方造成损失的，由乙方承担全部法律责任。</w:t>
      </w:r>
    </w:p>
    <w:p w14:paraId="3CFF4DF3">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Times New Roman" w:hAnsi="Times New Roman" w:eastAsia="仿宋_GB2312"/>
          <w:color w:val="auto"/>
          <w:sz w:val="28"/>
          <w:u w:val="single"/>
        </w:rPr>
        <w:t>（2）监测结果反馈要求：按月正式提交全面的技术报告，包括监测结果分析和堆体稳定评估，出现异常情况必须第一时间向甲方反馈并提出预警，24小时内</w:t>
      </w:r>
      <w:r>
        <w:rPr>
          <w:rFonts w:hint="eastAsia" w:ascii="Times New Roman" w:hAnsi="Times New Roman" w:eastAsia="仿宋_GB2312"/>
          <w:color w:val="auto"/>
          <w:sz w:val="28"/>
          <w:u w:val="single"/>
          <w:lang w:val="en-US" w:eastAsia="zh-CN"/>
        </w:rPr>
        <w:t>相关技术人员</w:t>
      </w:r>
      <w:r>
        <w:rPr>
          <w:rFonts w:hint="eastAsia" w:ascii="Times New Roman" w:hAnsi="Times New Roman" w:eastAsia="仿宋_GB2312"/>
          <w:color w:val="auto"/>
          <w:sz w:val="28"/>
          <w:u w:val="single"/>
        </w:rPr>
        <w:t>到达现场，提出整改方案。</w:t>
      </w:r>
    </w:p>
    <w:p w14:paraId="2A5B2A5A">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Times New Roman" w:hAnsi="Times New Roman" w:eastAsia="仿宋_GB2312"/>
          <w:color w:val="auto"/>
          <w:sz w:val="28"/>
          <w:u w:val="single"/>
        </w:rPr>
        <w:t>（3）技术服务要求：</w:t>
      </w:r>
    </w:p>
    <w:p w14:paraId="22110B74">
      <w:pPr>
        <w:adjustRightInd w:val="0"/>
        <w:snapToGrid w:val="0"/>
        <w:spacing w:line="324" w:lineRule="auto"/>
        <w:ind w:firstLine="560" w:firstLineChars="200"/>
        <w:rPr>
          <w:rFonts w:ascii="仿宋_GB2312" w:hAnsi="Times New Roman" w:eastAsia="仿宋_GB2312"/>
          <w:color w:val="auto"/>
          <w:sz w:val="28"/>
          <w:u w:val="single"/>
        </w:rPr>
      </w:pPr>
      <w:r>
        <w:rPr>
          <w:rFonts w:hint="eastAsia" w:ascii="仿宋_GB2312" w:hAnsi="Times New Roman" w:eastAsia="仿宋_GB2312"/>
          <w:color w:val="auto"/>
          <w:sz w:val="28"/>
          <w:u w:val="single"/>
        </w:rPr>
        <w:t>①委托方进场后，应根据现场实际，编制详尽的监测</w:t>
      </w:r>
      <w:r>
        <w:rPr>
          <w:rFonts w:hint="eastAsia" w:ascii="仿宋_GB2312" w:hAnsi="Times New Roman" w:eastAsia="仿宋_GB2312"/>
          <w:color w:val="auto"/>
          <w:sz w:val="28"/>
          <w:u w:val="single"/>
          <w:lang w:val="en-US" w:eastAsia="zh-CN"/>
        </w:rPr>
        <w:t>和评估</w:t>
      </w:r>
      <w:r>
        <w:rPr>
          <w:rFonts w:hint="eastAsia" w:ascii="仿宋_GB2312" w:hAnsi="Times New Roman" w:eastAsia="仿宋_GB2312"/>
          <w:color w:val="auto"/>
          <w:sz w:val="28"/>
          <w:u w:val="single"/>
        </w:rPr>
        <w:t>方案，内容包括但不限于现场概况、各区域监测频次、监测办法</w:t>
      </w:r>
      <w:r>
        <w:rPr>
          <w:rFonts w:hint="eastAsia" w:ascii="仿宋_GB2312" w:hAnsi="Times New Roman" w:eastAsia="仿宋_GB2312"/>
          <w:color w:val="auto"/>
          <w:sz w:val="28"/>
          <w:u w:val="single"/>
          <w:lang w:eastAsia="zh-CN"/>
        </w:rPr>
        <w:t>、</w:t>
      </w:r>
      <w:r>
        <w:rPr>
          <w:rFonts w:hint="eastAsia" w:ascii="仿宋_GB2312" w:hAnsi="Times New Roman" w:eastAsia="仿宋_GB2312"/>
          <w:color w:val="auto"/>
          <w:sz w:val="28"/>
          <w:u w:val="single"/>
          <w:lang w:val="en-US" w:eastAsia="zh-CN"/>
        </w:rPr>
        <w:t>取样点位、测试内容</w:t>
      </w:r>
      <w:r>
        <w:rPr>
          <w:rFonts w:hint="eastAsia" w:ascii="仿宋_GB2312" w:hAnsi="Times New Roman" w:eastAsia="仿宋_GB2312"/>
          <w:color w:val="auto"/>
          <w:sz w:val="28"/>
          <w:u w:val="single"/>
        </w:rPr>
        <w:t>等，且监测工作量不少于合同附表约定。</w:t>
      </w:r>
    </w:p>
    <w:p w14:paraId="7C637ABA">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仿宋_GB2312" w:hAnsi="Times New Roman" w:eastAsia="仿宋_GB2312"/>
          <w:color w:val="auto"/>
          <w:sz w:val="28"/>
          <w:u w:val="single"/>
        </w:rPr>
        <w:t>②</w:t>
      </w:r>
      <w:r>
        <w:rPr>
          <w:rFonts w:hint="eastAsia" w:ascii="Times New Roman" w:hAnsi="Times New Roman" w:eastAsia="仿宋_GB2312"/>
          <w:color w:val="auto"/>
          <w:sz w:val="28"/>
          <w:u w:val="single"/>
        </w:rPr>
        <w:t>发现稳定异常后应及时根据需要增加布点、加密监测频次，及时向甲方进行汇报并提交整治建议方案，并对方案的实施全程提供技术支持，服务期内将所有整治措施的效能列入监测范围，根据实际情况提出整改建议，同时向甲方提供必要的技术培训。若加密监测涉及增设点位的，全部相关费用由</w:t>
      </w:r>
      <w:r>
        <w:rPr>
          <w:rFonts w:hint="eastAsia" w:ascii="Times New Roman" w:hAnsi="Times New Roman" w:eastAsia="仿宋_GB2312"/>
          <w:color w:val="auto"/>
          <w:sz w:val="28"/>
          <w:u w:val="single"/>
          <w:lang w:val="en-US" w:eastAsia="zh-CN"/>
        </w:rPr>
        <w:t>受</w:t>
      </w:r>
      <w:r>
        <w:rPr>
          <w:rFonts w:hint="eastAsia" w:ascii="Times New Roman" w:hAnsi="Times New Roman" w:eastAsia="仿宋_GB2312"/>
          <w:color w:val="auto"/>
          <w:sz w:val="28"/>
          <w:u w:val="single"/>
        </w:rPr>
        <w:t>托方（乙方）承担。</w:t>
      </w:r>
    </w:p>
    <w:p w14:paraId="1D7AD784">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仿宋_GB2312" w:hAnsi="Times New Roman" w:eastAsia="仿宋_GB2312"/>
          <w:color w:val="auto"/>
          <w:sz w:val="28"/>
          <w:u w:val="single"/>
        </w:rPr>
        <w:t>③</w:t>
      </w:r>
      <w:r>
        <w:rPr>
          <w:rFonts w:hint="eastAsia" w:ascii="Times New Roman" w:hAnsi="Times New Roman" w:eastAsia="仿宋_GB2312"/>
          <w:color w:val="auto"/>
          <w:sz w:val="28"/>
          <w:u w:val="single"/>
        </w:rPr>
        <w:t>堆体降解稳定化采样、检测、评估完成后，应向甲方进行系统全面汇报。监测工作完成后，乙方应出具监测总结报告，并向甲方进行系统完整的总结汇报</w:t>
      </w:r>
      <w:r>
        <w:rPr>
          <w:rFonts w:hint="eastAsia" w:ascii="Times New Roman" w:hAnsi="Times New Roman" w:eastAsia="仿宋_GB2312"/>
          <w:color w:val="auto"/>
          <w:sz w:val="28"/>
          <w:u w:val="single"/>
          <w:lang w:eastAsia="zh-CN"/>
        </w:rPr>
        <w:t>，</w:t>
      </w:r>
      <w:r>
        <w:rPr>
          <w:rFonts w:hint="eastAsia" w:ascii="Times New Roman" w:hAnsi="Times New Roman" w:eastAsia="仿宋_GB2312"/>
          <w:color w:val="auto"/>
          <w:sz w:val="28"/>
          <w:u w:val="single"/>
          <w:lang w:val="en-US" w:eastAsia="zh-CN"/>
        </w:rPr>
        <w:t>通过专家验收并修改完善后报甲方接收</w:t>
      </w:r>
      <w:r>
        <w:rPr>
          <w:rFonts w:hint="eastAsia" w:ascii="Times New Roman" w:hAnsi="Times New Roman" w:eastAsia="仿宋_GB2312"/>
          <w:color w:val="auto"/>
          <w:sz w:val="28"/>
          <w:u w:val="single"/>
        </w:rPr>
        <w:t>。</w:t>
      </w:r>
    </w:p>
    <w:p w14:paraId="67D7809E">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Times New Roman" w:hAnsi="Times New Roman" w:eastAsia="仿宋_GB2312"/>
          <w:color w:val="auto"/>
          <w:sz w:val="28"/>
          <w:u w:val="single"/>
        </w:rPr>
        <w:t>（4）配合工作要求：</w:t>
      </w:r>
    </w:p>
    <w:p w14:paraId="23D48763">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仿宋_GB2312" w:hAnsi="Times New Roman" w:eastAsia="仿宋_GB2312"/>
          <w:color w:val="auto"/>
          <w:sz w:val="28"/>
          <w:u w:val="single"/>
        </w:rPr>
        <w:t>①监测工作完成后需向甲方提供全部监测数据及相关点位初始值，并配合做好与后续监测单位的交接工作。</w:t>
      </w:r>
    </w:p>
    <w:p w14:paraId="7731C8F0">
      <w:pPr>
        <w:adjustRightInd w:val="0"/>
        <w:snapToGrid w:val="0"/>
        <w:spacing w:line="324" w:lineRule="auto"/>
        <w:ind w:firstLine="560" w:firstLineChars="200"/>
        <w:rPr>
          <w:rFonts w:ascii="Times New Roman" w:hAnsi="Times New Roman" w:eastAsia="仿宋_GB2312"/>
          <w:color w:val="auto"/>
          <w:sz w:val="28"/>
          <w:u w:val="single"/>
        </w:rPr>
      </w:pPr>
      <w:r>
        <w:rPr>
          <w:rFonts w:hint="eastAsia" w:ascii="仿宋_GB2312" w:hAnsi="Times New Roman" w:eastAsia="仿宋_GB2312"/>
          <w:color w:val="auto"/>
          <w:sz w:val="28"/>
          <w:u w:val="single"/>
        </w:rPr>
        <w:t>②</w:t>
      </w:r>
      <w:r>
        <w:rPr>
          <w:rFonts w:hint="eastAsia" w:ascii="Times New Roman" w:hAnsi="Times New Roman" w:eastAsia="仿宋_GB2312"/>
          <w:color w:val="auto"/>
          <w:sz w:val="28"/>
          <w:u w:val="single"/>
        </w:rPr>
        <w:t>配合甲方完成其他填埋场相关的技术工作。</w:t>
      </w:r>
    </w:p>
    <w:p w14:paraId="4D02FE39">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黑体"/>
          <w:color w:val="auto"/>
          <w:sz w:val="28"/>
        </w:rPr>
        <w:t>第二条</w:t>
      </w:r>
      <w:r>
        <w:rPr>
          <w:rFonts w:ascii="Times New Roman" w:hAnsi="Times New Roman" w:eastAsia="楷体_GB2312"/>
          <w:color w:val="auto"/>
          <w:sz w:val="28"/>
        </w:rPr>
        <w:t>　</w:t>
      </w:r>
      <w:r>
        <w:rPr>
          <w:rFonts w:ascii="Times New Roman" w:hAnsi="Times New Roman" w:eastAsia="仿宋_GB2312"/>
          <w:b/>
          <w:color w:val="auto"/>
          <w:sz w:val="28"/>
        </w:rPr>
        <w:t>履行期限、方式和成果资料：</w:t>
      </w:r>
    </w:p>
    <w:p w14:paraId="4F7FCCCB">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1.</w:t>
      </w:r>
      <w:r>
        <w:rPr>
          <w:rFonts w:hint="eastAsia" w:ascii="Times New Roman" w:hAnsi="Times New Roman" w:eastAsia="仿宋_GB2312"/>
          <w:color w:val="auto"/>
          <w:sz w:val="28"/>
        </w:rPr>
        <w:t>项目履行期限：2</w:t>
      </w:r>
      <w:r>
        <w:rPr>
          <w:rFonts w:ascii="Times New Roman" w:hAnsi="Times New Roman" w:eastAsia="仿宋_GB2312"/>
          <w:color w:val="auto"/>
          <w:sz w:val="28"/>
        </w:rPr>
        <w:t>0</w:t>
      </w:r>
      <w:r>
        <w:rPr>
          <w:rFonts w:hint="eastAsia" w:ascii="Times New Roman" w:hAnsi="Times New Roman" w:eastAsia="仿宋_GB2312"/>
          <w:color w:val="auto"/>
          <w:sz w:val="28"/>
          <w:lang w:val="en-US" w:eastAsia="zh-CN"/>
        </w:rPr>
        <w:t>25</w:t>
      </w:r>
      <w:r>
        <w:rPr>
          <w:rFonts w:hint="eastAsia" w:ascii="Times New Roman" w:hAnsi="Times New Roman" w:eastAsia="仿宋_GB2312"/>
          <w:color w:val="auto"/>
          <w:sz w:val="28"/>
        </w:rPr>
        <w:t>年</w:t>
      </w:r>
      <w:r>
        <w:rPr>
          <w:rFonts w:ascii="Times New Roman" w:hAnsi="Times New Roman" w:eastAsia="仿宋_GB2312"/>
          <w:color w:val="auto"/>
          <w:sz w:val="28"/>
        </w:rPr>
        <w:t xml:space="preserve">  </w:t>
      </w:r>
      <w:r>
        <w:rPr>
          <w:rFonts w:hint="eastAsia" w:ascii="Times New Roman" w:hAnsi="Times New Roman" w:eastAsia="仿宋_GB2312"/>
          <w:color w:val="auto"/>
          <w:sz w:val="28"/>
        </w:rPr>
        <w:t>月</w:t>
      </w:r>
      <w:r>
        <w:rPr>
          <w:rFonts w:ascii="Times New Roman" w:hAnsi="Times New Roman" w:eastAsia="仿宋_GB2312"/>
          <w:color w:val="auto"/>
          <w:sz w:val="28"/>
        </w:rPr>
        <w:t xml:space="preserve">  </w:t>
      </w:r>
      <w:r>
        <w:rPr>
          <w:rFonts w:hint="eastAsia" w:ascii="Times New Roman" w:hAnsi="Times New Roman" w:eastAsia="仿宋_GB2312"/>
          <w:color w:val="auto"/>
          <w:sz w:val="28"/>
        </w:rPr>
        <w:t>日至2</w:t>
      </w:r>
      <w:r>
        <w:rPr>
          <w:rFonts w:ascii="Times New Roman" w:hAnsi="Times New Roman" w:eastAsia="仿宋_GB2312"/>
          <w:color w:val="auto"/>
          <w:sz w:val="28"/>
        </w:rPr>
        <w:t>02</w:t>
      </w:r>
      <w:r>
        <w:rPr>
          <w:rFonts w:hint="eastAsia" w:ascii="Times New Roman" w:hAnsi="Times New Roman" w:eastAsia="仿宋_GB2312"/>
          <w:color w:val="auto"/>
          <w:sz w:val="28"/>
          <w:lang w:val="en-US" w:eastAsia="zh-CN"/>
        </w:rPr>
        <w:t>5</w:t>
      </w:r>
      <w:r>
        <w:rPr>
          <w:rFonts w:hint="eastAsia" w:ascii="Times New Roman" w:hAnsi="Times New Roman" w:eastAsia="仿宋_GB2312"/>
          <w:color w:val="auto"/>
          <w:sz w:val="28"/>
        </w:rPr>
        <w:t>年</w:t>
      </w:r>
      <w:r>
        <w:rPr>
          <w:rFonts w:hint="eastAsia" w:ascii="Times New Roman" w:hAnsi="Times New Roman" w:eastAsia="仿宋_GB2312"/>
          <w:color w:val="auto"/>
          <w:sz w:val="28"/>
          <w:lang w:val="en-US" w:eastAsia="zh-CN"/>
        </w:rPr>
        <w:t>12</w:t>
      </w:r>
      <w:r>
        <w:rPr>
          <w:rFonts w:hint="eastAsia" w:ascii="Times New Roman" w:hAnsi="Times New Roman" w:eastAsia="仿宋_GB2312"/>
          <w:color w:val="auto"/>
          <w:sz w:val="28"/>
        </w:rPr>
        <w:t>月</w:t>
      </w:r>
      <w:r>
        <w:rPr>
          <w:rFonts w:hint="eastAsia" w:ascii="Times New Roman" w:hAnsi="Times New Roman" w:eastAsia="仿宋_GB2312"/>
          <w:color w:val="auto"/>
          <w:sz w:val="28"/>
          <w:lang w:val="en-US" w:eastAsia="zh-CN"/>
        </w:rPr>
        <w:t>15</w:t>
      </w:r>
      <w:r>
        <w:rPr>
          <w:rFonts w:hint="eastAsia" w:ascii="Times New Roman" w:hAnsi="Times New Roman" w:eastAsia="仿宋_GB2312"/>
          <w:color w:val="auto"/>
          <w:sz w:val="28"/>
        </w:rPr>
        <w:t>日（且乙方保证约定工作量完成）</w:t>
      </w:r>
      <w:r>
        <w:rPr>
          <w:rFonts w:ascii="Times New Roman" w:hAnsi="Times New Roman" w:eastAsia="仿宋_GB2312"/>
          <w:color w:val="auto"/>
          <w:sz w:val="28"/>
        </w:rPr>
        <w:t>。</w:t>
      </w:r>
    </w:p>
    <w:p w14:paraId="1C44A4D8">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2.本合同的履行方式：</w:t>
      </w:r>
    </w:p>
    <w:p w14:paraId="36D3F04A">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（1）</w:t>
      </w:r>
      <w:r>
        <w:rPr>
          <w:rFonts w:ascii="Times New Roman" w:hAnsi="Times New Roman" w:eastAsia="仿宋_GB2312"/>
          <w:color w:val="auto"/>
          <w:sz w:val="28"/>
          <w:u w:val="single"/>
        </w:rPr>
        <w:t>由技术支持团队对现场的问题提供技术咨询服务；</w:t>
      </w:r>
    </w:p>
    <w:p w14:paraId="63911060">
      <w:pPr>
        <w:adjustRightInd w:val="0"/>
        <w:snapToGrid w:val="0"/>
        <w:spacing w:line="324" w:lineRule="auto"/>
        <w:ind w:firstLine="560" w:firstLineChars="200"/>
        <w:rPr>
          <w:rFonts w:ascii="Times New Roman" w:hAnsi="Times New Roman" w:eastAsia="仿宋_GB2312"/>
          <w:color w:val="auto"/>
          <w:sz w:val="28"/>
          <w:u w:val="single"/>
        </w:rPr>
      </w:pPr>
      <w:r>
        <w:rPr>
          <w:rFonts w:ascii="Times New Roman" w:hAnsi="Times New Roman" w:eastAsia="仿宋_GB2312"/>
          <w:color w:val="auto"/>
          <w:sz w:val="28"/>
        </w:rPr>
        <w:t>（2）</w:t>
      </w:r>
      <w:r>
        <w:rPr>
          <w:rFonts w:ascii="Times New Roman" w:hAnsi="Times New Roman" w:eastAsia="仿宋_GB2312"/>
          <w:color w:val="auto"/>
          <w:sz w:val="28"/>
          <w:u w:val="single"/>
        </w:rPr>
        <w:t>根据现场</w:t>
      </w:r>
      <w:r>
        <w:rPr>
          <w:rFonts w:hint="eastAsia" w:ascii="Times New Roman" w:hAnsi="Times New Roman" w:eastAsia="仿宋_GB2312"/>
          <w:color w:val="auto"/>
          <w:sz w:val="28"/>
          <w:u w:val="single"/>
        </w:rPr>
        <w:t>监测数据</w:t>
      </w:r>
      <w:r>
        <w:rPr>
          <w:rFonts w:ascii="Times New Roman" w:hAnsi="Times New Roman" w:eastAsia="仿宋_GB2312"/>
          <w:color w:val="auto"/>
          <w:sz w:val="28"/>
          <w:u w:val="single"/>
        </w:rPr>
        <w:t>、理论分析计算结果编制评估报告。</w:t>
      </w:r>
    </w:p>
    <w:p w14:paraId="3D993AE0">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3．本项目的成果资料：乙方向甲方提交评估报告一式四份，并提供电子版一份。</w:t>
      </w:r>
      <w:r>
        <w:rPr>
          <w:rFonts w:hint="eastAsia" w:ascii="Times New Roman" w:hAnsi="Times New Roman" w:eastAsia="仿宋_GB2312"/>
          <w:color w:val="auto"/>
          <w:sz w:val="28"/>
        </w:rPr>
        <w:t>乙方提交的评估报告不能满足合同约定要求的，乙方应负责限期内修改、完善直至达到合同约定要求；</w:t>
      </w:r>
    </w:p>
    <w:p w14:paraId="62BB2690">
      <w:pPr>
        <w:adjustRightInd w:val="0"/>
        <w:snapToGrid w:val="0"/>
        <w:spacing w:line="324" w:lineRule="auto"/>
        <w:ind w:firstLine="560" w:firstLineChars="200"/>
        <w:rPr>
          <w:rFonts w:ascii="Times New Roman" w:hAnsi="Times New Roman" w:eastAsia="楷体_GB2312"/>
          <w:color w:val="auto"/>
          <w:sz w:val="28"/>
        </w:rPr>
      </w:pPr>
      <w:r>
        <w:rPr>
          <w:rFonts w:ascii="Times New Roman" w:hAnsi="Times New Roman" w:eastAsia="黑体"/>
          <w:color w:val="auto"/>
          <w:sz w:val="28"/>
        </w:rPr>
        <w:t>第</w:t>
      </w:r>
      <w:r>
        <w:rPr>
          <w:rFonts w:hint="eastAsia" w:ascii="Times New Roman" w:hAnsi="Times New Roman" w:eastAsia="黑体"/>
          <w:color w:val="auto"/>
          <w:sz w:val="28"/>
        </w:rPr>
        <w:t>三</w:t>
      </w:r>
      <w:r>
        <w:rPr>
          <w:rFonts w:ascii="Times New Roman" w:hAnsi="Times New Roman" w:eastAsia="黑体"/>
          <w:color w:val="auto"/>
          <w:sz w:val="28"/>
        </w:rPr>
        <w:t>条</w:t>
      </w:r>
      <w:r>
        <w:rPr>
          <w:rFonts w:ascii="Times New Roman" w:hAnsi="Times New Roman" w:eastAsia="楷体_GB2312"/>
          <w:color w:val="auto"/>
          <w:sz w:val="28"/>
        </w:rPr>
        <w:t>　</w:t>
      </w:r>
      <w:r>
        <w:rPr>
          <w:rFonts w:ascii="Times New Roman" w:hAnsi="Times New Roman" w:eastAsia="仿宋_GB2312"/>
          <w:b/>
          <w:color w:val="auto"/>
          <w:sz w:val="28"/>
        </w:rPr>
        <w:t>甲方向乙方支付技术服务报酬及支付方式为：</w:t>
      </w:r>
    </w:p>
    <w:p w14:paraId="56D3D385">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１.本合同技术服务费总额为：</w:t>
      </w:r>
      <w:r>
        <w:rPr>
          <w:rFonts w:ascii="Times New Roman" w:hAnsi="Times New Roman" w:eastAsia="仿宋_GB2312"/>
          <w:color w:val="auto"/>
          <w:sz w:val="28"/>
          <w:u w:val="single"/>
        </w:rPr>
        <w:t xml:space="preserve">       元（大写人民币：</w:t>
      </w:r>
      <w:r>
        <w:rPr>
          <w:rFonts w:hint="eastAsia" w:ascii="Times New Roman" w:hAnsi="Times New Roman" w:eastAsia="仿宋_GB2312"/>
          <w:color w:val="auto"/>
          <w:sz w:val="28"/>
          <w:u w:val="single"/>
        </w:rPr>
        <w:t xml:space="preserve"> </w:t>
      </w:r>
      <w:r>
        <w:rPr>
          <w:rFonts w:ascii="Times New Roman" w:hAnsi="Times New Roman" w:eastAsia="仿宋_GB2312"/>
          <w:color w:val="auto"/>
          <w:sz w:val="28"/>
          <w:u w:val="single"/>
        </w:rPr>
        <w:t xml:space="preserve">   ） </w:t>
      </w:r>
      <w:r>
        <w:rPr>
          <w:rFonts w:hint="eastAsia" w:ascii="Times New Roman" w:hAnsi="Times New Roman" w:eastAsia="仿宋_GB2312"/>
          <w:color w:val="auto"/>
          <w:sz w:val="28"/>
          <w:u w:val="single"/>
        </w:rPr>
        <w:t>合同金额包括合同规定的乙方的全部费用，即包括所有机械设备费、服务费、规范规定的检验费、保险费、管理费、税费、规费和利润，以及汛期或特殊情况开展的加密检测工作费用等一切费用，如有缺漏项，视同包含在合同总价内</w:t>
      </w:r>
      <w:r>
        <w:rPr>
          <w:rFonts w:ascii="Times New Roman" w:hAnsi="Times New Roman" w:eastAsia="仿宋_GB2312"/>
          <w:color w:val="auto"/>
          <w:sz w:val="28"/>
        </w:rPr>
        <w:t>。</w:t>
      </w:r>
    </w:p>
    <w:p w14:paraId="471D42A7">
      <w:pPr>
        <w:pStyle w:val="3"/>
        <w:spacing w:line="336" w:lineRule="auto"/>
        <w:rPr>
          <w:rFonts w:ascii="Times New Roman" w:hAnsi="Times New Roman" w:eastAsia="仿宋_GB2312"/>
          <w:color w:val="auto"/>
        </w:rPr>
      </w:pPr>
      <w:r>
        <w:rPr>
          <w:rFonts w:ascii="Times New Roman" w:hAnsi="Times New Roman" w:eastAsia="仿宋_GB2312"/>
          <w:color w:val="auto"/>
        </w:rPr>
        <w:t>２.技术服务费</w:t>
      </w:r>
      <w:r>
        <w:rPr>
          <w:rFonts w:hint="eastAsia" w:ascii="Times New Roman" w:hAnsi="Times New Roman" w:eastAsia="仿宋_GB2312"/>
          <w:color w:val="auto"/>
        </w:rPr>
        <w:t>支付方式：</w:t>
      </w:r>
    </w:p>
    <w:p w14:paraId="1CCF8B9F">
      <w:pPr>
        <w:pStyle w:val="3"/>
        <w:spacing w:line="336" w:lineRule="auto"/>
        <w:rPr>
          <w:rFonts w:ascii="Times New Roman" w:hAnsi="Times New Roman" w:eastAsia="仿宋_GB2312"/>
          <w:color w:val="auto"/>
        </w:rPr>
      </w:pPr>
      <w:r>
        <w:rPr>
          <w:rFonts w:hint="eastAsia" w:ascii="Times New Roman" w:hAnsi="Times New Roman" w:eastAsia="仿宋_GB2312"/>
          <w:color w:val="auto"/>
        </w:rPr>
        <w:t>（1）合同签订后，支付合同总价的</w:t>
      </w:r>
      <w:r>
        <w:rPr>
          <w:rFonts w:hint="eastAsia" w:ascii="Times New Roman" w:hAnsi="Times New Roman" w:eastAsia="仿宋_GB2312"/>
          <w:color w:val="auto"/>
          <w:lang w:val="en-US" w:eastAsia="zh-CN"/>
        </w:rPr>
        <w:t>4</w:t>
      </w:r>
      <w:r>
        <w:rPr>
          <w:rFonts w:ascii="Times New Roman" w:hAnsi="Times New Roman" w:eastAsia="仿宋_GB2312"/>
          <w:color w:val="auto"/>
        </w:rPr>
        <w:t>0</w:t>
      </w:r>
      <w:r>
        <w:rPr>
          <w:rFonts w:hint="eastAsia" w:ascii="Times New Roman" w:hAnsi="Times New Roman" w:eastAsia="仿宋_GB2312"/>
          <w:color w:val="auto"/>
        </w:rPr>
        <w:t>%；</w:t>
      </w:r>
    </w:p>
    <w:p w14:paraId="55A2BC28">
      <w:pPr>
        <w:pStyle w:val="3"/>
        <w:spacing w:line="336" w:lineRule="auto"/>
        <w:rPr>
          <w:rFonts w:ascii="Times New Roman" w:hAnsi="Times New Roman" w:eastAsia="仿宋_GB2312"/>
          <w:color w:val="auto"/>
        </w:rPr>
      </w:pPr>
      <w:r>
        <w:rPr>
          <w:rFonts w:hint="eastAsia" w:ascii="Times New Roman" w:hAnsi="Times New Roman" w:eastAsia="仿宋_GB2312"/>
          <w:color w:val="auto"/>
        </w:rPr>
        <w:t>（</w:t>
      </w:r>
      <w:r>
        <w:rPr>
          <w:rFonts w:ascii="Times New Roman" w:hAnsi="Times New Roman" w:eastAsia="仿宋_GB2312"/>
          <w:color w:val="auto"/>
        </w:rPr>
        <w:t>2</w:t>
      </w:r>
      <w:r>
        <w:rPr>
          <w:rFonts w:hint="eastAsia" w:ascii="Times New Roman" w:hAnsi="Times New Roman" w:eastAsia="仿宋_GB2312"/>
          <w:color w:val="auto"/>
        </w:rPr>
        <w:t>）乙方按照合同要求完成所有服务内容并出具所有评估报告</w:t>
      </w:r>
      <w:r>
        <w:rPr>
          <w:rFonts w:hint="eastAsia" w:ascii="Times New Roman" w:hAnsi="Times New Roman" w:eastAsia="仿宋_GB2312"/>
          <w:color w:val="auto"/>
          <w:lang w:val="en-US" w:eastAsia="zh-CN"/>
        </w:rPr>
        <w:t>报在甲方接收</w:t>
      </w:r>
      <w:r>
        <w:rPr>
          <w:rFonts w:hint="eastAsia" w:ascii="Times New Roman" w:hAnsi="Times New Roman" w:eastAsia="仿宋_GB2312"/>
          <w:color w:val="auto"/>
        </w:rPr>
        <w:t>后，支付至合同总价的1</w:t>
      </w:r>
      <w:r>
        <w:rPr>
          <w:rFonts w:ascii="Times New Roman" w:hAnsi="Times New Roman" w:eastAsia="仿宋_GB2312"/>
          <w:color w:val="auto"/>
        </w:rPr>
        <w:t>00%</w:t>
      </w:r>
      <w:r>
        <w:rPr>
          <w:rFonts w:hint="eastAsia" w:ascii="Times New Roman" w:hAnsi="Times New Roman" w:eastAsia="仿宋_GB2312"/>
          <w:color w:val="auto"/>
        </w:rPr>
        <w:t>。</w:t>
      </w:r>
    </w:p>
    <w:p w14:paraId="14C2AC33">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3</w:t>
      </w:r>
      <w:r>
        <w:rPr>
          <w:rFonts w:ascii="Times New Roman" w:hAnsi="Times New Roman" w:eastAsia="仿宋_GB2312"/>
          <w:color w:val="auto"/>
          <w:sz w:val="28"/>
        </w:rPr>
        <w:t>.</w:t>
      </w:r>
      <w:r>
        <w:rPr>
          <w:rFonts w:hint="eastAsia" w:ascii="Times New Roman" w:hAnsi="Times New Roman" w:eastAsia="仿宋_GB2312"/>
          <w:color w:val="auto"/>
          <w:sz w:val="28"/>
        </w:rPr>
        <w:t>每次付款前</w:t>
      </w:r>
      <w:r>
        <w:rPr>
          <w:rFonts w:ascii="Times New Roman" w:hAnsi="Times New Roman" w:eastAsia="仿宋_GB2312"/>
          <w:color w:val="auto"/>
          <w:sz w:val="28"/>
        </w:rPr>
        <w:t>乙方</w:t>
      </w:r>
      <w:r>
        <w:rPr>
          <w:rFonts w:hint="eastAsia" w:ascii="Times New Roman" w:hAnsi="Times New Roman" w:eastAsia="仿宋_GB2312"/>
          <w:color w:val="auto"/>
          <w:sz w:val="28"/>
        </w:rPr>
        <w:t>均须</w:t>
      </w:r>
      <w:r>
        <w:rPr>
          <w:rFonts w:ascii="Times New Roman" w:hAnsi="Times New Roman" w:eastAsia="仿宋_GB2312"/>
          <w:color w:val="auto"/>
          <w:sz w:val="28"/>
        </w:rPr>
        <w:t>提供等额有效</w:t>
      </w:r>
      <w:r>
        <w:rPr>
          <w:rFonts w:hint="eastAsia" w:ascii="Times New Roman" w:hAnsi="Times New Roman" w:eastAsia="仿宋_GB2312"/>
          <w:color w:val="auto"/>
          <w:sz w:val="28"/>
        </w:rPr>
        <w:t>的增值税</w:t>
      </w:r>
      <w:r>
        <w:rPr>
          <w:rFonts w:ascii="Times New Roman" w:hAnsi="Times New Roman" w:eastAsia="仿宋_GB2312"/>
          <w:color w:val="auto"/>
          <w:sz w:val="28"/>
        </w:rPr>
        <w:t>发票给甲方，甲方在收到发票</w:t>
      </w:r>
      <w:r>
        <w:rPr>
          <w:rFonts w:hint="eastAsia" w:ascii="Times New Roman" w:hAnsi="Times New Roman" w:eastAsia="仿宋_GB2312"/>
          <w:color w:val="auto"/>
          <w:sz w:val="28"/>
        </w:rPr>
        <w:t>且在财政资金到位的情况下，</w:t>
      </w:r>
      <w:r>
        <w:rPr>
          <w:rFonts w:ascii="Times New Roman" w:hAnsi="Times New Roman" w:eastAsia="仿宋_GB2312"/>
          <w:color w:val="auto"/>
          <w:sz w:val="28"/>
        </w:rPr>
        <w:t>将应付款项支付给乙方。因财政、政策、审计、不可抗力等原因导致付款延迟的除外。</w:t>
      </w:r>
    </w:p>
    <w:p w14:paraId="213321B0">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4.甲乙双方约定的技术服务费支付方式为：【银行转账】</w:t>
      </w:r>
    </w:p>
    <w:p w14:paraId="103D606E">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乙方指定的收款账户：</w:t>
      </w:r>
    </w:p>
    <w:p w14:paraId="60720629">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开户名：</w:t>
      </w:r>
    </w:p>
    <w:p w14:paraId="37BD23C8">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账  号：</w:t>
      </w:r>
    </w:p>
    <w:p w14:paraId="2720AA36">
      <w:pPr>
        <w:adjustRightInd w:val="0"/>
        <w:snapToGrid w:val="0"/>
        <w:spacing w:line="312" w:lineRule="auto"/>
        <w:ind w:firstLine="555"/>
        <w:rPr>
          <w:rFonts w:ascii="Times New Roman" w:hAnsi="Times New Roman" w:eastAsia="仿宋_GB2312"/>
          <w:color w:val="auto"/>
          <w:sz w:val="28"/>
        </w:rPr>
      </w:pPr>
      <w:r>
        <w:rPr>
          <w:rFonts w:hint="eastAsia" w:ascii="Times New Roman" w:hAnsi="Times New Roman" w:eastAsia="仿宋_GB2312"/>
          <w:color w:val="auto"/>
          <w:sz w:val="28"/>
        </w:rPr>
        <w:t>开户行：</w:t>
      </w:r>
    </w:p>
    <w:p w14:paraId="5256843C">
      <w:pPr>
        <w:pStyle w:val="3"/>
        <w:spacing w:line="336" w:lineRule="auto"/>
        <w:rPr>
          <w:rFonts w:ascii="Times New Roman" w:hAnsi="Times New Roman" w:eastAsia="仿宋_GB2312"/>
          <w:color w:val="auto"/>
        </w:rPr>
      </w:pPr>
      <w:r>
        <w:rPr>
          <w:rFonts w:ascii="Times New Roman" w:hAnsi="Times New Roman" w:eastAsia="黑体"/>
          <w:color w:val="auto"/>
        </w:rPr>
        <w:t>第</w:t>
      </w:r>
      <w:r>
        <w:rPr>
          <w:rFonts w:hint="eastAsia" w:ascii="Times New Roman" w:hAnsi="Times New Roman" w:eastAsia="黑体"/>
          <w:color w:val="auto"/>
        </w:rPr>
        <w:t>四</w:t>
      </w:r>
      <w:r>
        <w:rPr>
          <w:rFonts w:ascii="Times New Roman" w:hAnsi="Times New Roman" w:eastAsia="黑体"/>
          <w:color w:val="auto"/>
        </w:rPr>
        <w:t>条</w:t>
      </w:r>
      <w:r>
        <w:rPr>
          <w:rFonts w:ascii="Times New Roman" w:hAnsi="Times New Roman"/>
          <w:color w:val="auto"/>
        </w:rPr>
        <w:t xml:space="preserve"> </w:t>
      </w:r>
      <w:r>
        <w:rPr>
          <w:rFonts w:ascii="Times New Roman" w:hAnsi="Times New Roman"/>
          <w:b/>
          <w:color w:val="auto"/>
        </w:rPr>
        <w:t xml:space="preserve"> </w:t>
      </w:r>
      <w:r>
        <w:rPr>
          <w:rFonts w:ascii="Times New Roman" w:hAnsi="Times New Roman" w:eastAsia="仿宋_GB2312"/>
          <w:b/>
          <w:color w:val="auto"/>
        </w:rPr>
        <w:t>双方确定因履行本合同应遵守的</w:t>
      </w:r>
      <w:r>
        <w:rPr>
          <w:rFonts w:hint="eastAsia" w:ascii="Times New Roman" w:hAnsi="Times New Roman" w:eastAsia="仿宋_GB2312"/>
          <w:b/>
          <w:color w:val="auto"/>
        </w:rPr>
        <w:t>知识产权及</w:t>
      </w:r>
      <w:r>
        <w:rPr>
          <w:rFonts w:ascii="Times New Roman" w:hAnsi="Times New Roman" w:eastAsia="仿宋_GB2312"/>
          <w:b/>
          <w:color w:val="auto"/>
        </w:rPr>
        <w:t>保密义务如下：</w:t>
      </w:r>
      <w:r>
        <w:rPr>
          <w:rFonts w:ascii="Times New Roman" w:hAnsi="Times New Roman" w:eastAsia="仿宋_GB2312"/>
          <w:color w:val="auto"/>
        </w:rPr>
        <w:t xml:space="preserve"> </w:t>
      </w:r>
    </w:p>
    <w:p w14:paraId="23EF3C5F">
      <w:pPr>
        <w:pStyle w:val="3"/>
        <w:spacing w:line="348" w:lineRule="auto"/>
        <w:rPr>
          <w:rFonts w:ascii="Times New Roman" w:hAnsi="Times New Roman" w:eastAsia="仿宋_GB2312"/>
          <w:color w:val="auto"/>
        </w:rPr>
      </w:pPr>
      <w:r>
        <w:rPr>
          <w:rFonts w:hint="eastAsia" w:ascii="Times New Roman" w:hAnsi="Times New Roman" w:eastAsia="仿宋_GB2312"/>
          <w:color w:val="auto"/>
        </w:rPr>
        <w:t>1.评估报告的所有权、使用权、著作权等一切知识产权归甲方所有，乙方不得以任何名义以此进行牟利活动，不得发表，也不得向任何第三方透露，否则应赔偿由此给甲方造成的损失。</w:t>
      </w:r>
    </w:p>
    <w:p w14:paraId="77D4ADD8">
      <w:pPr>
        <w:pStyle w:val="3"/>
        <w:spacing w:line="348" w:lineRule="auto"/>
        <w:rPr>
          <w:rFonts w:ascii="Times New Roman" w:hAnsi="Times New Roman" w:eastAsia="仿宋_GB2312"/>
          <w:color w:val="auto"/>
        </w:rPr>
      </w:pPr>
      <w:r>
        <w:rPr>
          <w:rFonts w:hint="eastAsia" w:ascii="Times New Roman" w:hAnsi="Times New Roman" w:eastAsia="仿宋_GB2312"/>
          <w:color w:val="auto"/>
        </w:rPr>
        <w:t>2</w:t>
      </w:r>
      <w:r>
        <w:rPr>
          <w:rFonts w:ascii="Times New Roman" w:hAnsi="Times New Roman" w:eastAsia="仿宋_GB2312"/>
          <w:color w:val="auto"/>
        </w:rPr>
        <w:t>.双方均应保护对方的知识产权及商业秘密，未经对方同意，任何一方均不得对对方的资料及文件擅自修改、复制或者向第三人转让或用于本合同项目外的项目。如发生以上情况，泄密方承担一切由此引起的后果并承担赔偿责任。</w:t>
      </w:r>
    </w:p>
    <w:p w14:paraId="78816C86">
      <w:pPr>
        <w:pStyle w:val="3"/>
        <w:spacing w:line="336" w:lineRule="auto"/>
        <w:ind w:firstLineChars="0"/>
        <w:rPr>
          <w:rFonts w:ascii="Times New Roman" w:hAnsi="Times New Roman" w:eastAsia="仿宋_GB2312"/>
          <w:b/>
          <w:color w:val="auto"/>
        </w:rPr>
      </w:pPr>
      <w:r>
        <w:rPr>
          <w:rFonts w:ascii="Times New Roman" w:hAnsi="Times New Roman" w:eastAsia="黑体"/>
          <w:color w:val="auto"/>
        </w:rPr>
        <w:t>第</w:t>
      </w:r>
      <w:r>
        <w:rPr>
          <w:rFonts w:hint="eastAsia" w:ascii="Times New Roman" w:hAnsi="Times New Roman" w:eastAsia="黑体"/>
          <w:color w:val="auto"/>
        </w:rPr>
        <w:t>五</w:t>
      </w:r>
      <w:r>
        <w:rPr>
          <w:rFonts w:ascii="Times New Roman" w:hAnsi="Times New Roman" w:eastAsia="黑体"/>
          <w:color w:val="auto"/>
        </w:rPr>
        <w:t>条</w:t>
      </w:r>
      <w:r>
        <w:rPr>
          <w:rFonts w:ascii="Times New Roman" w:hAnsi="Times New Roman"/>
          <w:color w:val="auto"/>
        </w:rPr>
        <w:t xml:space="preserve"> </w:t>
      </w:r>
      <w:r>
        <w:rPr>
          <w:rFonts w:ascii="Times New Roman" w:hAnsi="Times New Roman" w:eastAsia="仿宋_GB2312"/>
          <w:color w:val="auto"/>
        </w:rPr>
        <w:t xml:space="preserve"> </w:t>
      </w:r>
      <w:r>
        <w:rPr>
          <w:rFonts w:ascii="Times New Roman" w:hAnsi="Times New Roman" w:eastAsia="仿宋_GB2312"/>
          <w:b/>
          <w:color w:val="auto"/>
        </w:rPr>
        <w:t>本合同的变更必须由双方协商一致，并以书面形式确定。</w:t>
      </w:r>
    </w:p>
    <w:p w14:paraId="47899AED">
      <w:pPr>
        <w:pStyle w:val="3"/>
        <w:spacing w:line="336" w:lineRule="auto"/>
        <w:rPr>
          <w:rFonts w:ascii="Times New Roman" w:hAnsi="Times New Roman" w:eastAsia="仿宋_GB2312"/>
          <w:color w:val="auto"/>
        </w:rPr>
      </w:pPr>
      <w:r>
        <w:rPr>
          <w:rFonts w:ascii="Times New Roman" w:hAnsi="Times New Roman" w:eastAsia="黑体"/>
          <w:color w:val="auto"/>
        </w:rPr>
        <w:t>第</w:t>
      </w:r>
      <w:r>
        <w:rPr>
          <w:rFonts w:hint="eastAsia" w:ascii="Times New Roman" w:hAnsi="Times New Roman" w:eastAsia="黑体"/>
          <w:color w:val="auto"/>
        </w:rPr>
        <w:t>六</w:t>
      </w:r>
      <w:r>
        <w:rPr>
          <w:rFonts w:ascii="Times New Roman" w:hAnsi="Times New Roman" w:eastAsia="黑体"/>
          <w:color w:val="auto"/>
        </w:rPr>
        <w:t>条</w:t>
      </w:r>
      <w:r>
        <w:rPr>
          <w:rFonts w:ascii="Times New Roman" w:hAnsi="Times New Roman" w:eastAsia="楷体_GB2312"/>
          <w:color w:val="auto"/>
        </w:rPr>
        <w:t xml:space="preserve"> </w:t>
      </w:r>
      <w:r>
        <w:rPr>
          <w:rFonts w:ascii="Times New Roman" w:hAnsi="Times New Roman" w:eastAsia="楷体_GB2312"/>
          <w:b/>
          <w:color w:val="auto"/>
        </w:rPr>
        <w:t xml:space="preserve"> </w:t>
      </w:r>
      <w:r>
        <w:rPr>
          <w:rFonts w:ascii="Times New Roman" w:hAnsi="Times New Roman" w:eastAsia="仿宋_GB2312"/>
          <w:b/>
          <w:color w:val="auto"/>
        </w:rPr>
        <w:t>双方确定，按以下约定承担各自的违约责任：</w:t>
      </w:r>
    </w:p>
    <w:p w14:paraId="13401BCD">
      <w:pPr>
        <w:adjustRightInd w:val="0"/>
        <w:snapToGrid w:val="0"/>
        <w:spacing w:line="312"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1．</w:t>
      </w:r>
      <w:r>
        <w:rPr>
          <w:rFonts w:ascii="Times New Roman" w:hAnsi="Times New Roman" w:eastAsia="仿宋_GB2312"/>
          <w:color w:val="auto"/>
          <w:sz w:val="28"/>
          <w:u w:val="single"/>
        </w:rPr>
        <w:t xml:space="preserve"> 乙 </w:t>
      </w:r>
      <w:r>
        <w:rPr>
          <w:rFonts w:ascii="Times New Roman" w:hAnsi="Times New Roman" w:eastAsia="仿宋_GB2312"/>
          <w:color w:val="auto"/>
          <w:sz w:val="28"/>
        </w:rPr>
        <w:t>方违反本合同第</w:t>
      </w:r>
      <w:r>
        <w:rPr>
          <w:rFonts w:ascii="Times New Roman" w:hAnsi="Times New Roman" w:eastAsia="仿宋_GB2312"/>
          <w:color w:val="auto"/>
          <w:sz w:val="28"/>
          <w:u w:val="single"/>
        </w:rPr>
        <w:t xml:space="preserve"> 一/二 </w:t>
      </w:r>
      <w:r>
        <w:rPr>
          <w:rFonts w:ascii="Times New Roman" w:hAnsi="Times New Roman" w:eastAsia="仿宋_GB2312"/>
          <w:color w:val="auto"/>
          <w:sz w:val="28"/>
        </w:rPr>
        <w:t>条约定，每逾期一天，乙方应向甲方支付技术服务总额</w:t>
      </w:r>
      <w:r>
        <w:rPr>
          <w:rFonts w:hint="eastAsia" w:ascii="Times New Roman" w:hAnsi="Times New Roman" w:eastAsia="仿宋_GB2312"/>
          <w:color w:val="auto"/>
          <w:sz w:val="28"/>
          <w:lang w:val="en-US" w:eastAsia="zh-CN"/>
        </w:rPr>
        <w:t>0.</w:t>
      </w:r>
      <w:r>
        <w:rPr>
          <w:rFonts w:ascii="Times New Roman" w:hAnsi="Times New Roman" w:eastAsia="仿宋_GB2312"/>
          <w:color w:val="auto"/>
          <w:sz w:val="28"/>
        </w:rPr>
        <w:t>1%作为逾期违约金。逾期超过30日，甲方有权解除合同，乙方应向甲方支付技术服务总额20%作为违约金。</w:t>
      </w:r>
    </w:p>
    <w:p w14:paraId="6A4BF4D7">
      <w:pPr>
        <w:adjustRightInd w:val="0"/>
        <w:snapToGrid w:val="0"/>
        <w:spacing w:line="312"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2.甲、乙双方违反本合同第</w:t>
      </w:r>
      <w:r>
        <w:rPr>
          <w:rFonts w:ascii="Times New Roman" w:hAnsi="Times New Roman" w:eastAsia="仿宋_GB2312"/>
          <w:color w:val="auto"/>
          <w:sz w:val="28"/>
          <w:u w:val="single"/>
        </w:rPr>
        <w:t xml:space="preserve"> </w:t>
      </w:r>
      <w:r>
        <w:rPr>
          <w:rFonts w:hint="eastAsia" w:ascii="Times New Roman" w:hAnsi="Times New Roman" w:eastAsia="仿宋_GB2312"/>
          <w:color w:val="auto"/>
          <w:sz w:val="28"/>
          <w:u w:val="single"/>
        </w:rPr>
        <w:t>四</w:t>
      </w:r>
      <w:r>
        <w:rPr>
          <w:rFonts w:ascii="Times New Roman" w:hAnsi="Times New Roman" w:eastAsia="仿宋_GB2312"/>
          <w:color w:val="auto"/>
          <w:sz w:val="28"/>
          <w:u w:val="single"/>
        </w:rPr>
        <w:t xml:space="preserve"> </w:t>
      </w:r>
      <w:r>
        <w:rPr>
          <w:rFonts w:ascii="Times New Roman" w:hAnsi="Times New Roman" w:eastAsia="仿宋_GB2312"/>
          <w:color w:val="auto"/>
          <w:sz w:val="28"/>
        </w:rPr>
        <w:t>条约定，违约方应当向另一方支付技术服务费总额20%作为违约金。</w:t>
      </w:r>
    </w:p>
    <w:p w14:paraId="090047FC">
      <w:pPr>
        <w:adjustRightInd w:val="0"/>
        <w:snapToGrid w:val="0"/>
        <w:spacing w:line="312" w:lineRule="auto"/>
        <w:ind w:firstLine="560" w:firstLineChars="200"/>
        <w:rPr>
          <w:rFonts w:ascii="Times New Roman" w:hAnsi="Times New Roman" w:eastAsia="仿宋_GB2312"/>
          <w:color w:val="auto"/>
          <w:sz w:val="28"/>
        </w:rPr>
      </w:pPr>
      <w:r>
        <w:rPr>
          <w:rFonts w:hint="eastAsia" w:ascii="Times New Roman" w:hAnsi="Times New Roman" w:eastAsia="仿宋_GB2312"/>
          <w:color w:val="auto"/>
          <w:sz w:val="28"/>
        </w:rPr>
        <w:t>3.若因乙方违约甲方解除本合同的，乙方应当在合同解除之日起</w:t>
      </w:r>
      <w:r>
        <w:rPr>
          <w:rFonts w:ascii="Times New Roman" w:hAnsi="Times New Roman" w:eastAsia="仿宋_GB2312"/>
          <w:color w:val="auto"/>
          <w:sz w:val="28"/>
        </w:rPr>
        <w:t>30</w:t>
      </w:r>
      <w:r>
        <w:rPr>
          <w:rFonts w:hint="eastAsia" w:ascii="Times New Roman" w:hAnsi="Times New Roman" w:eastAsia="仿宋_GB2312"/>
          <w:color w:val="auto"/>
          <w:sz w:val="28"/>
        </w:rPr>
        <w:t>日内将已支付的技术服务费用全额退还给甲方，</w:t>
      </w:r>
      <w:r>
        <w:rPr>
          <w:rFonts w:hint="default" w:ascii="Times New Roman" w:hAnsi="Times New Roman" w:eastAsia="仿宋_GB2312"/>
          <w:color w:val="auto"/>
          <w:sz w:val="28"/>
          <w:lang w:val="en-US" w:eastAsia="zh-CN"/>
        </w:rPr>
        <w:t>逾期退还的，乙方应向甲方支付技术服务总额0.1%作为逾期违约金，若逾期超过30日，甲方有权利要求乙方立即支付全部未退还款项，并承担相当于技术服务费总额20%作为违约金。</w:t>
      </w:r>
    </w:p>
    <w:p w14:paraId="0B57C31F">
      <w:pPr>
        <w:pStyle w:val="3"/>
        <w:spacing w:line="324" w:lineRule="auto"/>
        <w:rPr>
          <w:rFonts w:ascii="Times New Roman" w:hAnsi="Times New Roman" w:eastAsia="仿宋_GB2312"/>
          <w:color w:val="auto"/>
        </w:rPr>
      </w:pPr>
      <w:r>
        <w:rPr>
          <w:rFonts w:ascii="Times New Roman" w:hAnsi="Times New Roman" w:eastAsia="黑体"/>
          <w:color w:val="auto"/>
        </w:rPr>
        <w:t>第</w:t>
      </w:r>
      <w:r>
        <w:rPr>
          <w:rFonts w:hint="eastAsia" w:ascii="Times New Roman" w:hAnsi="Times New Roman" w:eastAsia="黑体"/>
          <w:color w:val="auto"/>
        </w:rPr>
        <w:t>七</w:t>
      </w:r>
      <w:r>
        <w:rPr>
          <w:rFonts w:ascii="Times New Roman" w:hAnsi="Times New Roman" w:eastAsia="黑体"/>
          <w:color w:val="auto"/>
        </w:rPr>
        <w:t>条</w:t>
      </w:r>
      <w:r>
        <w:rPr>
          <w:rFonts w:ascii="Times New Roman" w:hAnsi="Times New Roman" w:eastAsia="楷体_GB2312"/>
          <w:color w:val="auto"/>
        </w:rPr>
        <w:t xml:space="preserve">  </w:t>
      </w:r>
      <w:r>
        <w:rPr>
          <w:rFonts w:ascii="Times New Roman" w:hAnsi="Times New Roman" w:eastAsia="仿宋_GB2312"/>
          <w:color w:val="auto"/>
        </w:rPr>
        <w:t>双方确定，在本合同有效期内，甲方指定</w:t>
      </w:r>
      <w:r>
        <w:rPr>
          <w:rFonts w:hint="eastAsia" w:ascii="Times New Roman" w:hAnsi="Times New Roman" w:eastAsia="仿宋_GB2312"/>
          <w:color w:val="auto"/>
          <w:u w:val="single"/>
        </w:rPr>
        <w:t xml:space="preserve"> </w:t>
      </w:r>
      <w:r>
        <w:rPr>
          <w:rFonts w:ascii="Times New Roman" w:hAnsi="Times New Roman" w:eastAsia="仿宋_GB2312"/>
          <w:color w:val="auto"/>
          <w:u w:val="single"/>
        </w:rPr>
        <w:t xml:space="preserve"> </w:t>
      </w:r>
      <w:r>
        <w:rPr>
          <w:rFonts w:hint="eastAsia" w:ascii="Times New Roman" w:hAnsi="Times New Roman" w:eastAsia="仿宋_GB2312"/>
          <w:color w:val="auto"/>
          <w:u w:val="single"/>
        </w:rPr>
        <w:t xml:space="preserve"> </w:t>
      </w:r>
      <w:r>
        <w:rPr>
          <w:rFonts w:ascii="Times New Roman" w:hAnsi="Times New Roman" w:eastAsia="仿宋_GB2312"/>
          <w:color w:val="auto"/>
          <w:u w:val="single"/>
        </w:rPr>
        <w:t xml:space="preserve">  </w:t>
      </w:r>
      <w:r>
        <w:rPr>
          <w:rFonts w:ascii="Times New Roman" w:hAnsi="Times New Roman" w:eastAsia="仿宋_GB2312"/>
          <w:color w:val="auto"/>
        </w:rPr>
        <w:t>为甲方项目联系人，乙方指定</w:t>
      </w:r>
      <w:r>
        <w:rPr>
          <w:rFonts w:hint="eastAsia" w:ascii="Times New Roman" w:hAnsi="Times New Roman" w:eastAsia="仿宋_GB2312"/>
          <w:color w:val="auto"/>
          <w:u w:val="single"/>
        </w:rPr>
        <w:t xml:space="preserve"> </w:t>
      </w:r>
      <w:r>
        <w:rPr>
          <w:rFonts w:ascii="Times New Roman" w:hAnsi="Times New Roman" w:eastAsia="仿宋_GB2312"/>
          <w:color w:val="auto"/>
          <w:u w:val="single"/>
        </w:rPr>
        <w:t xml:space="preserve">    </w:t>
      </w:r>
      <w:r>
        <w:rPr>
          <w:rFonts w:ascii="Times New Roman" w:hAnsi="Times New Roman" w:eastAsia="仿宋_GB2312"/>
          <w:color w:val="auto"/>
        </w:rPr>
        <w:t>为乙方项目联系人。项目联系人承担以下责任：</w:t>
      </w:r>
    </w:p>
    <w:p w14:paraId="717475CF">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1．按照约定联系时间、方式和地点完成交办的相关工作；</w:t>
      </w:r>
    </w:p>
    <w:p w14:paraId="131C3A9A">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2．防止因人事变动而使本合同难以履行或无法履行；</w:t>
      </w:r>
    </w:p>
    <w:p w14:paraId="5B1F8137">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3．保证以适当的时间、方式、标准履行本合同。</w:t>
      </w:r>
    </w:p>
    <w:p w14:paraId="41331597">
      <w:pPr>
        <w:pStyle w:val="3"/>
        <w:spacing w:line="324" w:lineRule="auto"/>
        <w:rPr>
          <w:rFonts w:ascii="Times New Roman" w:hAnsi="Times New Roman" w:eastAsia="仿宋_GB2312"/>
          <w:color w:val="auto"/>
        </w:rPr>
      </w:pPr>
      <w:r>
        <w:rPr>
          <w:rFonts w:ascii="Times New Roman" w:hAnsi="Times New Roman" w:eastAsia="仿宋_GB2312"/>
          <w:color w:val="auto"/>
        </w:rPr>
        <w:t>一方变更项目联系人的，应当及时以书面形式通知另一方。未及时通知并影响本合同履行或造成损失的，应承担相应的责任。</w:t>
      </w:r>
    </w:p>
    <w:p w14:paraId="31B81E7E">
      <w:pPr>
        <w:adjustRightInd w:val="0"/>
        <w:snapToGrid w:val="0"/>
        <w:spacing w:line="312" w:lineRule="auto"/>
        <w:ind w:firstLine="560" w:firstLineChars="200"/>
        <w:rPr>
          <w:rFonts w:ascii="Times New Roman" w:hAnsi="Times New Roman" w:eastAsia="仿宋_GB2312"/>
          <w:color w:val="auto"/>
          <w:sz w:val="28"/>
        </w:rPr>
      </w:pPr>
      <w:r>
        <w:rPr>
          <w:rFonts w:ascii="Times New Roman" w:hAnsi="Times New Roman" w:eastAsia="黑体"/>
          <w:bCs/>
          <w:color w:val="auto"/>
          <w:sz w:val="28"/>
        </w:rPr>
        <w:t>第</w:t>
      </w:r>
      <w:r>
        <w:rPr>
          <w:rFonts w:hint="eastAsia" w:ascii="Times New Roman" w:hAnsi="Times New Roman" w:eastAsia="黑体"/>
          <w:bCs/>
          <w:color w:val="auto"/>
          <w:sz w:val="28"/>
        </w:rPr>
        <w:t>八</w:t>
      </w:r>
      <w:r>
        <w:rPr>
          <w:rFonts w:ascii="Times New Roman" w:hAnsi="Times New Roman" w:eastAsia="黑体"/>
          <w:bCs/>
          <w:color w:val="auto"/>
          <w:sz w:val="28"/>
        </w:rPr>
        <w:t xml:space="preserve">条 </w:t>
      </w:r>
      <w:r>
        <w:rPr>
          <w:rFonts w:ascii="Times New Roman" w:hAnsi="Times New Roman" w:eastAsia="仿宋_GB2312"/>
          <w:b/>
          <w:bCs/>
          <w:color w:val="auto"/>
          <w:sz w:val="28"/>
        </w:rPr>
        <w:t xml:space="preserve"> </w:t>
      </w:r>
      <w:r>
        <w:rPr>
          <w:rFonts w:ascii="Times New Roman" w:hAnsi="Times New Roman" w:eastAsia="仿宋_GB2312"/>
          <w:color w:val="auto"/>
          <w:sz w:val="28"/>
        </w:rPr>
        <w:t>双方确定，出现下列情形，致使本合同的履行成为不必要或不可能的，可以解除本合同：</w:t>
      </w:r>
    </w:p>
    <w:p w14:paraId="60A14A5E">
      <w:pPr>
        <w:pStyle w:val="3"/>
        <w:spacing w:line="324" w:lineRule="auto"/>
        <w:ind w:firstLineChars="0"/>
        <w:rPr>
          <w:rFonts w:ascii="Times New Roman" w:hAnsi="Times New Roman" w:eastAsia="仿宋_GB2312"/>
          <w:color w:val="auto"/>
        </w:rPr>
      </w:pPr>
      <w:r>
        <w:rPr>
          <w:rFonts w:ascii="Times New Roman" w:hAnsi="Times New Roman" w:eastAsia="仿宋_GB2312"/>
          <w:color w:val="auto"/>
        </w:rPr>
        <w:t xml:space="preserve">1. </w:t>
      </w:r>
      <w:r>
        <w:rPr>
          <w:rFonts w:ascii="Times New Roman" w:hAnsi="Times New Roman" w:eastAsia="仿宋_GB2312"/>
          <w:color w:val="auto"/>
          <w:u w:val="single"/>
        </w:rPr>
        <w:t>因发生不可抗力或技术风险</w:t>
      </w:r>
      <w:r>
        <w:rPr>
          <w:rFonts w:ascii="Times New Roman" w:hAnsi="Times New Roman" w:eastAsia="仿宋_GB2312"/>
          <w:color w:val="auto"/>
        </w:rPr>
        <w:t xml:space="preserve">； </w:t>
      </w:r>
    </w:p>
    <w:p w14:paraId="69DFD78C">
      <w:pPr>
        <w:adjustRightInd w:val="0"/>
        <w:snapToGrid w:val="0"/>
        <w:spacing w:line="324" w:lineRule="auto"/>
        <w:ind w:firstLine="560" w:firstLineChars="200"/>
        <w:rPr>
          <w:rFonts w:ascii="Times New Roman" w:hAnsi="Times New Roman" w:eastAsia="仿宋_GB2312"/>
          <w:color w:val="auto"/>
          <w:sz w:val="28"/>
        </w:rPr>
      </w:pPr>
      <w:r>
        <w:rPr>
          <w:rFonts w:ascii="Times New Roman" w:hAnsi="Times New Roman" w:eastAsia="仿宋_GB2312"/>
          <w:color w:val="auto"/>
          <w:sz w:val="28"/>
        </w:rPr>
        <w:t>2．</w:t>
      </w:r>
      <w:r>
        <w:rPr>
          <w:rFonts w:ascii="Times New Roman" w:hAnsi="Times New Roman" w:eastAsia="仿宋_GB2312"/>
          <w:color w:val="auto"/>
          <w:sz w:val="28"/>
          <w:u w:val="single"/>
        </w:rPr>
        <w:t>在履行合同的过程中，第三人公开了相同的技术成果，导致本合同的进一步履行已无意义</w:t>
      </w:r>
      <w:r>
        <w:rPr>
          <w:rFonts w:ascii="Times New Roman" w:hAnsi="Times New Roman" w:eastAsia="仿宋_GB2312"/>
          <w:color w:val="auto"/>
          <w:sz w:val="28"/>
        </w:rPr>
        <w:t>。</w:t>
      </w:r>
    </w:p>
    <w:p w14:paraId="0567E6E3">
      <w:pPr>
        <w:pStyle w:val="3"/>
        <w:spacing w:line="324" w:lineRule="auto"/>
        <w:rPr>
          <w:rFonts w:ascii="Times New Roman" w:hAnsi="Times New Roman" w:eastAsia="仿宋_GB2312"/>
          <w:color w:val="auto"/>
        </w:rPr>
      </w:pPr>
      <w:r>
        <w:rPr>
          <w:rFonts w:ascii="Times New Roman" w:hAnsi="Times New Roman" w:eastAsia="黑体"/>
          <w:bCs/>
          <w:color w:val="auto"/>
        </w:rPr>
        <w:t>第</w:t>
      </w:r>
      <w:r>
        <w:rPr>
          <w:rFonts w:hint="eastAsia" w:ascii="Times New Roman" w:hAnsi="Times New Roman" w:eastAsia="黑体"/>
          <w:bCs/>
          <w:color w:val="auto"/>
        </w:rPr>
        <w:t>九</w:t>
      </w:r>
      <w:r>
        <w:rPr>
          <w:rFonts w:ascii="Times New Roman" w:hAnsi="Times New Roman" w:eastAsia="黑体"/>
          <w:bCs/>
          <w:color w:val="auto"/>
        </w:rPr>
        <w:t>条</w:t>
      </w:r>
      <w:r>
        <w:rPr>
          <w:rFonts w:ascii="Times New Roman" w:hAnsi="Times New Roman" w:eastAsia="楷体_GB2312"/>
          <w:color w:val="auto"/>
        </w:rPr>
        <w:t xml:space="preserve"> </w:t>
      </w:r>
      <w:r>
        <w:rPr>
          <w:rFonts w:ascii="Times New Roman" w:hAnsi="Times New Roman" w:eastAsia="仿宋_GB2312"/>
          <w:color w:val="auto"/>
        </w:rPr>
        <w:t xml:space="preserve"> 双方因履行本合同而发生的争议，应协商、调解解决。协商、调解不成的，任何一方都有权向</w:t>
      </w:r>
      <w:r>
        <w:rPr>
          <w:rFonts w:hint="eastAsia" w:ascii="Times New Roman" w:hAnsi="Times New Roman" w:eastAsia="仿宋_GB2312"/>
          <w:color w:val="auto"/>
          <w:lang w:val="en-US" w:eastAsia="zh-CN"/>
        </w:rPr>
        <w:t>甲方所在地</w:t>
      </w:r>
      <w:r>
        <w:rPr>
          <w:rFonts w:ascii="Times New Roman" w:hAnsi="Times New Roman" w:eastAsia="仿宋_GB2312"/>
          <w:color w:val="auto"/>
        </w:rPr>
        <w:t>人民法院提起诉讼解决。</w:t>
      </w:r>
    </w:p>
    <w:p w14:paraId="7D4B7B60">
      <w:pPr>
        <w:adjustRightInd w:val="0"/>
        <w:snapToGrid w:val="0"/>
        <w:spacing w:line="336" w:lineRule="auto"/>
        <w:ind w:firstLine="560" w:firstLineChars="200"/>
        <w:rPr>
          <w:rFonts w:ascii="Times New Roman" w:hAnsi="Times New Roman" w:eastAsia="楷体_GB2312"/>
          <w:color w:val="auto"/>
          <w:sz w:val="28"/>
        </w:rPr>
      </w:pPr>
      <w:r>
        <w:rPr>
          <w:rFonts w:ascii="Times New Roman" w:hAnsi="Times New Roman" w:eastAsia="黑体" w:cs="Times New Roman"/>
          <w:bCs/>
          <w:color w:val="auto"/>
          <w:sz w:val="28"/>
        </w:rPr>
        <w:t>第十条</w:t>
      </w:r>
      <w:r>
        <w:rPr>
          <w:rFonts w:ascii="Times New Roman" w:hAnsi="Times New Roman" w:eastAsia="楷体_GB2312"/>
          <w:color w:val="auto"/>
          <w:sz w:val="28"/>
        </w:rPr>
        <w:t xml:space="preserve">  </w:t>
      </w:r>
      <w:r>
        <w:rPr>
          <w:rFonts w:ascii="Times New Roman" w:hAnsi="Times New Roman" w:eastAsia="仿宋_GB2312"/>
          <w:color w:val="auto"/>
          <w:sz w:val="28"/>
        </w:rPr>
        <w:t>本合同一式</w:t>
      </w:r>
      <w:r>
        <w:rPr>
          <w:rFonts w:ascii="Times New Roman" w:hAnsi="Times New Roman" w:eastAsia="仿宋_GB2312"/>
          <w:color w:val="auto"/>
          <w:sz w:val="28"/>
          <w:u w:val="single"/>
        </w:rPr>
        <w:t xml:space="preserve"> </w:t>
      </w:r>
      <w:r>
        <w:rPr>
          <w:rFonts w:hint="eastAsia" w:ascii="Times New Roman" w:hAnsi="Times New Roman" w:eastAsia="仿宋_GB2312"/>
          <w:color w:val="auto"/>
          <w:sz w:val="28"/>
          <w:u w:val="single"/>
        </w:rPr>
        <w:t>捌</w:t>
      </w:r>
      <w:r>
        <w:rPr>
          <w:rFonts w:ascii="Times New Roman" w:hAnsi="Times New Roman" w:eastAsia="仿宋_GB2312"/>
          <w:color w:val="auto"/>
          <w:sz w:val="28"/>
          <w:u w:val="single"/>
        </w:rPr>
        <w:t xml:space="preserve"> </w:t>
      </w:r>
      <w:r>
        <w:rPr>
          <w:rFonts w:ascii="Times New Roman" w:hAnsi="Times New Roman" w:eastAsia="仿宋_GB2312"/>
          <w:color w:val="auto"/>
          <w:sz w:val="28"/>
        </w:rPr>
        <w:t>份，甲</w:t>
      </w:r>
      <w:r>
        <w:rPr>
          <w:rFonts w:hint="eastAsia" w:ascii="Times New Roman" w:hAnsi="Times New Roman" w:eastAsia="仿宋_GB2312"/>
          <w:color w:val="auto"/>
          <w:sz w:val="28"/>
        </w:rPr>
        <w:t>方执</w:t>
      </w:r>
      <w:r>
        <w:rPr>
          <w:rFonts w:hint="eastAsia" w:ascii="Times New Roman" w:hAnsi="Times New Roman" w:eastAsia="仿宋_GB2312"/>
          <w:color w:val="auto"/>
          <w:sz w:val="28"/>
          <w:u w:val="single"/>
        </w:rPr>
        <w:t xml:space="preserve"> 陆 </w:t>
      </w:r>
      <w:r>
        <w:rPr>
          <w:rFonts w:hint="eastAsia" w:ascii="Times New Roman" w:hAnsi="Times New Roman" w:eastAsia="仿宋_GB2312"/>
          <w:color w:val="auto"/>
          <w:sz w:val="28"/>
        </w:rPr>
        <w:t>份，</w:t>
      </w:r>
      <w:r>
        <w:rPr>
          <w:rFonts w:ascii="Times New Roman" w:hAnsi="Times New Roman" w:eastAsia="仿宋_GB2312"/>
          <w:color w:val="auto"/>
          <w:sz w:val="28"/>
        </w:rPr>
        <w:t>乙方执</w:t>
      </w:r>
      <w:r>
        <w:rPr>
          <w:rFonts w:ascii="Times New Roman" w:hAnsi="Times New Roman" w:eastAsia="仿宋_GB2312"/>
          <w:color w:val="auto"/>
          <w:sz w:val="28"/>
          <w:u w:val="single"/>
        </w:rPr>
        <w:t xml:space="preserve"> </w:t>
      </w:r>
      <w:r>
        <w:rPr>
          <w:rFonts w:hint="eastAsia" w:ascii="Times New Roman" w:hAnsi="Times New Roman" w:eastAsia="仿宋_GB2312"/>
          <w:color w:val="auto"/>
          <w:sz w:val="28"/>
          <w:u w:val="single"/>
        </w:rPr>
        <w:t>贰</w:t>
      </w:r>
      <w:r>
        <w:rPr>
          <w:rFonts w:ascii="Times New Roman" w:hAnsi="Times New Roman" w:eastAsia="仿宋_GB2312"/>
          <w:color w:val="auto"/>
          <w:sz w:val="28"/>
          <w:u w:val="single"/>
        </w:rPr>
        <w:t xml:space="preserve"> </w:t>
      </w:r>
      <w:r>
        <w:rPr>
          <w:rFonts w:ascii="Times New Roman" w:hAnsi="Times New Roman" w:eastAsia="仿宋_GB2312"/>
          <w:color w:val="auto"/>
          <w:sz w:val="28"/>
        </w:rPr>
        <w:t>份，均具有同等法律效力。</w:t>
      </w:r>
    </w:p>
    <w:p w14:paraId="0BD07952">
      <w:pPr>
        <w:adjustRightInd w:val="0"/>
        <w:snapToGrid w:val="0"/>
        <w:spacing w:line="336" w:lineRule="auto"/>
        <w:ind w:firstLine="560" w:firstLineChars="200"/>
        <w:rPr>
          <w:rFonts w:ascii="Times New Roman" w:hAnsi="Times New Roman" w:eastAsia="仿宋_GB2312"/>
          <w:color w:val="auto"/>
          <w:sz w:val="28"/>
        </w:rPr>
      </w:pPr>
      <w:r>
        <w:rPr>
          <w:rFonts w:ascii="Times New Roman" w:hAnsi="Times New Roman" w:eastAsia="黑体" w:cs="Times New Roman"/>
          <w:bCs/>
          <w:color w:val="auto"/>
          <w:sz w:val="28"/>
        </w:rPr>
        <w:t>第十</w:t>
      </w:r>
      <w:r>
        <w:rPr>
          <w:rFonts w:hint="eastAsia" w:ascii="Times New Roman" w:hAnsi="Times New Roman" w:eastAsia="黑体" w:cs="Times New Roman"/>
          <w:bCs/>
          <w:color w:val="auto"/>
          <w:sz w:val="28"/>
        </w:rPr>
        <w:t>一</w:t>
      </w:r>
      <w:r>
        <w:rPr>
          <w:rFonts w:ascii="Times New Roman" w:hAnsi="Times New Roman" w:eastAsia="黑体" w:cs="Times New Roman"/>
          <w:bCs/>
          <w:color w:val="auto"/>
          <w:sz w:val="28"/>
        </w:rPr>
        <w:t>条</w:t>
      </w:r>
      <w:r>
        <w:rPr>
          <w:rFonts w:ascii="Times New Roman" w:hAnsi="Times New Roman" w:eastAsia="黑体"/>
          <w:color w:val="auto"/>
          <w:sz w:val="28"/>
        </w:rPr>
        <w:t xml:space="preserve">  </w:t>
      </w:r>
      <w:r>
        <w:rPr>
          <w:rFonts w:ascii="Times New Roman" w:hAnsi="Times New Roman" w:eastAsia="仿宋_GB2312"/>
          <w:color w:val="auto"/>
          <w:sz w:val="28"/>
        </w:rPr>
        <w:t>本合同经双方签字盖章后生效。</w:t>
      </w:r>
      <w:r>
        <w:rPr>
          <w:rFonts w:ascii="Times New Roman" w:hAnsi="Times New Roman" w:eastAsia="楷体_GB2312"/>
          <w:color w:val="auto"/>
          <w:sz w:val="28"/>
        </w:rPr>
        <w:t>（以下无正文）</w:t>
      </w:r>
    </w:p>
    <w:p w14:paraId="4BC8CE2F">
      <w:pPr>
        <w:adjustRightInd w:val="0"/>
        <w:snapToGrid w:val="0"/>
        <w:spacing w:line="336" w:lineRule="auto"/>
        <w:ind w:firstLine="560" w:firstLineChars="200"/>
        <w:rPr>
          <w:rFonts w:ascii="Times New Roman" w:hAnsi="Times New Roman" w:eastAsia="楷体_GB2312"/>
          <w:color w:val="auto"/>
          <w:sz w:val="28"/>
        </w:rPr>
      </w:pPr>
    </w:p>
    <w:p w14:paraId="35639221">
      <w:pPr>
        <w:adjustRightInd w:val="0"/>
        <w:snapToGrid w:val="0"/>
        <w:spacing w:line="336" w:lineRule="auto"/>
        <w:ind w:firstLine="560" w:firstLineChars="200"/>
        <w:rPr>
          <w:rFonts w:ascii="Times New Roman" w:hAnsi="Times New Roman" w:eastAsia="楷体_GB2312"/>
          <w:color w:val="auto"/>
          <w:sz w:val="28"/>
        </w:rPr>
      </w:pPr>
    </w:p>
    <w:p w14:paraId="337DFB4F">
      <w:pPr>
        <w:adjustRightInd w:val="0"/>
        <w:snapToGrid w:val="0"/>
        <w:spacing w:line="336" w:lineRule="auto"/>
        <w:rPr>
          <w:rFonts w:ascii="Times New Roman" w:hAnsi="Times New Roman" w:eastAsia="楷体_GB2312"/>
          <w:color w:val="auto"/>
          <w:sz w:val="28"/>
        </w:rPr>
      </w:pPr>
    </w:p>
    <w:p w14:paraId="527E0249">
      <w:pPr>
        <w:adjustRightInd w:val="0"/>
        <w:snapToGrid w:val="0"/>
        <w:spacing w:line="336" w:lineRule="auto"/>
        <w:rPr>
          <w:rFonts w:ascii="Times New Roman" w:hAnsi="Times New Roman" w:eastAsia="楷体_GB2312"/>
          <w:color w:val="auto"/>
          <w:sz w:val="28"/>
        </w:rPr>
      </w:pPr>
    </w:p>
    <w:p w14:paraId="485AC11C">
      <w:pPr>
        <w:adjustRightInd w:val="0"/>
        <w:snapToGrid w:val="0"/>
        <w:spacing w:line="336" w:lineRule="auto"/>
        <w:rPr>
          <w:rFonts w:ascii="Times New Roman" w:hAnsi="Times New Roman" w:eastAsia="楷体_GB2312"/>
          <w:color w:val="auto"/>
          <w:sz w:val="28"/>
        </w:rPr>
      </w:pPr>
    </w:p>
    <w:p w14:paraId="46F047D2">
      <w:pPr>
        <w:adjustRightInd w:val="0"/>
        <w:snapToGrid w:val="0"/>
        <w:spacing w:line="336" w:lineRule="auto"/>
        <w:rPr>
          <w:rFonts w:ascii="Times New Roman" w:hAnsi="Times New Roman" w:eastAsia="楷体_GB2312"/>
          <w:color w:val="auto"/>
          <w:sz w:val="28"/>
        </w:rPr>
      </w:pPr>
    </w:p>
    <w:tbl>
      <w:tblPr>
        <w:tblStyle w:val="5"/>
        <w:tblpPr w:leftFromText="180" w:rightFromText="180" w:vertAnchor="page" w:horzAnchor="margin" w:tblpXSpec="center" w:tblpY="9764"/>
        <w:tblW w:w="9775" w:type="dxa"/>
        <w:tblInd w:w="0" w:type="dxa"/>
        <w:tblLayout w:type="fixed"/>
        <w:tblCellMar>
          <w:top w:w="0" w:type="dxa"/>
          <w:left w:w="0" w:type="dxa"/>
          <w:bottom w:w="0" w:type="dxa"/>
          <w:right w:w="0" w:type="dxa"/>
        </w:tblCellMar>
      </w:tblPr>
      <w:tblGrid>
        <w:gridCol w:w="4935"/>
        <w:gridCol w:w="6"/>
        <w:gridCol w:w="4834"/>
      </w:tblGrid>
      <w:tr w14:paraId="59A5C79B">
        <w:tblPrEx>
          <w:tblCellMar>
            <w:top w:w="0" w:type="dxa"/>
            <w:left w:w="0" w:type="dxa"/>
            <w:bottom w:w="0" w:type="dxa"/>
            <w:right w:w="0" w:type="dxa"/>
          </w:tblCellMar>
        </w:tblPrEx>
        <w:trPr>
          <w:cantSplit/>
          <w:trHeight w:val="1298" w:hRule="atLeast"/>
        </w:trPr>
        <w:tc>
          <w:tcPr>
            <w:tcW w:w="4941" w:type="dxa"/>
            <w:gridSpan w:val="2"/>
            <w:tcMar>
              <w:left w:w="108" w:type="dxa"/>
              <w:right w:w="108" w:type="dxa"/>
            </w:tcMar>
            <w:vAlign w:val="center"/>
          </w:tcPr>
          <w:p w14:paraId="592AE141">
            <w:pPr>
              <w:snapToGrid w:val="0"/>
              <w:spacing w:line="360" w:lineRule="auto"/>
              <w:rPr>
                <w:rFonts w:ascii="Times New Roman" w:hAnsi="Times New Roman"/>
                <w:b/>
                <w:bCs/>
                <w:color w:val="auto"/>
                <w:sz w:val="28"/>
                <w:szCs w:val="28"/>
              </w:rPr>
            </w:pPr>
            <w:r>
              <w:rPr>
                <w:rFonts w:ascii="Times New Roman" w:hAnsi="Times New Roman"/>
                <w:b/>
                <w:bCs/>
                <w:color w:val="auto"/>
                <w:sz w:val="28"/>
                <w:szCs w:val="28"/>
                <w:lang w:bidi="ar"/>
              </w:rPr>
              <w:t>甲方：（盖章）</w:t>
            </w:r>
          </w:p>
        </w:tc>
        <w:tc>
          <w:tcPr>
            <w:tcW w:w="4834" w:type="dxa"/>
            <w:tcMar>
              <w:left w:w="108" w:type="dxa"/>
              <w:right w:w="108" w:type="dxa"/>
            </w:tcMar>
            <w:vAlign w:val="center"/>
          </w:tcPr>
          <w:p w14:paraId="270B7517">
            <w:pPr>
              <w:snapToGrid w:val="0"/>
              <w:spacing w:line="360" w:lineRule="auto"/>
              <w:jc w:val="left"/>
              <w:rPr>
                <w:rFonts w:ascii="Times New Roman" w:hAnsi="Times New Roman"/>
                <w:b/>
                <w:bCs/>
                <w:color w:val="auto"/>
                <w:sz w:val="28"/>
                <w:szCs w:val="28"/>
              </w:rPr>
            </w:pPr>
            <w:r>
              <w:rPr>
                <w:rFonts w:ascii="Times New Roman" w:hAnsi="Times New Roman"/>
                <w:b/>
                <w:bCs/>
                <w:color w:val="auto"/>
                <w:sz w:val="28"/>
                <w:szCs w:val="28"/>
                <w:lang w:bidi="ar"/>
              </w:rPr>
              <w:t>乙方：（盖章）</w:t>
            </w:r>
          </w:p>
        </w:tc>
      </w:tr>
      <w:tr w14:paraId="02A08ACB">
        <w:tblPrEx>
          <w:tblCellMar>
            <w:top w:w="0" w:type="dxa"/>
            <w:left w:w="0" w:type="dxa"/>
            <w:bottom w:w="0" w:type="dxa"/>
            <w:right w:w="0" w:type="dxa"/>
          </w:tblCellMar>
        </w:tblPrEx>
        <w:trPr>
          <w:cantSplit/>
          <w:trHeight w:val="768" w:hRule="atLeast"/>
        </w:trPr>
        <w:tc>
          <w:tcPr>
            <w:tcW w:w="4941" w:type="dxa"/>
            <w:gridSpan w:val="2"/>
            <w:tcMar>
              <w:left w:w="108" w:type="dxa"/>
              <w:right w:w="108" w:type="dxa"/>
            </w:tcMar>
            <w:vAlign w:val="center"/>
          </w:tcPr>
          <w:p w14:paraId="0A58A13B">
            <w:pPr>
              <w:snapToGrid w:val="0"/>
              <w:textAlignment w:val="center"/>
              <w:rPr>
                <w:rFonts w:ascii="Times New Roman" w:hAnsi="Times New Roman"/>
                <w:b/>
                <w:bCs/>
                <w:color w:val="auto"/>
                <w:sz w:val="28"/>
                <w:szCs w:val="28"/>
                <w:lang w:bidi="ar"/>
              </w:rPr>
            </w:pPr>
            <w:r>
              <w:rPr>
                <w:rFonts w:hint="eastAsia" w:ascii="Times New Roman" w:hAnsi="Times New Roman"/>
                <w:b/>
                <w:bCs/>
                <w:color w:val="auto"/>
                <w:sz w:val="28"/>
                <w:szCs w:val="28"/>
                <w:lang w:val="en-US" w:eastAsia="zh-CN" w:bidi="ar"/>
              </w:rPr>
              <w:t>地址：</w:t>
            </w:r>
          </w:p>
        </w:tc>
        <w:tc>
          <w:tcPr>
            <w:tcW w:w="4834" w:type="dxa"/>
            <w:tcMar>
              <w:left w:w="108" w:type="dxa"/>
              <w:right w:w="108" w:type="dxa"/>
            </w:tcMar>
            <w:vAlign w:val="center"/>
          </w:tcPr>
          <w:p w14:paraId="766BB229">
            <w:pPr>
              <w:snapToGrid w:val="0"/>
              <w:jc w:val="left"/>
              <w:rPr>
                <w:rFonts w:hint="eastAsia" w:ascii="Times New Roman" w:hAnsi="Times New Roman" w:eastAsiaTheme="minorEastAsia"/>
                <w:b/>
                <w:bCs/>
                <w:color w:val="auto"/>
                <w:sz w:val="28"/>
                <w:szCs w:val="28"/>
                <w:lang w:eastAsia="zh-CN" w:bidi="ar"/>
              </w:rPr>
            </w:pPr>
            <w:r>
              <w:rPr>
                <w:rFonts w:hint="eastAsia" w:ascii="Times New Roman" w:hAnsi="Times New Roman"/>
                <w:b/>
                <w:bCs/>
                <w:color w:val="auto"/>
                <w:sz w:val="28"/>
                <w:szCs w:val="28"/>
                <w:lang w:val="en-US" w:eastAsia="zh-CN" w:bidi="ar"/>
              </w:rPr>
              <w:t>地址：</w:t>
            </w:r>
          </w:p>
        </w:tc>
      </w:tr>
      <w:tr w14:paraId="04DC3B45">
        <w:tblPrEx>
          <w:tblCellMar>
            <w:top w:w="0" w:type="dxa"/>
            <w:left w:w="0" w:type="dxa"/>
            <w:bottom w:w="0" w:type="dxa"/>
            <w:right w:w="0" w:type="dxa"/>
          </w:tblCellMar>
        </w:tblPrEx>
        <w:trPr>
          <w:trHeight w:val="688" w:hRule="atLeast"/>
        </w:trPr>
        <w:tc>
          <w:tcPr>
            <w:tcW w:w="4941" w:type="dxa"/>
            <w:gridSpan w:val="2"/>
            <w:tcMar>
              <w:left w:w="108" w:type="dxa"/>
              <w:right w:w="108" w:type="dxa"/>
            </w:tcMar>
            <w:vAlign w:val="center"/>
          </w:tcPr>
          <w:p w14:paraId="7C153DFE">
            <w:pPr>
              <w:tabs>
                <w:tab w:val="right" w:pos="4860"/>
              </w:tabs>
              <w:snapToGrid w:val="0"/>
              <w:rPr>
                <w:rFonts w:ascii="Times New Roman" w:hAnsi="Times New Roman"/>
                <w:b/>
                <w:bCs/>
                <w:color w:val="auto"/>
                <w:sz w:val="28"/>
                <w:szCs w:val="28"/>
              </w:rPr>
            </w:pPr>
            <w:r>
              <w:rPr>
                <w:rFonts w:ascii="Times New Roman" w:hAnsi="Times New Roman"/>
                <w:b/>
                <w:bCs/>
                <w:color w:val="auto"/>
                <w:sz w:val="28"/>
                <w:szCs w:val="28"/>
                <w:lang w:bidi="ar"/>
              </w:rPr>
              <w:t>法定代表人：</w:t>
            </w:r>
            <w:r>
              <w:rPr>
                <w:rFonts w:ascii="Times New Roman" w:hAnsi="Times New Roman"/>
                <w:b/>
                <w:bCs/>
                <w:color w:val="auto"/>
                <w:sz w:val="28"/>
                <w:szCs w:val="28"/>
                <w:lang w:bidi="ar"/>
              </w:rPr>
              <w:tab/>
            </w:r>
          </w:p>
        </w:tc>
        <w:tc>
          <w:tcPr>
            <w:tcW w:w="4834" w:type="dxa"/>
            <w:tcMar>
              <w:left w:w="108" w:type="dxa"/>
              <w:right w:w="108" w:type="dxa"/>
            </w:tcMar>
            <w:vAlign w:val="center"/>
          </w:tcPr>
          <w:p w14:paraId="604EB9CD">
            <w:pPr>
              <w:snapToGrid w:val="0"/>
              <w:rPr>
                <w:rFonts w:ascii="Times New Roman" w:hAnsi="Times New Roman"/>
                <w:b/>
                <w:bCs/>
                <w:color w:val="auto"/>
                <w:sz w:val="28"/>
                <w:szCs w:val="28"/>
              </w:rPr>
            </w:pPr>
            <w:r>
              <w:rPr>
                <w:rFonts w:ascii="Times New Roman" w:hAnsi="Times New Roman"/>
                <w:b/>
                <w:bCs/>
                <w:color w:val="auto"/>
                <w:sz w:val="28"/>
                <w:szCs w:val="28"/>
                <w:lang w:bidi="ar"/>
              </w:rPr>
              <w:t>法定代表人：</w:t>
            </w:r>
          </w:p>
        </w:tc>
      </w:tr>
      <w:tr w14:paraId="4D2A0421">
        <w:tblPrEx>
          <w:tblCellMar>
            <w:top w:w="0" w:type="dxa"/>
            <w:left w:w="0" w:type="dxa"/>
            <w:bottom w:w="0" w:type="dxa"/>
            <w:right w:w="0" w:type="dxa"/>
          </w:tblCellMar>
        </w:tblPrEx>
        <w:trPr>
          <w:trHeight w:val="619" w:hRule="atLeast"/>
        </w:trPr>
        <w:tc>
          <w:tcPr>
            <w:tcW w:w="4941" w:type="dxa"/>
            <w:gridSpan w:val="2"/>
            <w:tcMar>
              <w:left w:w="108" w:type="dxa"/>
              <w:right w:w="108" w:type="dxa"/>
            </w:tcMar>
            <w:vAlign w:val="center"/>
          </w:tcPr>
          <w:p w14:paraId="6146076E">
            <w:pPr>
              <w:snapToGrid w:val="0"/>
              <w:rPr>
                <w:rFonts w:ascii="Times New Roman" w:hAnsi="Times New Roman"/>
                <w:b/>
                <w:bCs/>
                <w:color w:val="auto"/>
                <w:sz w:val="28"/>
                <w:szCs w:val="28"/>
              </w:rPr>
            </w:pPr>
            <w:r>
              <w:rPr>
                <w:rFonts w:hint="eastAsia" w:ascii="Times New Roman" w:hAnsi="Times New Roman"/>
                <w:b/>
                <w:bCs/>
                <w:color w:val="auto"/>
                <w:sz w:val="28"/>
                <w:szCs w:val="28"/>
                <w:lang w:val="en-US" w:eastAsia="zh-CN" w:bidi="ar"/>
              </w:rPr>
              <w:t>经办人</w:t>
            </w:r>
            <w:r>
              <w:rPr>
                <w:rFonts w:ascii="Times New Roman" w:hAnsi="Times New Roman"/>
                <w:b/>
                <w:bCs/>
                <w:color w:val="auto"/>
                <w:sz w:val="28"/>
                <w:szCs w:val="28"/>
                <w:lang w:bidi="ar"/>
              </w:rPr>
              <w:t>：</w:t>
            </w:r>
          </w:p>
        </w:tc>
        <w:tc>
          <w:tcPr>
            <w:tcW w:w="4834" w:type="dxa"/>
            <w:tcMar>
              <w:left w:w="108" w:type="dxa"/>
              <w:right w:w="108" w:type="dxa"/>
            </w:tcMar>
            <w:vAlign w:val="center"/>
          </w:tcPr>
          <w:p w14:paraId="3D139193">
            <w:pPr>
              <w:snapToGrid w:val="0"/>
              <w:rPr>
                <w:rFonts w:hint="eastAsia" w:ascii="Times New Roman" w:hAnsi="Times New Roman" w:eastAsiaTheme="minorEastAsia"/>
                <w:b/>
                <w:bCs/>
                <w:color w:val="auto"/>
                <w:sz w:val="28"/>
                <w:szCs w:val="28"/>
                <w:lang w:eastAsia="zh-CN"/>
              </w:rPr>
            </w:pPr>
            <w:r>
              <w:rPr>
                <w:rFonts w:hint="eastAsia" w:ascii="Times New Roman" w:hAnsi="Times New Roman"/>
                <w:b/>
                <w:bCs/>
                <w:color w:val="auto"/>
                <w:sz w:val="28"/>
                <w:szCs w:val="28"/>
                <w:lang w:val="en-US" w:eastAsia="zh-CN" w:bidi="ar"/>
              </w:rPr>
              <w:t>经办人</w:t>
            </w:r>
          </w:p>
        </w:tc>
      </w:tr>
      <w:tr w14:paraId="1D520831">
        <w:tblPrEx>
          <w:tblCellMar>
            <w:top w:w="0" w:type="dxa"/>
            <w:left w:w="0" w:type="dxa"/>
            <w:bottom w:w="0" w:type="dxa"/>
            <w:right w:w="0" w:type="dxa"/>
          </w:tblCellMar>
        </w:tblPrEx>
        <w:trPr>
          <w:trHeight w:val="548" w:hRule="atLeast"/>
        </w:trPr>
        <w:tc>
          <w:tcPr>
            <w:tcW w:w="4941" w:type="dxa"/>
            <w:gridSpan w:val="2"/>
            <w:tcMar>
              <w:left w:w="108" w:type="dxa"/>
              <w:right w:w="108" w:type="dxa"/>
            </w:tcMar>
            <w:vAlign w:val="center"/>
          </w:tcPr>
          <w:p w14:paraId="7B079227">
            <w:pPr>
              <w:snapToGrid w:val="0"/>
              <w:rPr>
                <w:rFonts w:hint="eastAsia" w:ascii="Times New Roman" w:hAnsi="Times New Roman" w:eastAsiaTheme="minorEastAsia"/>
                <w:b/>
                <w:bCs/>
                <w:color w:val="auto"/>
                <w:sz w:val="28"/>
                <w:szCs w:val="28"/>
                <w:lang w:val="en-US" w:eastAsia="zh-CN"/>
              </w:rPr>
            </w:pPr>
            <w:r>
              <w:rPr>
                <w:rFonts w:hint="eastAsia" w:ascii="Times New Roman" w:hAnsi="Times New Roman"/>
                <w:b/>
                <w:bCs/>
                <w:color w:val="auto"/>
                <w:sz w:val="28"/>
                <w:szCs w:val="28"/>
                <w:lang w:val="en-US" w:eastAsia="zh-CN"/>
              </w:rPr>
              <w:t>电话：</w:t>
            </w:r>
          </w:p>
        </w:tc>
        <w:tc>
          <w:tcPr>
            <w:tcW w:w="4834" w:type="dxa"/>
            <w:tcMar>
              <w:left w:w="108" w:type="dxa"/>
              <w:right w:w="108" w:type="dxa"/>
            </w:tcMar>
            <w:vAlign w:val="center"/>
          </w:tcPr>
          <w:p w14:paraId="35EAE8DD">
            <w:pPr>
              <w:snapToGrid w:val="0"/>
              <w:jc w:val="left"/>
              <w:rPr>
                <w:rFonts w:ascii="Times New Roman" w:hAnsi="Times New Roman"/>
                <w:b/>
                <w:bCs/>
                <w:color w:val="auto"/>
                <w:sz w:val="28"/>
                <w:szCs w:val="28"/>
              </w:rPr>
            </w:pPr>
            <w:r>
              <w:rPr>
                <w:rFonts w:hint="eastAsia" w:ascii="Times New Roman" w:hAnsi="Times New Roman"/>
                <w:b/>
                <w:bCs/>
                <w:color w:val="auto"/>
                <w:sz w:val="28"/>
                <w:szCs w:val="28"/>
                <w:lang w:val="en-US" w:eastAsia="zh-CN" w:bidi="ar"/>
              </w:rPr>
              <w:t>电话：</w:t>
            </w:r>
          </w:p>
        </w:tc>
      </w:tr>
      <w:tr w14:paraId="681E2E57">
        <w:tblPrEx>
          <w:tblCellMar>
            <w:top w:w="0" w:type="dxa"/>
            <w:left w:w="0" w:type="dxa"/>
            <w:bottom w:w="0" w:type="dxa"/>
            <w:right w:w="0" w:type="dxa"/>
          </w:tblCellMar>
        </w:tblPrEx>
        <w:trPr>
          <w:trHeight w:val="533" w:hRule="atLeast"/>
        </w:trPr>
        <w:tc>
          <w:tcPr>
            <w:tcW w:w="4941" w:type="dxa"/>
            <w:gridSpan w:val="2"/>
            <w:tcMar>
              <w:left w:w="108" w:type="dxa"/>
              <w:right w:w="108" w:type="dxa"/>
            </w:tcMar>
            <w:vAlign w:val="center"/>
          </w:tcPr>
          <w:p w14:paraId="48B6F202">
            <w:pPr>
              <w:snapToGrid w:val="0"/>
              <w:rPr>
                <w:rFonts w:ascii="Times New Roman" w:hAnsi="Times New Roman"/>
                <w:b/>
                <w:bCs/>
                <w:color w:val="auto"/>
                <w:sz w:val="28"/>
                <w:szCs w:val="28"/>
              </w:rPr>
            </w:pPr>
          </w:p>
        </w:tc>
        <w:tc>
          <w:tcPr>
            <w:tcW w:w="4834" w:type="dxa"/>
            <w:tcMar>
              <w:left w:w="108" w:type="dxa"/>
              <w:right w:w="108" w:type="dxa"/>
            </w:tcMar>
            <w:vAlign w:val="center"/>
          </w:tcPr>
          <w:p w14:paraId="0D5FAFC9">
            <w:pPr>
              <w:snapToGrid w:val="0"/>
              <w:rPr>
                <w:rFonts w:ascii="Times New Roman" w:hAnsi="Times New Roman"/>
                <w:b/>
                <w:bCs/>
                <w:color w:val="auto"/>
                <w:sz w:val="28"/>
                <w:szCs w:val="28"/>
              </w:rPr>
            </w:pPr>
          </w:p>
        </w:tc>
      </w:tr>
      <w:tr w14:paraId="6CC22CE0">
        <w:tblPrEx>
          <w:tblCellMar>
            <w:top w:w="0" w:type="dxa"/>
            <w:left w:w="0" w:type="dxa"/>
            <w:bottom w:w="0" w:type="dxa"/>
            <w:right w:w="0" w:type="dxa"/>
          </w:tblCellMar>
        </w:tblPrEx>
        <w:trPr>
          <w:trHeight w:val="663" w:hRule="atLeast"/>
        </w:trPr>
        <w:tc>
          <w:tcPr>
            <w:tcW w:w="4935" w:type="dxa"/>
            <w:tcMar>
              <w:left w:w="108" w:type="dxa"/>
              <w:right w:w="108" w:type="dxa"/>
            </w:tcMar>
            <w:vAlign w:val="center"/>
          </w:tcPr>
          <w:p w14:paraId="5E9C34D1">
            <w:pPr>
              <w:snapToGrid w:val="0"/>
              <w:jc w:val="left"/>
              <w:rPr>
                <w:rFonts w:ascii="Times New Roman" w:hAnsi="Times New Roman"/>
                <w:b/>
                <w:bCs/>
                <w:color w:val="auto"/>
                <w:sz w:val="28"/>
                <w:szCs w:val="28"/>
              </w:rPr>
            </w:pPr>
            <w:r>
              <w:rPr>
                <w:rFonts w:ascii="Times New Roman" w:hAnsi="Times New Roman"/>
                <w:b/>
                <w:bCs/>
                <w:color w:val="auto"/>
                <w:sz w:val="28"/>
                <w:szCs w:val="28"/>
                <w:lang w:bidi="ar"/>
              </w:rPr>
              <w:t>签约日期：   年   月    日</w:t>
            </w:r>
          </w:p>
        </w:tc>
        <w:tc>
          <w:tcPr>
            <w:tcW w:w="4840" w:type="dxa"/>
            <w:gridSpan w:val="2"/>
            <w:vAlign w:val="center"/>
          </w:tcPr>
          <w:p w14:paraId="36F23C4F">
            <w:pPr>
              <w:snapToGrid w:val="0"/>
              <w:jc w:val="left"/>
              <w:rPr>
                <w:rFonts w:ascii="Times New Roman" w:hAnsi="Times New Roman"/>
                <w:b/>
                <w:bCs/>
                <w:color w:val="auto"/>
                <w:sz w:val="28"/>
                <w:szCs w:val="28"/>
              </w:rPr>
            </w:pPr>
            <w:r>
              <w:rPr>
                <w:rFonts w:ascii="Times New Roman" w:hAnsi="Times New Roman"/>
                <w:b/>
                <w:bCs/>
                <w:color w:val="auto"/>
                <w:sz w:val="28"/>
                <w:szCs w:val="28"/>
                <w:lang w:bidi="ar"/>
              </w:rPr>
              <w:t>签约日期：   年   月    日</w:t>
            </w:r>
          </w:p>
        </w:tc>
      </w:tr>
    </w:tbl>
    <w:p w14:paraId="604EEFA1">
      <w:pPr>
        <w:adjustRightInd/>
        <w:snapToGrid/>
        <w:spacing w:line="240" w:lineRule="auto"/>
        <w:rPr>
          <w:rFonts w:ascii="Times New Roman" w:hAnsi="Times New Roman" w:eastAsia="楷体_GB2312"/>
          <w:color w:val="auto"/>
          <w:sz w:val="28"/>
        </w:rPr>
      </w:pPr>
    </w:p>
    <w:p w14:paraId="79D7A1CB">
      <w:pPr>
        <w:adjustRightInd w:val="0"/>
        <w:snapToGrid w:val="0"/>
        <w:spacing w:line="336" w:lineRule="auto"/>
        <w:rPr>
          <w:rFonts w:ascii="Times New Roman" w:hAnsi="Times New Roman" w:eastAsia="楷体_GB2312"/>
          <w:color w:val="auto"/>
          <w:sz w:val="28"/>
        </w:rPr>
        <w:sectPr>
          <w:footerReference r:id="rId4" w:type="default"/>
          <w:pgSz w:w="11906" w:h="16838"/>
          <w:pgMar w:top="1440" w:right="1800" w:bottom="1440" w:left="1800" w:header="851" w:footer="992" w:gutter="0"/>
          <w:pgNumType w:fmt="decimal"/>
          <w:cols w:space="425" w:num="1"/>
          <w:docGrid w:type="lines" w:linePitch="312" w:charSpace="0"/>
        </w:sectPr>
      </w:pPr>
    </w:p>
    <w:p w14:paraId="15979B69">
      <w:pPr>
        <w:adjustRightInd w:val="0"/>
        <w:snapToGrid w:val="0"/>
        <w:spacing w:line="336" w:lineRule="auto"/>
        <w:rPr>
          <w:rFonts w:hint="eastAsia" w:ascii="Times New Roman" w:hAnsi="Times New Roman" w:eastAsia="楷体_GB2312"/>
          <w:color w:val="auto"/>
          <w:sz w:val="28"/>
        </w:rPr>
      </w:pPr>
      <w:r>
        <w:rPr>
          <w:rFonts w:hint="eastAsia" w:ascii="Times New Roman" w:hAnsi="Times New Roman" w:eastAsia="楷体_GB2312"/>
          <w:color w:val="auto"/>
          <w:sz w:val="28"/>
        </w:rPr>
        <w:t>附表：</w:t>
      </w:r>
    </w:p>
    <w:tbl>
      <w:tblPr>
        <w:tblStyle w:val="5"/>
        <w:tblW w:w="14057" w:type="dxa"/>
        <w:tblInd w:w="0" w:type="dxa"/>
        <w:tblLayout w:type="fixed"/>
        <w:tblCellMar>
          <w:top w:w="0" w:type="dxa"/>
          <w:left w:w="108" w:type="dxa"/>
          <w:bottom w:w="0" w:type="dxa"/>
          <w:right w:w="108" w:type="dxa"/>
        </w:tblCellMar>
      </w:tblPr>
      <w:tblGrid>
        <w:gridCol w:w="832"/>
        <w:gridCol w:w="1821"/>
        <w:gridCol w:w="1625"/>
        <w:gridCol w:w="972"/>
        <w:gridCol w:w="1116"/>
        <w:gridCol w:w="7691"/>
      </w:tblGrid>
      <w:tr w14:paraId="4282F808">
        <w:tblPrEx>
          <w:tblCellMar>
            <w:top w:w="0" w:type="dxa"/>
            <w:left w:w="108" w:type="dxa"/>
            <w:bottom w:w="0" w:type="dxa"/>
            <w:right w:w="108" w:type="dxa"/>
          </w:tblCellMar>
        </w:tblPrEx>
        <w:trPr>
          <w:trHeight w:val="464" w:hRule="atLeast"/>
          <w:tblHead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3AF13FE7">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序号</w:t>
            </w:r>
          </w:p>
        </w:tc>
        <w:tc>
          <w:tcPr>
            <w:tcW w:w="3446" w:type="dxa"/>
            <w:gridSpan w:val="2"/>
            <w:tcBorders>
              <w:top w:val="single" w:color="auto" w:sz="4" w:space="0"/>
              <w:left w:val="nil"/>
              <w:bottom w:val="single" w:color="auto" w:sz="4" w:space="0"/>
              <w:right w:val="single" w:color="auto" w:sz="4" w:space="0"/>
            </w:tcBorders>
            <w:shd w:val="clear" w:color="auto" w:fill="auto"/>
            <w:vAlign w:val="center"/>
          </w:tcPr>
          <w:p w14:paraId="12B5AA1F">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工 作 内 容</w:t>
            </w:r>
          </w:p>
        </w:tc>
        <w:tc>
          <w:tcPr>
            <w:tcW w:w="972" w:type="dxa"/>
            <w:tcBorders>
              <w:top w:val="single" w:color="auto" w:sz="4" w:space="0"/>
              <w:left w:val="nil"/>
              <w:bottom w:val="single" w:color="auto" w:sz="4" w:space="0"/>
              <w:right w:val="single" w:color="auto" w:sz="4" w:space="0"/>
            </w:tcBorders>
            <w:shd w:val="clear" w:color="auto" w:fill="auto"/>
            <w:vAlign w:val="center"/>
          </w:tcPr>
          <w:p w14:paraId="10232F39">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单位</w:t>
            </w:r>
          </w:p>
        </w:tc>
        <w:tc>
          <w:tcPr>
            <w:tcW w:w="1116" w:type="dxa"/>
            <w:tcBorders>
              <w:top w:val="single" w:color="auto" w:sz="4" w:space="0"/>
              <w:left w:val="nil"/>
              <w:bottom w:val="single" w:color="auto" w:sz="4" w:space="0"/>
              <w:right w:val="single" w:color="auto" w:sz="4" w:space="0"/>
            </w:tcBorders>
            <w:shd w:val="clear" w:color="auto" w:fill="auto"/>
            <w:vAlign w:val="center"/>
          </w:tcPr>
          <w:p w14:paraId="42A42976">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数量</w:t>
            </w:r>
          </w:p>
        </w:tc>
        <w:tc>
          <w:tcPr>
            <w:tcW w:w="7691" w:type="dxa"/>
            <w:tcBorders>
              <w:top w:val="single" w:color="auto" w:sz="4" w:space="0"/>
              <w:left w:val="nil"/>
              <w:bottom w:val="single" w:color="auto" w:sz="4" w:space="0"/>
              <w:right w:val="single" w:color="auto" w:sz="4" w:space="0"/>
            </w:tcBorders>
            <w:shd w:val="clear" w:color="auto" w:fill="auto"/>
            <w:vAlign w:val="center"/>
          </w:tcPr>
          <w:p w14:paraId="69B0604E">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备    注</w:t>
            </w:r>
          </w:p>
        </w:tc>
      </w:tr>
      <w:tr w14:paraId="62CC3AAD">
        <w:tblPrEx>
          <w:tblCellMar>
            <w:top w:w="0" w:type="dxa"/>
            <w:left w:w="108" w:type="dxa"/>
            <w:bottom w:w="0" w:type="dxa"/>
            <w:right w:w="108" w:type="dxa"/>
          </w:tblCellMar>
        </w:tblPrEx>
        <w:trPr>
          <w:trHeight w:val="200"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7DB6FFA5">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一</w:t>
            </w:r>
          </w:p>
        </w:tc>
        <w:tc>
          <w:tcPr>
            <w:tcW w:w="13225" w:type="dxa"/>
            <w:gridSpan w:val="5"/>
            <w:tcBorders>
              <w:top w:val="nil"/>
              <w:left w:val="nil"/>
              <w:bottom w:val="single" w:color="auto" w:sz="4" w:space="0"/>
              <w:right w:val="single" w:color="auto" w:sz="4" w:space="0"/>
            </w:tcBorders>
            <w:shd w:val="clear" w:color="auto" w:fill="auto"/>
            <w:vAlign w:val="center"/>
          </w:tcPr>
          <w:p w14:paraId="78F07FFC">
            <w:pPr>
              <w:widowControl/>
              <w:spacing w:line="440" w:lineRule="exact"/>
              <w:jc w:val="left"/>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b/>
                <w:bCs/>
                <w:color w:val="auto"/>
                <w:kern w:val="0"/>
                <w:sz w:val="28"/>
                <w:szCs w:val="28"/>
              </w:rPr>
              <w:t>现场堆体安全监测</w:t>
            </w:r>
          </w:p>
        </w:tc>
      </w:tr>
      <w:tr w14:paraId="10A4D016">
        <w:tblPrEx>
          <w:tblCellMar>
            <w:top w:w="0" w:type="dxa"/>
            <w:left w:w="108" w:type="dxa"/>
            <w:bottom w:w="0" w:type="dxa"/>
            <w:right w:w="108" w:type="dxa"/>
          </w:tblCellMar>
        </w:tblPrEx>
        <w:trPr>
          <w:trHeight w:val="1173"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C5FB46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1.1</w:t>
            </w:r>
          </w:p>
        </w:tc>
        <w:tc>
          <w:tcPr>
            <w:tcW w:w="3446" w:type="dxa"/>
            <w:gridSpan w:val="2"/>
            <w:tcBorders>
              <w:top w:val="nil"/>
              <w:left w:val="nil"/>
              <w:bottom w:val="single" w:color="auto" w:sz="4" w:space="0"/>
              <w:right w:val="single" w:color="auto" w:sz="4" w:space="0"/>
            </w:tcBorders>
            <w:shd w:val="clear" w:color="auto" w:fill="auto"/>
            <w:vAlign w:val="center"/>
          </w:tcPr>
          <w:p w14:paraId="004833E9">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表面水平位移监测</w:t>
            </w:r>
          </w:p>
        </w:tc>
        <w:tc>
          <w:tcPr>
            <w:tcW w:w="972" w:type="dxa"/>
            <w:tcBorders>
              <w:top w:val="nil"/>
              <w:left w:val="nil"/>
              <w:bottom w:val="single" w:color="auto" w:sz="4" w:space="0"/>
              <w:right w:val="single" w:color="auto" w:sz="4" w:space="0"/>
            </w:tcBorders>
            <w:shd w:val="clear" w:color="auto" w:fill="auto"/>
            <w:vAlign w:val="center"/>
          </w:tcPr>
          <w:p w14:paraId="5D0F8103">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点*次</w:t>
            </w:r>
          </w:p>
        </w:tc>
        <w:tc>
          <w:tcPr>
            <w:tcW w:w="1116" w:type="dxa"/>
            <w:tcBorders>
              <w:top w:val="nil"/>
              <w:left w:val="nil"/>
              <w:bottom w:val="single" w:color="auto" w:sz="4" w:space="0"/>
              <w:right w:val="single" w:color="auto" w:sz="4" w:space="0"/>
            </w:tcBorders>
            <w:shd w:val="clear" w:color="auto" w:fill="auto"/>
            <w:vAlign w:val="center"/>
          </w:tcPr>
          <w:p w14:paraId="05C8B5D9">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sz w:val="28"/>
                <w:szCs w:val="28"/>
                <w:lang w:val="en-US" w:eastAsia="zh-CN"/>
              </w:rPr>
              <w:t>2720</w:t>
            </w:r>
          </w:p>
        </w:tc>
        <w:tc>
          <w:tcPr>
            <w:tcW w:w="7691" w:type="dxa"/>
            <w:tcBorders>
              <w:top w:val="nil"/>
              <w:left w:val="nil"/>
              <w:bottom w:val="single" w:color="auto" w:sz="4" w:space="0"/>
              <w:right w:val="single" w:color="auto" w:sz="4" w:space="0"/>
            </w:tcBorders>
            <w:shd w:val="clear" w:color="auto" w:fill="auto"/>
            <w:vAlign w:val="center"/>
          </w:tcPr>
          <w:p w14:paraId="71EA75FD">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共170个表面位移监测点；费用包含汛期或有特殊情况时，根据甲方要求开展的加密监测工作。</w:t>
            </w:r>
          </w:p>
        </w:tc>
      </w:tr>
      <w:tr w14:paraId="70F8F618">
        <w:tblPrEx>
          <w:tblCellMar>
            <w:top w:w="0" w:type="dxa"/>
            <w:left w:w="108" w:type="dxa"/>
            <w:bottom w:w="0" w:type="dxa"/>
            <w:right w:w="108" w:type="dxa"/>
          </w:tblCellMar>
        </w:tblPrEx>
        <w:trPr>
          <w:trHeight w:val="1173"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EA182F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1.2</w:t>
            </w:r>
          </w:p>
        </w:tc>
        <w:tc>
          <w:tcPr>
            <w:tcW w:w="3446" w:type="dxa"/>
            <w:gridSpan w:val="2"/>
            <w:tcBorders>
              <w:top w:val="nil"/>
              <w:left w:val="nil"/>
              <w:bottom w:val="single" w:color="auto" w:sz="4" w:space="0"/>
              <w:right w:val="single" w:color="auto" w:sz="4" w:space="0"/>
            </w:tcBorders>
            <w:shd w:val="clear" w:color="auto" w:fill="auto"/>
            <w:vAlign w:val="center"/>
          </w:tcPr>
          <w:p w14:paraId="6B4A4FB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表面沉降监测</w:t>
            </w:r>
          </w:p>
        </w:tc>
        <w:tc>
          <w:tcPr>
            <w:tcW w:w="972" w:type="dxa"/>
            <w:tcBorders>
              <w:top w:val="nil"/>
              <w:left w:val="nil"/>
              <w:bottom w:val="single" w:color="auto" w:sz="4" w:space="0"/>
              <w:right w:val="single" w:color="auto" w:sz="4" w:space="0"/>
            </w:tcBorders>
            <w:shd w:val="clear" w:color="auto" w:fill="auto"/>
            <w:vAlign w:val="center"/>
          </w:tcPr>
          <w:p w14:paraId="1FAE7BF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点*次</w:t>
            </w:r>
          </w:p>
        </w:tc>
        <w:tc>
          <w:tcPr>
            <w:tcW w:w="1116" w:type="dxa"/>
            <w:tcBorders>
              <w:top w:val="nil"/>
              <w:left w:val="nil"/>
              <w:bottom w:val="single" w:color="auto" w:sz="4" w:space="0"/>
              <w:right w:val="single" w:color="auto" w:sz="4" w:space="0"/>
            </w:tcBorders>
            <w:shd w:val="clear" w:color="auto" w:fill="auto"/>
            <w:vAlign w:val="center"/>
          </w:tcPr>
          <w:p w14:paraId="49EF0485">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sz w:val="28"/>
                <w:szCs w:val="28"/>
                <w:lang w:val="en-US" w:eastAsia="zh-CN"/>
              </w:rPr>
              <w:t>2720</w:t>
            </w:r>
          </w:p>
        </w:tc>
        <w:tc>
          <w:tcPr>
            <w:tcW w:w="7691" w:type="dxa"/>
            <w:tcBorders>
              <w:top w:val="nil"/>
              <w:left w:val="nil"/>
              <w:bottom w:val="single" w:color="auto" w:sz="4" w:space="0"/>
              <w:right w:val="single" w:color="auto" w:sz="4" w:space="0"/>
            </w:tcBorders>
            <w:shd w:val="clear" w:color="auto" w:fill="auto"/>
            <w:vAlign w:val="center"/>
          </w:tcPr>
          <w:p w14:paraId="548C765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共170个表面沉降监测点；费用包含汛期或有特殊情况时，根据甲方要求开展的加密监测工作。</w:t>
            </w:r>
          </w:p>
        </w:tc>
      </w:tr>
      <w:tr w14:paraId="4D25D845">
        <w:tblPrEx>
          <w:tblCellMar>
            <w:top w:w="0" w:type="dxa"/>
            <w:left w:w="108" w:type="dxa"/>
            <w:bottom w:w="0" w:type="dxa"/>
            <w:right w:w="108" w:type="dxa"/>
          </w:tblCellMar>
        </w:tblPrEx>
        <w:trPr>
          <w:trHeight w:val="394"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A67EED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1.3</w:t>
            </w:r>
          </w:p>
        </w:tc>
        <w:tc>
          <w:tcPr>
            <w:tcW w:w="3446" w:type="dxa"/>
            <w:gridSpan w:val="2"/>
            <w:tcBorders>
              <w:top w:val="nil"/>
              <w:left w:val="nil"/>
              <w:bottom w:val="single" w:color="auto" w:sz="4" w:space="0"/>
              <w:right w:val="single" w:color="auto" w:sz="4" w:space="0"/>
            </w:tcBorders>
            <w:shd w:val="clear" w:color="auto" w:fill="auto"/>
            <w:vAlign w:val="center"/>
          </w:tcPr>
          <w:p w14:paraId="7A3922F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深层水平位移监测</w:t>
            </w:r>
          </w:p>
        </w:tc>
        <w:tc>
          <w:tcPr>
            <w:tcW w:w="972" w:type="dxa"/>
            <w:tcBorders>
              <w:top w:val="nil"/>
              <w:left w:val="nil"/>
              <w:bottom w:val="single" w:color="auto" w:sz="4" w:space="0"/>
              <w:right w:val="single" w:color="auto" w:sz="4" w:space="0"/>
            </w:tcBorders>
            <w:shd w:val="clear" w:color="auto" w:fill="auto"/>
            <w:vAlign w:val="center"/>
          </w:tcPr>
          <w:p w14:paraId="7667DA7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米*次</w:t>
            </w:r>
          </w:p>
        </w:tc>
        <w:tc>
          <w:tcPr>
            <w:tcW w:w="1116" w:type="dxa"/>
            <w:tcBorders>
              <w:top w:val="nil"/>
              <w:left w:val="nil"/>
              <w:bottom w:val="single" w:color="auto" w:sz="4" w:space="0"/>
              <w:right w:val="single" w:color="auto" w:sz="4" w:space="0"/>
            </w:tcBorders>
            <w:shd w:val="clear" w:color="auto" w:fill="auto"/>
            <w:vAlign w:val="center"/>
          </w:tcPr>
          <w:p w14:paraId="75C91034">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sz w:val="28"/>
                <w:szCs w:val="28"/>
                <w:lang w:val="en-US" w:eastAsia="zh-CN"/>
              </w:rPr>
              <w:t>11968</w:t>
            </w:r>
          </w:p>
        </w:tc>
        <w:tc>
          <w:tcPr>
            <w:tcW w:w="7691" w:type="dxa"/>
            <w:tcBorders>
              <w:top w:val="nil"/>
              <w:left w:val="nil"/>
              <w:bottom w:val="single" w:color="auto" w:sz="4" w:space="0"/>
              <w:right w:val="single" w:color="auto" w:sz="4" w:space="0"/>
            </w:tcBorders>
            <w:shd w:val="clear" w:color="auto" w:fill="auto"/>
            <w:vAlign w:val="center"/>
          </w:tcPr>
          <w:p w14:paraId="588E78D9">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共34个测斜（兼滞水位）监测井，单井平均监测深度约</w:t>
            </w:r>
            <w:r>
              <w:rPr>
                <w:rFonts w:hint="eastAsia" w:ascii="楷体_GB2312" w:hAnsi="楷体_GB2312" w:eastAsia="楷体_GB2312" w:cs="楷体_GB2312"/>
                <w:color w:val="auto"/>
                <w:kern w:val="0"/>
                <w:sz w:val="28"/>
                <w:szCs w:val="28"/>
                <w:lang w:val="en-US" w:eastAsia="zh-CN"/>
              </w:rPr>
              <w:t>22</w:t>
            </w:r>
            <w:r>
              <w:rPr>
                <w:rFonts w:hint="eastAsia" w:ascii="楷体_GB2312" w:hAnsi="楷体_GB2312" w:eastAsia="楷体_GB2312" w:cs="楷体_GB2312"/>
                <w:color w:val="auto"/>
                <w:kern w:val="0"/>
                <w:sz w:val="28"/>
                <w:szCs w:val="28"/>
              </w:rPr>
              <w:t>m；费用包含汛期或有特殊情况时，根据甲方要求开展的加密监测工作。</w:t>
            </w:r>
          </w:p>
        </w:tc>
      </w:tr>
      <w:tr w14:paraId="2735CF2F">
        <w:tblPrEx>
          <w:tblCellMar>
            <w:top w:w="0" w:type="dxa"/>
            <w:left w:w="108" w:type="dxa"/>
            <w:bottom w:w="0" w:type="dxa"/>
            <w:right w:w="108" w:type="dxa"/>
          </w:tblCellMar>
        </w:tblPrEx>
        <w:trPr>
          <w:trHeight w:val="156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73417524">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1.4</w:t>
            </w:r>
          </w:p>
        </w:tc>
        <w:tc>
          <w:tcPr>
            <w:tcW w:w="3446" w:type="dxa"/>
            <w:gridSpan w:val="2"/>
            <w:tcBorders>
              <w:top w:val="nil"/>
              <w:left w:val="nil"/>
              <w:bottom w:val="single" w:color="auto" w:sz="4" w:space="0"/>
              <w:right w:val="single" w:color="auto" w:sz="4" w:space="0"/>
            </w:tcBorders>
            <w:shd w:val="clear" w:color="auto" w:fill="auto"/>
            <w:vAlign w:val="center"/>
          </w:tcPr>
          <w:p w14:paraId="35E78A1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水位监测（含孔压监测）</w:t>
            </w:r>
          </w:p>
        </w:tc>
        <w:tc>
          <w:tcPr>
            <w:tcW w:w="972" w:type="dxa"/>
            <w:tcBorders>
              <w:top w:val="nil"/>
              <w:left w:val="nil"/>
              <w:bottom w:val="single" w:color="auto" w:sz="4" w:space="0"/>
              <w:right w:val="single" w:color="auto" w:sz="4" w:space="0"/>
            </w:tcBorders>
            <w:shd w:val="clear" w:color="auto" w:fill="auto"/>
            <w:vAlign w:val="center"/>
          </w:tcPr>
          <w:p w14:paraId="314B31E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次</w:t>
            </w:r>
          </w:p>
        </w:tc>
        <w:tc>
          <w:tcPr>
            <w:tcW w:w="1116" w:type="dxa"/>
            <w:tcBorders>
              <w:top w:val="nil"/>
              <w:left w:val="nil"/>
              <w:bottom w:val="single" w:color="auto" w:sz="4" w:space="0"/>
              <w:right w:val="single" w:color="auto" w:sz="4" w:space="0"/>
            </w:tcBorders>
            <w:shd w:val="clear" w:color="auto" w:fill="auto"/>
            <w:vAlign w:val="center"/>
          </w:tcPr>
          <w:p w14:paraId="18AFA2EE">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sz w:val="28"/>
                <w:szCs w:val="28"/>
                <w:lang w:val="en-US" w:eastAsia="zh-CN"/>
              </w:rPr>
              <w:t>944</w:t>
            </w:r>
          </w:p>
        </w:tc>
        <w:tc>
          <w:tcPr>
            <w:tcW w:w="7691" w:type="dxa"/>
            <w:tcBorders>
              <w:top w:val="nil"/>
              <w:left w:val="nil"/>
              <w:bottom w:val="single" w:color="auto" w:sz="4" w:space="0"/>
              <w:right w:val="single" w:color="auto" w:sz="4" w:space="0"/>
            </w:tcBorders>
            <w:shd w:val="clear" w:color="auto" w:fill="auto"/>
            <w:vAlign w:val="center"/>
          </w:tcPr>
          <w:p w14:paraId="3641B89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共34个测斜（兼滞水位）监测井，25个孔压（主水位）监测井；费用包含汛期或有特殊情况时，根据甲方要求开展的加密监测工作。</w:t>
            </w:r>
          </w:p>
        </w:tc>
      </w:tr>
      <w:tr w14:paraId="485A0EC1">
        <w:tblPrEx>
          <w:tblCellMar>
            <w:top w:w="0" w:type="dxa"/>
            <w:left w:w="108" w:type="dxa"/>
            <w:bottom w:w="0" w:type="dxa"/>
            <w:right w:w="108" w:type="dxa"/>
          </w:tblCellMar>
        </w:tblPrEx>
        <w:trPr>
          <w:trHeight w:val="394"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1388694D">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1.5</w:t>
            </w:r>
          </w:p>
        </w:tc>
        <w:tc>
          <w:tcPr>
            <w:tcW w:w="3446" w:type="dxa"/>
            <w:gridSpan w:val="2"/>
            <w:tcBorders>
              <w:top w:val="nil"/>
              <w:left w:val="nil"/>
              <w:bottom w:val="single" w:color="auto" w:sz="4" w:space="0"/>
              <w:right w:val="single" w:color="auto" w:sz="4" w:space="0"/>
            </w:tcBorders>
            <w:shd w:val="clear" w:color="auto" w:fill="auto"/>
            <w:vAlign w:val="center"/>
          </w:tcPr>
          <w:p w14:paraId="77F733EB">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监测数据整理分析</w:t>
            </w:r>
          </w:p>
        </w:tc>
        <w:tc>
          <w:tcPr>
            <w:tcW w:w="972" w:type="dxa"/>
            <w:tcBorders>
              <w:top w:val="nil"/>
              <w:left w:val="nil"/>
              <w:bottom w:val="single" w:color="auto" w:sz="4" w:space="0"/>
              <w:right w:val="single" w:color="auto" w:sz="4" w:space="0"/>
            </w:tcBorders>
            <w:shd w:val="clear" w:color="auto" w:fill="auto"/>
            <w:vAlign w:val="center"/>
          </w:tcPr>
          <w:p w14:paraId="521EB581">
            <w:pPr>
              <w:widowControl/>
              <w:spacing w:line="440" w:lineRule="exact"/>
              <w:jc w:val="center"/>
              <w:rPr>
                <w:rFonts w:hint="eastAsia"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份</w:t>
            </w:r>
          </w:p>
        </w:tc>
        <w:tc>
          <w:tcPr>
            <w:tcW w:w="1116" w:type="dxa"/>
            <w:tcBorders>
              <w:top w:val="nil"/>
              <w:left w:val="nil"/>
              <w:bottom w:val="single" w:color="auto" w:sz="4" w:space="0"/>
              <w:right w:val="single" w:color="auto" w:sz="4" w:space="0"/>
            </w:tcBorders>
            <w:shd w:val="clear" w:color="auto" w:fill="auto"/>
            <w:vAlign w:val="center"/>
          </w:tcPr>
          <w:p w14:paraId="37ACE709">
            <w:pPr>
              <w:widowControl/>
              <w:spacing w:line="440" w:lineRule="exact"/>
              <w:jc w:val="center"/>
              <w:rPr>
                <w:rFonts w:hint="eastAsia" w:ascii="楷体_GB2312" w:hAnsi="楷体_GB2312" w:eastAsia="楷体_GB2312" w:cs="楷体_GB2312"/>
                <w:color w:val="auto"/>
                <w:kern w:val="0"/>
                <w:sz w:val="28"/>
                <w:szCs w:val="28"/>
                <w:lang w:eastAsia="zh-CN"/>
              </w:rPr>
            </w:pPr>
            <w:r>
              <w:rPr>
                <w:rFonts w:hint="eastAsia" w:ascii="楷体_GB2312" w:hAnsi="楷体_GB2312" w:eastAsia="楷体_GB2312" w:cs="楷体_GB2312"/>
                <w:color w:val="auto"/>
                <w:kern w:val="0"/>
                <w:sz w:val="28"/>
                <w:szCs w:val="28"/>
                <w:lang w:val="en-US" w:eastAsia="zh-CN"/>
              </w:rPr>
              <w:t>6</w:t>
            </w:r>
          </w:p>
        </w:tc>
        <w:tc>
          <w:tcPr>
            <w:tcW w:w="7691" w:type="dxa"/>
            <w:tcBorders>
              <w:top w:val="nil"/>
              <w:left w:val="nil"/>
              <w:bottom w:val="single" w:color="auto" w:sz="4" w:space="0"/>
              <w:right w:val="single" w:color="auto" w:sz="4" w:space="0"/>
            </w:tcBorders>
            <w:shd w:val="clear" w:color="auto" w:fill="auto"/>
            <w:vAlign w:val="center"/>
          </w:tcPr>
          <w:p w14:paraId="1D87651A">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稳定性评估</w:t>
            </w:r>
          </w:p>
        </w:tc>
      </w:tr>
      <w:tr w14:paraId="749BA95E">
        <w:tblPrEx>
          <w:tblCellMar>
            <w:top w:w="0" w:type="dxa"/>
            <w:left w:w="108" w:type="dxa"/>
            <w:bottom w:w="0" w:type="dxa"/>
            <w:right w:w="108" w:type="dxa"/>
          </w:tblCellMar>
        </w:tblPrEx>
        <w:trPr>
          <w:trHeight w:val="470"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2445592">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二</w:t>
            </w:r>
          </w:p>
        </w:tc>
        <w:tc>
          <w:tcPr>
            <w:tcW w:w="13225" w:type="dxa"/>
            <w:gridSpan w:val="5"/>
            <w:tcBorders>
              <w:top w:val="nil"/>
              <w:left w:val="nil"/>
              <w:bottom w:val="single" w:color="auto" w:sz="4" w:space="0"/>
              <w:right w:val="single" w:color="auto" w:sz="4" w:space="0"/>
            </w:tcBorders>
            <w:shd w:val="clear" w:color="auto" w:fill="auto"/>
            <w:vAlign w:val="center"/>
          </w:tcPr>
          <w:p w14:paraId="1A101630">
            <w:pPr>
              <w:widowControl/>
              <w:spacing w:line="440" w:lineRule="exact"/>
              <w:jc w:val="left"/>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堆体降解稳定化评估</w:t>
            </w:r>
          </w:p>
        </w:tc>
      </w:tr>
      <w:tr w14:paraId="38BF8CD6">
        <w:tblPrEx>
          <w:tblCellMar>
            <w:top w:w="0" w:type="dxa"/>
            <w:left w:w="108" w:type="dxa"/>
            <w:bottom w:w="0" w:type="dxa"/>
            <w:right w:w="108" w:type="dxa"/>
          </w:tblCellMar>
        </w:tblPrEx>
        <w:trPr>
          <w:trHeight w:val="307" w:hRule="atLeast"/>
        </w:trPr>
        <w:tc>
          <w:tcPr>
            <w:tcW w:w="832" w:type="dxa"/>
            <w:vMerge w:val="restart"/>
            <w:tcBorders>
              <w:top w:val="nil"/>
              <w:left w:val="single" w:color="auto" w:sz="4" w:space="0"/>
              <w:right w:val="single" w:color="auto" w:sz="4" w:space="0"/>
            </w:tcBorders>
            <w:shd w:val="clear" w:color="auto" w:fill="auto"/>
            <w:vAlign w:val="center"/>
          </w:tcPr>
          <w:p w14:paraId="67405C2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2.1</w:t>
            </w:r>
          </w:p>
        </w:tc>
        <w:tc>
          <w:tcPr>
            <w:tcW w:w="1821" w:type="dxa"/>
            <w:vMerge w:val="restart"/>
            <w:tcBorders>
              <w:top w:val="nil"/>
              <w:left w:val="nil"/>
              <w:right w:val="single" w:color="auto" w:sz="4" w:space="0"/>
            </w:tcBorders>
            <w:shd w:val="clear" w:color="auto" w:fill="auto"/>
            <w:vAlign w:val="center"/>
          </w:tcPr>
          <w:p w14:paraId="62D7EDC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渗滤液水样</w:t>
            </w:r>
          </w:p>
        </w:tc>
        <w:tc>
          <w:tcPr>
            <w:tcW w:w="1625" w:type="dxa"/>
            <w:tcBorders>
              <w:top w:val="nil"/>
              <w:left w:val="nil"/>
              <w:bottom w:val="single" w:color="auto" w:sz="4" w:space="0"/>
              <w:right w:val="single" w:color="auto" w:sz="4" w:space="0"/>
            </w:tcBorders>
            <w:shd w:val="clear" w:color="auto" w:fill="auto"/>
            <w:vAlign w:val="center"/>
          </w:tcPr>
          <w:p w14:paraId="67577667">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pH</w:t>
            </w:r>
          </w:p>
        </w:tc>
        <w:tc>
          <w:tcPr>
            <w:tcW w:w="972" w:type="dxa"/>
            <w:tcBorders>
              <w:top w:val="single" w:color="auto" w:sz="4" w:space="0"/>
              <w:left w:val="nil"/>
              <w:bottom w:val="single" w:color="auto" w:sz="4" w:space="0"/>
              <w:right w:val="single" w:color="auto" w:sz="4" w:space="0"/>
            </w:tcBorders>
            <w:shd w:val="clear" w:color="auto" w:fill="auto"/>
            <w:vAlign w:val="center"/>
          </w:tcPr>
          <w:p w14:paraId="701F3BA9">
            <w:pPr>
              <w:widowControl/>
              <w:spacing w:line="440" w:lineRule="exact"/>
              <w:jc w:val="center"/>
              <w:rPr>
                <w:rFonts w:hint="eastAsia" w:ascii="楷体_GB2312" w:hAnsi="楷体_GB2312" w:eastAsia="楷体_GB2312" w:cs="楷体_GB2312"/>
                <w:color w:val="auto"/>
                <w:kern w:val="0"/>
                <w:sz w:val="28"/>
                <w:szCs w:val="28"/>
                <w:lang w:eastAsia="zh-CN"/>
              </w:rPr>
            </w:pPr>
            <w:r>
              <w:rPr>
                <w:rFonts w:hint="eastAsia" w:ascii="楷体_GB2312" w:hAnsi="楷体_GB2312" w:eastAsia="楷体_GB2312" w:cs="楷体_GB2312"/>
                <w:color w:val="auto"/>
                <w:kern w:val="0"/>
                <w:sz w:val="28"/>
                <w:szCs w:val="28"/>
                <w:lang w:val="en-US" w:eastAsia="zh-CN"/>
              </w:rPr>
              <w:t>个</w:t>
            </w:r>
          </w:p>
        </w:tc>
        <w:tc>
          <w:tcPr>
            <w:tcW w:w="1116" w:type="dxa"/>
            <w:tcBorders>
              <w:top w:val="single" w:color="auto" w:sz="4" w:space="0"/>
              <w:left w:val="nil"/>
              <w:bottom w:val="single" w:color="auto" w:sz="4" w:space="0"/>
              <w:right w:val="single" w:color="auto" w:sz="4" w:space="0"/>
            </w:tcBorders>
            <w:shd w:val="clear" w:color="auto" w:fill="auto"/>
            <w:vAlign w:val="center"/>
          </w:tcPr>
          <w:p w14:paraId="209B28D2">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auto" w:sz="4" w:space="0"/>
              <w:bottom w:val="single" w:color="000000" w:sz="8" w:space="0"/>
              <w:right w:val="single" w:color="000000" w:sz="8" w:space="0"/>
            </w:tcBorders>
            <w:vAlign w:val="center"/>
          </w:tcPr>
          <w:p w14:paraId="0F2092FC">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0E5B8D21">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2D407786">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08ABD1C5">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504D1F37">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电导率</w:t>
            </w:r>
          </w:p>
        </w:tc>
        <w:tc>
          <w:tcPr>
            <w:tcW w:w="972" w:type="dxa"/>
            <w:tcBorders>
              <w:top w:val="single" w:color="auto" w:sz="4" w:space="0"/>
              <w:left w:val="nil"/>
              <w:bottom w:val="single" w:color="auto" w:sz="4" w:space="0"/>
              <w:right w:val="single" w:color="auto" w:sz="4" w:space="0"/>
            </w:tcBorders>
            <w:shd w:val="clear" w:color="auto" w:fill="auto"/>
            <w:vAlign w:val="center"/>
          </w:tcPr>
          <w:p w14:paraId="38BFE4F9">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top w:val="single" w:color="auto" w:sz="4" w:space="0"/>
              <w:left w:val="nil"/>
              <w:bottom w:val="single" w:color="auto" w:sz="4" w:space="0"/>
              <w:right w:val="single" w:color="auto" w:sz="4" w:space="0"/>
            </w:tcBorders>
            <w:shd w:val="clear" w:color="auto" w:fill="auto"/>
            <w:vAlign w:val="center"/>
          </w:tcPr>
          <w:p w14:paraId="6EBE812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auto" w:sz="4" w:space="0"/>
              <w:bottom w:val="single" w:color="auto" w:sz="4" w:space="0"/>
              <w:right w:val="single" w:color="000000" w:sz="8" w:space="0"/>
            </w:tcBorders>
            <w:vAlign w:val="center"/>
          </w:tcPr>
          <w:p w14:paraId="2167A1F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305F56FB">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4E27D299">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6B1ECC39">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698F8ADE">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COD</w:t>
            </w:r>
          </w:p>
        </w:tc>
        <w:tc>
          <w:tcPr>
            <w:tcW w:w="972" w:type="dxa"/>
            <w:tcBorders>
              <w:left w:val="nil"/>
              <w:bottom w:val="single" w:color="auto" w:sz="4" w:space="0"/>
              <w:right w:val="single" w:color="auto" w:sz="4" w:space="0"/>
            </w:tcBorders>
            <w:shd w:val="clear" w:color="auto" w:fill="auto"/>
            <w:vAlign w:val="center"/>
          </w:tcPr>
          <w:p w14:paraId="6CA007B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3C19921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1B0A965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11FFB8BB">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599403A9">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2F3949D5">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6086E3F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BOD</w:t>
            </w:r>
          </w:p>
        </w:tc>
        <w:tc>
          <w:tcPr>
            <w:tcW w:w="972" w:type="dxa"/>
            <w:tcBorders>
              <w:left w:val="nil"/>
              <w:bottom w:val="single" w:color="auto" w:sz="4" w:space="0"/>
              <w:right w:val="single" w:color="auto" w:sz="4" w:space="0"/>
            </w:tcBorders>
            <w:shd w:val="clear" w:color="auto" w:fill="auto"/>
            <w:vAlign w:val="center"/>
          </w:tcPr>
          <w:p w14:paraId="4256D71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6EE7F06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7097789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0A2CED3A">
        <w:tblPrEx>
          <w:tblCellMar>
            <w:top w:w="0" w:type="dxa"/>
            <w:left w:w="108" w:type="dxa"/>
            <w:bottom w:w="0" w:type="dxa"/>
            <w:right w:w="108" w:type="dxa"/>
          </w:tblCellMar>
        </w:tblPrEx>
        <w:trPr>
          <w:trHeight w:val="204" w:hRule="atLeast"/>
        </w:trPr>
        <w:tc>
          <w:tcPr>
            <w:tcW w:w="832" w:type="dxa"/>
            <w:vMerge w:val="continue"/>
            <w:tcBorders>
              <w:left w:val="single" w:color="auto" w:sz="4" w:space="0"/>
              <w:right w:val="single" w:color="auto" w:sz="4" w:space="0"/>
            </w:tcBorders>
            <w:shd w:val="clear" w:color="auto" w:fill="auto"/>
            <w:vAlign w:val="center"/>
          </w:tcPr>
          <w:p w14:paraId="07824635">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72FE2D3B">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35E2E87B">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VFA</w:t>
            </w:r>
          </w:p>
        </w:tc>
        <w:tc>
          <w:tcPr>
            <w:tcW w:w="972" w:type="dxa"/>
            <w:tcBorders>
              <w:left w:val="nil"/>
              <w:bottom w:val="single" w:color="auto" w:sz="4" w:space="0"/>
              <w:right w:val="single" w:color="auto" w:sz="4" w:space="0"/>
            </w:tcBorders>
            <w:shd w:val="clear" w:color="auto" w:fill="auto"/>
            <w:vAlign w:val="center"/>
          </w:tcPr>
          <w:p w14:paraId="2EA5CFA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4901C851">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12DDED6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化学滴定法</w:t>
            </w:r>
          </w:p>
        </w:tc>
      </w:tr>
      <w:tr w14:paraId="3FC1C3E6">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20B9B12D">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48886507">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473B96C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总氮</w:t>
            </w:r>
          </w:p>
        </w:tc>
        <w:tc>
          <w:tcPr>
            <w:tcW w:w="972" w:type="dxa"/>
            <w:tcBorders>
              <w:left w:val="nil"/>
              <w:bottom w:val="single" w:color="auto" w:sz="4" w:space="0"/>
              <w:right w:val="single" w:color="auto" w:sz="4" w:space="0"/>
            </w:tcBorders>
            <w:shd w:val="clear" w:color="auto" w:fill="auto"/>
            <w:vAlign w:val="center"/>
          </w:tcPr>
          <w:p w14:paraId="33F18B5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70851E3E">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221E480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4626F26D">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3BBF017B">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1B9AD508">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22E3461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氨氮</w:t>
            </w:r>
          </w:p>
        </w:tc>
        <w:tc>
          <w:tcPr>
            <w:tcW w:w="972" w:type="dxa"/>
            <w:tcBorders>
              <w:left w:val="nil"/>
              <w:bottom w:val="single" w:color="auto" w:sz="4" w:space="0"/>
              <w:right w:val="single" w:color="auto" w:sz="4" w:space="0"/>
            </w:tcBorders>
            <w:shd w:val="clear" w:color="auto" w:fill="auto"/>
            <w:vAlign w:val="center"/>
          </w:tcPr>
          <w:p w14:paraId="157D749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4701598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622A934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按照GB/T 18772规定方法测试</w:t>
            </w:r>
          </w:p>
        </w:tc>
      </w:tr>
      <w:tr w14:paraId="52C04942">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1B029877">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44256EEB">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48E21A6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SUV</w:t>
            </w:r>
            <w:r>
              <w:rPr>
                <w:rFonts w:hint="eastAsia" w:ascii="楷体_GB2312" w:hAnsi="楷体_GB2312" w:eastAsia="楷体_GB2312" w:cs="楷体_GB2312"/>
                <w:color w:val="auto"/>
                <w:kern w:val="0"/>
                <w:sz w:val="28"/>
                <w:szCs w:val="28"/>
                <w:vertAlign w:val="subscript"/>
              </w:rPr>
              <w:t>254</w:t>
            </w:r>
          </w:p>
        </w:tc>
        <w:tc>
          <w:tcPr>
            <w:tcW w:w="972" w:type="dxa"/>
            <w:tcBorders>
              <w:left w:val="nil"/>
              <w:bottom w:val="single" w:color="auto" w:sz="4" w:space="0"/>
              <w:right w:val="single" w:color="auto" w:sz="4" w:space="0"/>
            </w:tcBorders>
            <w:shd w:val="clear" w:color="auto" w:fill="auto"/>
            <w:vAlign w:val="center"/>
          </w:tcPr>
          <w:p w14:paraId="71DD648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18BFAADB">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392A857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使用分光光度计测试</w:t>
            </w:r>
          </w:p>
        </w:tc>
      </w:tr>
      <w:tr w14:paraId="1C78A4EF">
        <w:tblPrEx>
          <w:tblCellMar>
            <w:top w:w="0" w:type="dxa"/>
            <w:left w:w="108" w:type="dxa"/>
            <w:bottom w:w="0" w:type="dxa"/>
            <w:right w:w="108" w:type="dxa"/>
          </w:tblCellMar>
        </w:tblPrEx>
        <w:trPr>
          <w:trHeight w:val="399" w:hRule="atLeast"/>
        </w:trPr>
        <w:tc>
          <w:tcPr>
            <w:tcW w:w="832" w:type="dxa"/>
            <w:vMerge w:val="continue"/>
            <w:tcBorders>
              <w:left w:val="single" w:color="auto" w:sz="4" w:space="0"/>
              <w:right w:val="single" w:color="auto" w:sz="4" w:space="0"/>
            </w:tcBorders>
            <w:shd w:val="clear" w:color="auto" w:fill="auto"/>
            <w:vAlign w:val="center"/>
          </w:tcPr>
          <w:p w14:paraId="69E952FE">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right w:val="single" w:color="auto" w:sz="4" w:space="0"/>
            </w:tcBorders>
            <w:shd w:val="clear" w:color="auto" w:fill="auto"/>
            <w:vAlign w:val="center"/>
          </w:tcPr>
          <w:p w14:paraId="19E4B27D">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49B82FA7">
            <w:pPr>
              <w:widowControl/>
              <w:spacing w:line="240" w:lineRule="auto"/>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DOC</w:t>
            </w:r>
          </w:p>
        </w:tc>
        <w:tc>
          <w:tcPr>
            <w:tcW w:w="972" w:type="dxa"/>
            <w:tcBorders>
              <w:left w:val="nil"/>
              <w:bottom w:val="single" w:color="auto" w:sz="4" w:space="0"/>
              <w:right w:val="single" w:color="auto" w:sz="4" w:space="0"/>
            </w:tcBorders>
            <w:shd w:val="clear" w:color="auto" w:fill="auto"/>
            <w:vAlign w:val="center"/>
          </w:tcPr>
          <w:p w14:paraId="1EA30A9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383F952C">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6A070521">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HJ 501燃烧氧化-非分散红外吸收法</w:t>
            </w:r>
          </w:p>
        </w:tc>
      </w:tr>
      <w:tr w14:paraId="4F877799">
        <w:tblPrEx>
          <w:tblCellMar>
            <w:top w:w="0" w:type="dxa"/>
            <w:left w:w="108" w:type="dxa"/>
            <w:bottom w:w="0" w:type="dxa"/>
            <w:right w:w="108" w:type="dxa"/>
          </w:tblCellMar>
        </w:tblPrEx>
        <w:trPr>
          <w:trHeight w:val="204" w:hRule="atLeast"/>
        </w:trPr>
        <w:tc>
          <w:tcPr>
            <w:tcW w:w="832" w:type="dxa"/>
            <w:vMerge w:val="continue"/>
            <w:tcBorders>
              <w:left w:val="single" w:color="auto" w:sz="4" w:space="0"/>
              <w:bottom w:val="single" w:color="auto" w:sz="4" w:space="0"/>
              <w:right w:val="single" w:color="auto" w:sz="4" w:space="0"/>
            </w:tcBorders>
            <w:shd w:val="clear" w:color="auto" w:fill="auto"/>
            <w:vAlign w:val="center"/>
          </w:tcPr>
          <w:p w14:paraId="27B4E2B3">
            <w:pPr>
              <w:widowControl/>
              <w:spacing w:line="440" w:lineRule="exact"/>
              <w:jc w:val="center"/>
              <w:rPr>
                <w:rFonts w:hint="eastAsia" w:ascii="楷体_GB2312" w:hAnsi="楷体_GB2312" w:eastAsia="楷体_GB2312" w:cs="楷体_GB2312"/>
                <w:color w:val="auto"/>
                <w:kern w:val="0"/>
                <w:sz w:val="28"/>
                <w:szCs w:val="28"/>
              </w:rPr>
            </w:pPr>
          </w:p>
        </w:tc>
        <w:tc>
          <w:tcPr>
            <w:tcW w:w="1821" w:type="dxa"/>
            <w:vMerge w:val="continue"/>
            <w:tcBorders>
              <w:left w:val="nil"/>
              <w:bottom w:val="single" w:color="auto" w:sz="4" w:space="0"/>
              <w:right w:val="single" w:color="auto" w:sz="4" w:space="0"/>
            </w:tcBorders>
            <w:shd w:val="clear" w:color="auto" w:fill="auto"/>
            <w:vAlign w:val="center"/>
          </w:tcPr>
          <w:p w14:paraId="7C02743C">
            <w:pPr>
              <w:widowControl/>
              <w:spacing w:line="440" w:lineRule="exact"/>
              <w:jc w:val="center"/>
              <w:rPr>
                <w:rFonts w:hint="eastAsia" w:ascii="楷体_GB2312" w:hAnsi="楷体_GB2312" w:eastAsia="楷体_GB2312" w:cs="楷体_GB2312"/>
                <w:color w:val="auto"/>
                <w:kern w:val="0"/>
                <w:sz w:val="28"/>
                <w:szCs w:val="28"/>
              </w:rPr>
            </w:pPr>
          </w:p>
        </w:tc>
        <w:tc>
          <w:tcPr>
            <w:tcW w:w="1625" w:type="dxa"/>
            <w:tcBorders>
              <w:top w:val="nil"/>
              <w:left w:val="nil"/>
              <w:bottom w:val="single" w:color="auto" w:sz="4" w:space="0"/>
              <w:right w:val="single" w:color="auto" w:sz="4" w:space="0"/>
            </w:tcBorders>
            <w:shd w:val="clear" w:color="auto" w:fill="auto"/>
            <w:vAlign w:val="center"/>
          </w:tcPr>
          <w:p w14:paraId="5E539C9E">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三维荧光光谱</w:t>
            </w:r>
          </w:p>
        </w:tc>
        <w:tc>
          <w:tcPr>
            <w:tcW w:w="972" w:type="dxa"/>
            <w:tcBorders>
              <w:left w:val="nil"/>
              <w:bottom w:val="single" w:color="auto" w:sz="4" w:space="0"/>
              <w:right w:val="single" w:color="auto" w:sz="4" w:space="0"/>
            </w:tcBorders>
            <w:shd w:val="clear" w:color="auto" w:fill="auto"/>
            <w:vAlign w:val="center"/>
          </w:tcPr>
          <w:p w14:paraId="2E496C8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lang w:val="en-US" w:eastAsia="zh-CN"/>
              </w:rPr>
              <w:t>个</w:t>
            </w:r>
          </w:p>
        </w:tc>
        <w:tc>
          <w:tcPr>
            <w:tcW w:w="1116" w:type="dxa"/>
            <w:tcBorders>
              <w:left w:val="nil"/>
              <w:bottom w:val="single" w:color="auto" w:sz="4" w:space="0"/>
              <w:right w:val="single" w:color="auto" w:sz="4" w:space="0"/>
            </w:tcBorders>
            <w:shd w:val="clear" w:color="auto" w:fill="auto"/>
            <w:vAlign w:val="center"/>
          </w:tcPr>
          <w:p w14:paraId="151D19B3">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sz w:val="28"/>
                <w:szCs w:val="28"/>
              </w:rPr>
              <w:t>10</w:t>
            </w:r>
          </w:p>
        </w:tc>
        <w:tc>
          <w:tcPr>
            <w:tcW w:w="7691" w:type="dxa"/>
            <w:tcBorders>
              <w:top w:val="single" w:color="000000" w:sz="8" w:space="0"/>
              <w:left w:val="single" w:color="000000" w:sz="8" w:space="0"/>
              <w:bottom w:val="single" w:color="auto" w:sz="4" w:space="0"/>
              <w:right w:val="single" w:color="000000" w:sz="8" w:space="0"/>
            </w:tcBorders>
            <w:vAlign w:val="center"/>
          </w:tcPr>
          <w:p w14:paraId="63D97F5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荧光光谱仪</w:t>
            </w:r>
          </w:p>
        </w:tc>
      </w:tr>
      <w:tr w14:paraId="20A80656">
        <w:tblPrEx>
          <w:tblCellMar>
            <w:top w:w="0" w:type="dxa"/>
            <w:left w:w="108" w:type="dxa"/>
            <w:bottom w:w="0" w:type="dxa"/>
            <w:right w:w="108" w:type="dxa"/>
          </w:tblCellMar>
        </w:tblPrEx>
        <w:trPr>
          <w:trHeight w:val="589" w:hRule="atLeast"/>
        </w:trPr>
        <w:tc>
          <w:tcPr>
            <w:tcW w:w="832" w:type="dxa"/>
            <w:vMerge w:val="restart"/>
            <w:tcBorders>
              <w:top w:val="nil"/>
              <w:left w:val="single" w:color="auto" w:sz="4" w:space="0"/>
              <w:right w:val="single" w:color="auto" w:sz="4" w:space="0"/>
            </w:tcBorders>
            <w:shd w:val="clear" w:color="auto" w:fill="auto"/>
            <w:vAlign w:val="center"/>
          </w:tcPr>
          <w:p w14:paraId="6EC90CC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2.2</w:t>
            </w:r>
          </w:p>
        </w:tc>
        <w:tc>
          <w:tcPr>
            <w:tcW w:w="3446" w:type="dxa"/>
            <w:gridSpan w:val="2"/>
            <w:tcBorders>
              <w:top w:val="nil"/>
              <w:left w:val="nil"/>
              <w:bottom w:val="single" w:color="auto" w:sz="4" w:space="0"/>
              <w:right w:val="single" w:color="auto" w:sz="4" w:space="0"/>
            </w:tcBorders>
            <w:shd w:val="clear" w:color="auto" w:fill="auto"/>
            <w:vAlign w:val="center"/>
          </w:tcPr>
          <w:p w14:paraId="2DE3851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气体组分</w:t>
            </w:r>
          </w:p>
        </w:tc>
        <w:tc>
          <w:tcPr>
            <w:tcW w:w="972" w:type="dxa"/>
            <w:tcBorders>
              <w:top w:val="nil"/>
              <w:left w:val="nil"/>
              <w:bottom w:val="single" w:color="auto" w:sz="4" w:space="0"/>
              <w:right w:val="single" w:color="auto" w:sz="4" w:space="0"/>
            </w:tcBorders>
            <w:shd w:val="clear" w:color="auto" w:fill="auto"/>
            <w:vAlign w:val="center"/>
          </w:tcPr>
          <w:p w14:paraId="01AD523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组</w:t>
            </w:r>
          </w:p>
        </w:tc>
        <w:tc>
          <w:tcPr>
            <w:tcW w:w="1116" w:type="dxa"/>
            <w:tcBorders>
              <w:top w:val="nil"/>
              <w:left w:val="nil"/>
              <w:bottom w:val="single" w:color="auto" w:sz="4" w:space="0"/>
              <w:right w:val="single" w:color="auto" w:sz="4" w:space="0"/>
            </w:tcBorders>
            <w:shd w:val="clear" w:color="auto" w:fill="auto"/>
            <w:vAlign w:val="center"/>
          </w:tcPr>
          <w:p w14:paraId="24176804">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20</w:t>
            </w:r>
          </w:p>
        </w:tc>
        <w:tc>
          <w:tcPr>
            <w:tcW w:w="7691" w:type="dxa"/>
            <w:tcBorders>
              <w:top w:val="nil"/>
              <w:left w:val="nil"/>
              <w:bottom w:val="single" w:color="auto" w:sz="4" w:space="0"/>
              <w:right w:val="single" w:color="auto" w:sz="4" w:space="0"/>
            </w:tcBorders>
            <w:shd w:val="clear" w:color="auto" w:fill="auto"/>
            <w:vAlign w:val="center"/>
          </w:tcPr>
          <w:p w14:paraId="742CF3D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测试导排井内、监测井内的填埋气组分</w:t>
            </w:r>
          </w:p>
        </w:tc>
      </w:tr>
      <w:tr w14:paraId="7A7C0894">
        <w:tblPrEx>
          <w:tblCellMar>
            <w:top w:w="0" w:type="dxa"/>
            <w:left w:w="108" w:type="dxa"/>
            <w:bottom w:w="0" w:type="dxa"/>
            <w:right w:w="108" w:type="dxa"/>
          </w:tblCellMar>
        </w:tblPrEx>
        <w:trPr>
          <w:trHeight w:val="227" w:hRule="atLeast"/>
        </w:trPr>
        <w:tc>
          <w:tcPr>
            <w:tcW w:w="832" w:type="dxa"/>
            <w:vMerge w:val="continue"/>
            <w:tcBorders>
              <w:left w:val="single" w:color="auto" w:sz="4" w:space="0"/>
              <w:right w:val="single" w:color="auto" w:sz="4" w:space="0"/>
            </w:tcBorders>
            <w:shd w:val="clear" w:color="auto" w:fill="auto"/>
            <w:vAlign w:val="center"/>
          </w:tcPr>
          <w:p w14:paraId="1B31B323">
            <w:pPr>
              <w:widowControl/>
              <w:spacing w:line="440" w:lineRule="exact"/>
              <w:jc w:val="center"/>
              <w:rPr>
                <w:rFonts w:hint="eastAsia" w:ascii="楷体_GB2312" w:hAnsi="楷体_GB2312" w:eastAsia="楷体_GB2312" w:cs="楷体_GB2312"/>
                <w:color w:val="auto"/>
                <w:kern w:val="0"/>
                <w:sz w:val="28"/>
                <w:szCs w:val="28"/>
              </w:rPr>
            </w:pPr>
          </w:p>
        </w:tc>
        <w:tc>
          <w:tcPr>
            <w:tcW w:w="3446" w:type="dxa"/>
            <w:gridSpan w:val="2"/>
            <w:tcBorders>
              <w:top w:val="nil"/>
              <w:left w:val="nil"/>
              <w:bottom w:val="single" w:color="auto" w:sz="4" w:space="0"/>
              <w:right w:val="single" w:color="auto" w:sz="4" w:space="0"/>
            </w:tcBorders>
            <w:shd w:val="clear" w:color="auto" w:fill="auto"/>
            <w:vAlign w:val="center"/>
          </w:tcPr>
          <w:p w14:paraId="63F57D2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甲烷逸出量</w:t>
            </w:r>
          </w:p>
        </w:tc>
        <w:tc>
          <w:tcPr>
            <w:tcW w:w="972" w:type="dxa"/>
            <w:tcBorders>
              <w:top w:val="nil"/>
              <w:left w:val="nil"/>
              <w:bottom w:val="single" w:color="auto" w:sz="4" w:space="0"/>
              <w:right w:val="single" w:color="auto" w:sz="4" w:space="0"/>
            </w:tcBorders>
            <w:shd w:val="clear" w:color="auto" w:fill="auto"/>
            <w:vAlign w:val="center"/>
          </w:tcPr>
          <w:p w14:paraId="3366E11E">
            <w:pPr>
              <w:widowControl/>
              <w:spacing w:line="440" w:lineRule="exact"/>
              <w:jc w:val="center"/>
              <w:rPr>
                <w:rFonts w:hint="eastAsia" w:ascii="楷体_GB2312" w:hAnsi="楷体_GB2312" w:eastAsia="楷体_GB2312" w:cs="楷体_GB2312"/>
                <w:color w:val="auto"/>
                <w:kern w:val="0"/>
                <w:sz w:val="28"/>
                <w:szCs w:val="28"/>
                <w:lang w:eastAsia="zh-CN"/>
              </w:rPr>
            </w:pPr>
            <w:r>
              <w:rPr>
                <w:rFonts w:hint="eastAsia" w:ascii="楷体_GB2312" w:hAnsi="楷体_GB2312" w:eastAsia="楷体_GB2312" w:cs="楷体_GB2312"/>
                <w:color w:val="auto"/>
                <w:kern w:val="0"/>
                <w:sz w:val="28"/>
                <w:szCs w:val="28"/>
                <w:lang w:val="en-US" w:eastAsia="zh-CN"/>
              </w:rPr>
              <w:t>次</w:t>
            </w:r>
          </w:p>
        </w:tc>
        <w:tc>
          <w:tcPr>
            <w:tcW w:w="1116" w:type="dxa"/>
            <w:tcBorders>
              <w:top w:val="nil"/>
              <w:left w:val="nil"/>
              <w:bottom w:val="single" w:color="auto" w:sz="4" w:space="0"/>
              <w:right w:val="single" w:color="auto" w:sz="4" w:space="0"/>
            </w:tcBorders>
            <w:shd w:val="clear" w:color="auto" w:fill="auto"/>
            <w:vAlign w:val="center"/>
          </w:tcPr>
          <w:p w14:paraId="2F83BB9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10</w:t>
            </w:r>
          </w:p>
        </w:tc>
        <w:tc>
          <w:tcPr>
            <w:tcW w:w="7691" w:type="dxa"/>
            <w:tcBorders>
              <w:top w:val="nil"/>
              <w:left w:val="nil"/>
              <w:bottom w:val="single" w:color="auto" w:sz="4" w:space="0"/>
              <w:right w:val="single" w:color="auto" w:sz="4" w:space="0"/>
            </w:tcBorders>
            <w:shd w:val="clear" w:color="auto" w:fill="auto"/>
            <w:vAlign w:val="center"/>
          </w:tcPr>
          <w:p w14:paraId="0BD3FFB4">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静态箱法测试</w:t>
            </w:r>
          </w:p>
        </w:tc>
      </w:tr>
      <w:tr w14:paraId="7066F311">
        <w:tblPrEx>
          <w:tblCellMar>
            <w:top w:w="0" w:type="dxa"/>
            <w:left w:w="108" w:type="dxa"/>
            <w:bottom w:w="0" w:type="dxa"/>
            <w:right w:w="108" w:type="dxa"/>
          </w:tblCellMar>
        </w:tblPrEx>
        <w:trPr>
          <w:trHeight w:val="783" w:hRule="atLeast"/>
        </w:trPr>
        <w:tc>
          <w:tcPr>
            <w:tcW w:w="832" w:type="dxa"/>
            <w:vMerge w:val="continue"/>
            <w:tcBorders>
              <w:left w:val="single" w:color="auto" w:sz="4" w:space="0"/>
              <w:right w:val="single" w:color="auto" w:sz="4" w:space="0"/>
            </w:tcBorders>
            <w:shd w:val="clear" w:color="auto" w:fill="auto"/>
            <w:vAlign w:val="center"/>
          </w:tcPr>
          <w:p w14:paraId="6FC4BA28">
            <w:pPr>
              <w:widowControl/>
              <w:spacing w:line="440" w:lineRule="exact"/>
              <w:jc w:val="center"/>
              <w:rPr>
                <w:rFonts w:hint="eastAsia" w:ascii="楷体_GB2312" w:hAnsi="楷体_GB2312" w:eastAsia="楷体_GB2312" w:cs="楷体_GB2312"/>
                <w:color w:val="auto"/>
                <w:kern w:val="0"/>
                <w:sz w:val="28"/>
                <w:szCs w:val="28"/>
              </w:rPr>
            </w:pPr>
          </w:p>
        </w:tc>
        <w:tc>
          <w:tcPr>
            <w:tcW w:w="3446" w:type="dxa"/>
            <w:gridSpan w:val="2"/>
            <w:tcBorders>
              <w:top w:val="nil"/>
              <w:left w:val="nil"/>
              <w:bottom w:val="single" w:color="auto" w:sz="4" w:space="0"/>
              <w:right w:val="single" w:color="auto" w:sz="4" w:space="0"/>
            </w:tcBorders>
            <w:shd w:val="clear" w:color="auto" w:fill="auto"/>
            <w:vAlign w:val="center"/>
          </w:tcPr>
          <w:p w14:paraId="33BEBC0C">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无人机航测</w:t>
            </w:r>
          </w:p>
        </w:tc>
        <w:tc>
          <w:tcPr>
            <w:tcW w:w="972" w:type="dxa"/>
            <w:tcBorders>
              <w:top w:val="nil"/>
              <w:left w:val="nil"/>
              <w:bottom w:val="single" w:color="auto" w:sz="4" w:space="0"/>
              <w:right w:val="single" w:color="auto" w:sz="4" w:space="0"/>
            </w:tcBorders>
            <w:shd w:val="clear" w:color="auto" w:fill="auto"/>
            <w:vAlign w:val="center"/>
          </w:tcPr>
          <w:p w14:paraId="17B5C5A3">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项</w:t>
            </w:r>
          </w:p>
        </w:tc>
        <w:tc>
          <w:tcPr>
            <w:tcW w:w="1116" w:type="dxa"/>
            <w:tcBorders>
              <w:top w:val="nil"/>
              <w:left w:val="nil"/>
              <w:bottom w:val="single" w:color="auto" w:sz="4" w:space="0"/>
              <w:right w:val="single" w:color="auto" w:sz="4" w:space="0"/>
            </w:tcBorders>
            <w:shd w:val="clear" w:color="auto" w:fill="auto"/>
            <w:vAlign w:val="center"/>
          </w:tcPr>
          <w:p w14:paraId="5C573BAF">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w:t>
            </w:r>
          </w:p>
        </w:tc>
        <w:tc>
          <w:tcPr>
            <w:tcW w:w="7691" w:type="dxa"/>
            <w:tcBorders>
              <w:top w:val="nil"/>
              <w:left w:val="nil"/>
              <w:bottom w:val="single" w:color="auto" w:sz="4" w:space="0"/>
              <w:right w:val="single" w:color="auto" w:sz="4" w:space="0"/>
            </w:tcBorders>
            <w:shd w:val="clear" w:color="auto" w:fill="auto"/>
            <w:vAlign w:val="center"/>
          </w:tcPr>
          <w:p w14:paraId="229A9316">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根据需要，采用带红外探测设备的无人机对全场进行不少于1次扫描</w:t>
            </w:r>
          </w:p>
        </w:tc>
      </w:tr>
      <w:tr w14:paraId="39EE8B83">
        <w:tblPrEx>
          <w:tblCellMar>
            <w:top w:w="0" w:type="dxa"/>
            <w:left w:w="108" w:type="dxa"/>
            <w:bottom w:w="0" w:type="dxa"/>
            <w:right w:w="108" w:type="dxa"/>
          </w:tblCellMar>
        </w:tblPrEx>
        <w:trPr>
          <w:trHeight w:val="783" w:hRule="atLeast"/>
        </w:trPr>
        <w:tc>
          <w:tcPr>
            <w:tcW w:w="832" w:type="dxa"/>
            <w:vMerge w:val="continue"/>
            <w:tcBorders>
              <w:left w:val="single" w:color="auto" w:sz="4" w:space="0"/>
              <w:bottom w:val="single" w:color="auto" w:sz="4" w:space="0"/>
              <w:right w:val="single" w:color="auto" w:sz="4" w:space="0"/>
            </w:tcBorders>
            <w:shd w:val="clear" w:color="auto" w:fill="auto"/>
            <w:vAlign w:val="center"/>
          </w:tcPr>
          <w:p w14:paraId="142E3D95">
            <w:pPr>
              <w:widowControl/>
              <w:spacing w:line="440" w:lineRule="exact"/>
              <w:jc w:val="center"/>
              <w:rPr>
                <w:rFonts w:hint="eastAsia" w:ascii="楷体_GB2312" w:hAnsi="楷体_GB2312" w:eastAsia="楷体_GB2312" w:cs="楷体_GB2312"/>
                <w:color w:val="auto"/>
                <w:kern w:val="0"/>
                <w:sz w:val="28"/>
                <w:szCs w:val="28"/>
              </w:rPr>
            </w:pPr>
          </w:p>
        </w:tc>
        <w:tc>
          <w:tcPr>
            <w:tcW w:w="3446" w:type="dxa"/>
            <w:gridSpan w:val="2"/>
            <w:tcBorders>
              <w:top w:val="nil"/>
              <w:left w:val="nil"/>
              <w:bottom w:val="single" w:color="auto" w:sz="4" w:space="0"/>
              <w:right w:val="single" w:color="auto" w:sz="4" w:space="0"/>
            </w:tcBorders>
            <w:shd w:val="clear" w:color="auto" w:fill="auto"/>
            <w:vAlign w:val="center"/>
          </w:tcPr>
          <w:p w14:paraId="6E1EF4F7">
            <w:pPr>
              <w:widowControl/>
              <w:spacing w:line="440" w:lineRule="exact"/>
              <w:jc w:val="center"/>
              <w:rPr>
                <w:rFonts w:hint="eastAsia"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抽气实验</w:t>
            </w:r>
          </w:p>
        </w:tc>
        <w:tc>
          <w:tcPr>
            <w:tcW w:w="972" w:type="dxa"/>
            <w:tcBorders>
              <w:top w:val="nil"/>
              <w:left w:val="nil"/>
              <w:bottom w:val="single" w:color="auto" w:sz="4" w:space="0"/>
              <w:right w:val="single" w:color="auto" w:sz="4" w:space="0"/>
            </w:tcBorders>
            <w:shd w:val="clear" w:color="auto" w:fill="auto"/>
            <w:vAlign w:val="center"/>
          </w:tcPr>
          <w:p w14:paraId="501C097B">
            <w:pPr>
              <w:widowControl/>
              <w:spacing w:line="440" w:lineRule="exact"/>
              <w:jc w:val="center"/>
              <w:rPr>
                <w:rFonts w:hint="eastAsia"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项</w:t>
            </w:r>
          </w:p>
        </w:tc>
        <w:tc>
          <w:tcPr>
            <w:tcW w:w="1116" w:type="dxa"/>
            <w:tcBorders>
              <w:top w:val="nil"/>
              <w:left w:val="nil"/>
              <w:bottom w:val="single" w:color="auto" w:sz="4" w:space="0"/>
              <w:right w:val="single" w:color="auto" w:sz="4" w:space="0"/>
            </w:tcBorders>
            <w:shd w:val="clear" w:color="auto" w:fill="auto"/>
            <w:vAlign w:val="center"/>
          </w:tcPr>
          <w:p w14:paraId="23916B1E">
            <w:pPr>
              <w:widowControl/>
              <w:spacing w:line="440" w:lineRule="exact"/>
              <w:jc w:val="center"/>
              <w:rPr>
                <w:rFonts w:hint="eastAsia"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1</w:t>
            </w:r>
          </w:p>
        </w:tc>
        <w:tc>
          <w:tcPr>
            <w:tcW w:w="7691" w:type="dxa"/>
            <w:tcBorders>
              <w:top w:val="nil"/>
              <w:left w:val="nil"/>
              <w:bottom w:val="single" w:color="auto" w:sz="4" w:space="0"/>
              <w:right w:val="single" w:color="auto" w:sz="4" w:space="0"/>
            </w:tcBorders>
            <w:shd w:val="clear" w:color="auto" w:fill="auto"/>
            <w:vAlign w:val="center"/>
          </w:tcPr>
          <w:p w14:paraId="114A0408">
            <w:pPr>
              <w:widowControl/>
              <w:spacing w:line="440" w:lineRule="exact"/>
              <w:jc w:val="center"/>
              <w:rPr>
                <w:rFonts w:hint="eastAsia" w:ascii="楷体_GB2312" w:hAnsi="楷体_GB2312" w:eastAsia="楷体_GB2312" w:cs="楷体_GB2312"/>
                <w:color w:val="auto"/>
                <w:kern w:val="0"/>
                <w:sz w:val="28"/>
                <w:szCs w:val="28"/>
              </w:rPr>
            </w:pPr>
          </w:p>
        </w:tc>
      </w:tr>
      <w:tr w14:paraId="33B5B4A5">
        <w:tblPrEx>
          <w:tblCellMar>
            <w:top w:w="0" w:type="dxa"/>
            <w:left w:w="108" w:type="dxa"/>
            <w:bottom w:w="0" w:type="dxa"/>
            <w:right w:w="108" w:type="dxa"/>
          </w:tblCellMar>
        </w:tblPrEx>
        <w:trPr>
          <w:trHeight w:val="227"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4FEF2495">
            <w:pPr>
              <w:widowControl/>
              <w:spacing w:line="440" w:lineRule="exact"/>
              <w:jc w:val="center"/>
              <w:rPr>
                <w:rFonts w:hint="eastAsia" w:ascii="楷体_GB2312" w:hAnsi="楷体_GB2312" w:eastAsia="楷体_GB2312" w:cs="楷体_GB2312"/>
                <w:color w:val="auto"/>
                <w:kern w:val="0"/>
                <w:sz w:val="28"/>
                <w:szCs w:val="28"/>
                <w:lang w:eastAsia="zh-CN"/>
              </w:rPr>
            </w:pPr>
            <w:r>
              <w:rPr>
                <w:rFonts w:hint="eastAsia" w:ascii="楷体_GB2312" w:hAnsi="楷体_GB2312" w:eastAsia="楷体_GB2312" w:cs="楷体_GB2312"/>
                <w:color w:val="auto"/>
                <w:kern w:val="0"/>
                <w:sz w:val="28"/>
                <w:szCs w:val="28"/>
              </w:rPr>
              <w:t>2.</w:t>
            </w:r>
            <w:r>
              <w:rPr>
                <w:rFonts w:hint="eastAsia" w:ascii="楷体_GB2312" w:hAnsi="楷体_GB2312" w:eastAsia="楷体_GB2312" w:cs="楷体_GB2312"/>
                <w:color w:val="auto"/>
                <w:kern w:val="0"/>
                <w:sz w:val="28"/>
                <w:szCs w:val="28"/>
                <w:lang w:val="en-US" w:eastAsia="zh-CN"/>
              </w:rPr>
              <w:t>2</w:t>
            </w:r>
          </w:p>
        </w:tc>
        <w:tc>
          <w:tcPr>
            <w:tcW w:w="3446" w:type="dxa"/>
            <w:gridSpan w:val="2"/>
            <w:tcBorders>
              <w:top w:val="nil"/>
              <w:left w:val="nil"/>
              <w:bottom w:val="single" w:color="auto" w:sz="4" w:space="0"/>
              <w:right w:val="single" w:color="auto" w:sz="4" w:space="0"/>
            </w:tcBorders>
            <w:shd w:val="clear" w:color="auto" w:fill="auto"/>
            <w:vAlign w:val="center"/>
          </w:tcPr>
          <w:p w14:paraId="1A19FFEC">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堆体降解稳定化评估</w:t>
            </w:r>
          </w:p>
        </w:tc>
        <w:tc>
          <w:tcPr>
            <w:tcW w:w="972" w:type="dxa"/>
            <w:tcBorders>
              <w:top w:val="nil"/>
              <w:left w:val="nil"/>
              <w:bottom w:val="single" w:color="auto" w:sz="4" w:space="0"/>
              <w:right w:val="single" w:color="auto" w:sz="4" w:space="0"/>
            </w:tcBorders>
            <w:shd w:val="clear" w:color="auto" w:fill="auto"/>
            <w:vAlign w:val="center"/>
          </w:tcPr>
          <w:p w14:paraId="6DC66E61">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项</w:t>
            </w:r>
          </w:p>
        </w:tc>
        <w:tc>
          <w:tcPr>
            <w:tcW w:w="1116" w:type="dxa"/>
            <w:tcBorders>
              <w:top w:val="nil"/>
              <w:left w:val="nil"/>
              <w:bottom w:val="single" w:color="auto" w:sz="4" w:space="0"/>
              <w:right w:val="single" w:color="auto" w:sz="4" w:space="0"/>
            </w:tcBorders>
            <w:shd w:val="clear" w:color="auto" w:fill="auto"/>
            <w:vAlign w:val="center"/>
          </w:tcPr>
          <w:p w14:paraId="034D61D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1</w:t>
            </w:r>
          </w:p>
        </w:tc>
        <w:tc>
          <w:tcPr>
            <w:tcW w:w="7691" w:type="dxa"/>
            <w:tcBorders>
              <w:top w:val="nil"/>
              <w:left w:val="nil"/>
              <w:bottom w:val="single" w:color="auto" w:sz="4" w:space="0"/>
              <w:right w:val="single" w:color="auto" w:sz="4" w:space="0"/>
            </w:tcBorders>
            <w:shd w:val="clear" w:color="auto" w:fill="auto"/>
            <w:vAlign w:val="center"/>
          </w:tcPr>
          <w:p w14:paraId="44DCDFAB">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内容包括降解潜力、堆体内积存渗滤液、导排系统效能、填埋气产气量及逸散等评估</w:t>
            </w:r>
          </w:p>
        </w:tc>
      </w:tr>
      <w:tr w14:paraId="5B7C3F34">
        <w:tblPrEx>
          <w:tblCellMar>
            <w:top w:w="0" w:type="dxa"/>
            <w:left w:w="108" w:type="dxa"/>
            <w:bottom w:w="0" w:type="dxa"/>
            <w:right w:w="108" w:type="dxa"/>
          </w:tblCellMar>
        </w:tblPrEx>
        <w:trPr>
          <w:trHeight w:val="227" w:hRule="atLeast"/>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44B467F1">
            <w:pPr>
              <w:widowControl/>
              <w:spacing w:line="440" w:lineRule="exact"/>
              <w:jc w:val="center"/>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三</w:t>
            </w:r>
          </w:p>
        </w:tc>
        <w:tc>
          <w:tcPr>
            <w:tcW w:w="13225" w:type="dxa"/>
            <w:gridSpan w:val="5"/>
            <w:tcBorders>
              <w:top w:val="single" w:color="auto" w:sz="4" w:space="0"/>
              <w:left w:val="nil"/>
              <w:bottom w:val="single" w:color="auto" w:sz="4" w:space="0"/>
              <w:right w:val="single" w:color="auto" w:sz="4" w:space="0"/>
            </w:tcBorders>
            <w:shd w:val="clear" w:color="auto" w:fill="auto"/>
            <w:vAlign w:val="center"/>
          </w:tcPr>
          <w:p w14:paraId="0465805F">
            <w:pPr>
              <w:widowControl/>
              <w:spacing w:line="440" w:lineRule="exact"/>
              <w:jc w:val="left"/>
              <w:rPr>
                <w:rFonts w:hint="eastAsia" w:ascii="楷体_GB2312" w:hAnsi="楷体_GB2312" w:eastAsia="楷体_GB2312" w:cs="楷体_GB2312"/>
                <w:b/>
                <w:bCs/>
                <w:color w:val="auto"/>
                <w:kern w:val="0"/>
                <w:sz w:val="28"/>
                <w:szCs w:val="28"/>
              </w:rPr>
            </w:pPr>
            <w:r>
              <w:rPr>
                <w:rFonts w:hint="eastAsia" w:ascii="楷体_GB2312" w:hAnsi="楷体_GB2312" w:eastAsia="楷体_GB2312" w:cs="楷体_GB2312"/>
                <w:b/>
                <w:bCs/>
                <w:color w:val="auto"/>
                <w:kern w:val="0"/>
                <w:sz w:val="28"/>
                <w:szCs w:val="28"/>
              </w:rPr>
              <w:t>地下水监测井洗井服务</w:t>
            </w:r>
          </w:p>
        </w:tc>
      </w:tr>
      <w:tr w14:paraId="05CE66DB">
        <w:tblPrEx>
          <w:tblCellMar>
            <w:top w:w="0" w:type="dxa"/>
            <w:left w:w="108" w:type="dxa"/>
            <w:bottom w:w="0" w:type="dxa"/>
            <w:right w:w="108" w:type="dxa"/>
          </w:tblCellMar>
        </w:tblPrEx>
        <w:trPr>
          <w:trHeight w:val="2340" w:hRule="atLeast"/>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3FDD2405">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3.1</w:t>
            </w:r>
          </w:p>
        </w:tc>
        <w:tc>
          <w:tcPr>
            <w:tcW w:w="3446" w:type="dxa"/>
            <w:gridSpan w:val="2"/>
            <w:tcBorders>
              <w:top w:val="single" w:color="auto" w:sz="4" w:space="0"/>
              <w:left w:val="nil"/>
              <w:bottom w:val="single" w:color="auto" w:sz="4" w:space="0"/>
              <w:right w:val="single" w:color="auto" w:sz="4" w:space="0"/>
            </w:tcBorders>
            <w:shd w:val="clear" w:color="auto" w:fill="auto"/>
            <w:vAlign w:val="center"/>
          </w:tcPr>
          <w:p w14:paraId="28D0EDF9">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地下水监测井洗井</w:t>
            </w:r>
          </w:p>
        </w:tc>
        <w:tc>
          <w:tcPr>
            <w:tcW w:w="972" w:type="dxa"/>
            <w:tcBorders>
              <w:top w:val="single" w:color="auto" w:sz="4" w:space="0"/>
              <w:left w:val="nil"/>
              <w:bottom w:val="single" w:color="auto" w:sz="4" w:space="0"/>
              <w:right w:val="single" w:color="auto" w:sz="4" w:space="0"/>
            </w:tcBorders>
            <w:shd w:val="clear" w:color="auto" w:fill="auto"/>
            <w:vAlign w:val="center"/>
          </w:tcPr>
          <w:p w14:paraId="0DDE1251">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点*次</w:t>
            </w:r>
          </w:p>
        </w:tc>
        <w:tc>
          <w:tcPr>
            <w:tcW w:w="1116" w:type="dxa"/>
            <w:tcBorders>
              <w:top w:val="single" w:color="auto" w:sz="4" w:space="0"/>
              <w:left w:val="nil"/>
              <w:bottom w:val="single" w:color="auto" w:sz="4" w:space="0"/>
              <w:right w:val="single" w:color="auto" w:sz="4" w:space="0"/>
            </w:tcBorders>
            <w:shd w:val="clear" w:color="auto" w:fill="auto"/>
            <w:vAlign w:val="center"/>
          </w:tcPr>
          <w:p w14:paraId="627FBB6C">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72</w:t>
            </w:r>
          </w:p>
        </w:tc>
        <w:tc>
          <w:tcPr>
            <w:tcW w:w="7691" w:type="dxa"/>
            <w:tcBorders>
              <w:top w:val="single" w:color="auto" w:sz="4" w:space="0"/>
              <w:left w:val="nil"/>
              <w:bottom w:val="single" w:color="auto" w:sz="4" w:space="0"/>
              <w:right w:val="single" w:color="auto" w:sz="4" w:space="0"/>
            </w:tcBorders>
            <w:shd w:val="clear" w:color="auto" w:fill="auto"/>
            <w:vAlign w:val="center"/>
          </w:tcPr>
          <w:p w14:paraId="4CFA94AD">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共6口地下水监测井</w:t>
            </w:r>
          </w:p>
          <w:p w14:paraId="051FC93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包括抽水设备安装、调试、拆卸、人工等全部费用，抽水所用的设备、电缆、管道、电源等问题和材料问题均由乙方解决，抽水台班视监测情况而定，一般不少于5个小时</w:t>
            </w:r>
          </w:p>
        </w:tc>
      </w:tr>
      <w:tr w14:paraId="365B8BAE">
        <w:tblPrEx>
          <w:tblCellMar>
            <w:top w:w="0" w:type="dxa"/>
            <w:left w:w="108" w:type="dxa"/>
            <w:bottom w:w="0" w:type="dxa"/>
            <w:right w:w="108" w:type="dxa"/>
          </w:tblCellMar>
        </w:tblPrEx>
        <w:trPr>
          <w:trHeight w:val="399" w:hRule="atLeast"/>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6B78C190">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3.2</w:t>
            </w:r>
          </w:p>
        </w:tc>
        <w:tc>
          <w:tcPr>
            <w:tcW w:w="3446" w:type="dxa"/>
            <w:gridSpan w:val="2"/>
            <w:tcBorders>
              <w:top w:val="single" w:color="auto" w:sz="4" w:space="0"/>
              <w:left w:val="nil"/>
              <w:bottom w:val="single" w:color="auto" w:sz="4" w:space="0"/>
              <w:right w:val="single" w:color="auto" w:sz="4" w:space="0"/>
            </w:tcBorders>
            <w:shd w:val="clear" w:color="auto" w:fill="auto"/>
            <w:vAlign w:val="center"/>
          </w:tcPr>
          <w:p w14:paraId="7C4FA1AA">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地下水位测量</w:t>
            </w:r>
          </w:p>
        </w:tc>
        <w:tc>
          <w:tcPr>
            <w:tcW w:w="972" w:type="dxa"/>
            <w:tcBorders>
              <w:top w:val="single" w:color="auto" w:sz="4" w:space="0"/>
              <w:left w:val="nil"/>
              <w:bottom w:val="single" w:color="auto" w:sz="4" w:space="0"/>
              <w:right w:val="single" w:color="auto" w:sz="4" w:space="0"/>
            </w:tcBorders>
            <w:shd w:val="clear" w:color="auto" w:fill="auto"/>
            <w:vAlign w:val="center"/>
          </w:tcPr>
          <w:p w14:paraId="01134098">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次</w:t>
            </w:r>
          </w:p>
        </w:tc>
        <w:tc>
          <w:tcPr>
            <w:tcW w:w="1116" w:type="dxa"/>
            <w:tcBorders>
              <w:top w:val="single" w:color="auto" w:sz="4" w:space="0"/>
              <w:left w:val="nil"/>
              <w:bottom w:val="single" w:color="auto" w:sz="4" w:space="0"/>
              <w:right w:val="single" w:color="auto" w:sz="4" w:space="0"/>
            </w:tcBorders>
            <w:shd w:val="clear" w:color="auto" w:fill="auto"/>
            <w:vAlign w:val="center"/>
          </w:tcPr>
          <w:p w14:paraId="78D391FE">
            <w:pPr>
              <w:widowControl/>
              <w:spacing w:line="440" w:lineRule="exact"/>
              <w:jc w:val="center"/>
              <w:rPr>
                <w:rFonts w:hint="default" w:ascii="楷体_GB2312" w:hAnsi="楷体_GB2312" w:eastAsia="楷体_GB2312" w:cs="楷体_GB2312"/>
                <w:color w:val="auto"/>
                <w:kern w:val="0"/>
                <w:sz w:val="28"/>
                <w:szCs w:val="28"/>
                <w:lang w:val="en-US" w:eastAsia="zh-CN"/>
              </w:rPr>
            </w:pPr>
            <w:r>
              <w:rPr>
                <w:rFonts w:hint="eastAsia" w:ascii="楷体_GB2312" w:hAnsi="楷体_GB2312" w:eastAsia="楷体_GB2312" w:cs="楷体_GB2312"/>
                <w:color w:val="auto"/>
                <w:kern w:val="0"/>
                <w:sz w:val="28"/>
                <w:szCs w:val="28"/>
                <w:lang w:val="en-US" w:eastAsia="zh-CN"/>
              </w:rPr>
              <w:t>360</w:t>
            </w:r>
          </w:p>
        </w:tc>
        <w:tc>
          <w:tcPr>
            <w:tcW w:w="7691" w:type="dxa"/>
            <w:tcBorders>
              <w:top w:val="single" w:color="auto" w:sz="4" w:space="0"/>
              <w:left w:val="nil"/>
              <w:bottom w:val="single" w:color="auto" w:sz="4" w:space="0"/>
              <w:right w:val="single" w:color="auto" w:sz="4" w:space="0"/>
            </w:tcBorders>
            <w:shd w:val="clear" w:color="auto" w:fill="auto"/>
            <w:vAlign w:val="center"/>
          </w:tcPr>
          <w:p w14:paraId="5E36FA33">
            <w:pPr>
              <w:widowControl/>
              <w:spacing w:line="440" w:lineRule="exact"/>
              <w:jc w:val="center"/>
              <w:rPr>
                <w:rFonts w:hint="eastAsia" w:ascii="楷体_GB2312" w:hAnsi="楷体_GB2312" w:eastAsia="楷体_GB2312" w:cs="楷体_GB2312"/>
                <w:color w:val="auto"/>
                <w:kern w:val="0"/>
                <w:sz w:val="28"/>
                <w:szCs w:val="28"/>
              </w:rPr>
            </w:pPr>
            <w:r>
              <w:rPr>
                <w:rFonts w:hint="eastAsia" w:ascii="楷体_GB2312" w:hAnsi="楷体_GB2312" w:eastAsia="楷体_GB2312" w:cs="楷体_GB2312"/>
                <w:color w:val="auto"/>
                <w:kern w:val="0"/>
                <w:sz w:val="28"/>
                <w:szCs w:val="28"/>
              </w:rPr>
              <w:t>水位监测视抽水情况而定，每口监测井每次洗井测量不少于</w:t>
            </w:r>
            <w:r>
              <w:rPr>
                <w:rFonts w:hint="eastAsia" w:ascii="楷体_GB2312" w:hAnsi="楷体_GB2312" w:eastAsia="楷体_GB2312" w:cs="楷体_GB2312"/>
                <w:color w:val="auto"/>
                <w:kern w:val="0"/>
                <w:sz w:val="28"/>
                <w:szCs w:val="28"/>
                <w:lang w:val="en-US" w:eastAsia="zh-CN"/>
              </w:rPr>
              <w:t>5</w:t>
            </w:r>
            <w:r>
              <w:rPr>
                <w:rFonts w:hint="eastAsia" w:ascii="楷体_GB2312" w:hAnsi="楷体_GB2312" w:eastAsia="楷体_GB2312" w:cs="楷体_GB2312"/>
                <w:color w:val="auto"/>
                <w:kern w:val="0"/>
                <w:sz w:val="28"/>
                <w:szCs w:val="28"/>
              </w:rPr>
              <w:t>次</w:t>
            </w:r>
          </w:p>
        </w:tc>
      </w:tr>
    </w:tbl>
    <w:p w14:paraId="2AFFEF16">
      <w:pPr>
        <w:adjustRightInd w:val="0"/>
        <w:snapToGrid w:val="0"/>
        <w:spacing w:line="336" w:lineRule="auto"/>
        <w:rPr>
          <w:rFonts w:ascii="Times New Roman" w:hAnsi="Times New Roman" w:eastAsia="楷体_GB2312"/>
          <w:color w:val="auto"/>
          <w:sz w:val="28"/>
        </w:rPr>
      </w:pPr>
    </w:p>
    <w:p w14:paraId="352A3285">
      <w:pPr>
        <w:spacing w:line="440" w:lineRule="exact"/>
        <w:jc w:val="left"/>
        <w:rPr>
          <w:rFonts w:hint="eastAsia" w:ascii="宋体" w:hAnsi="宋体" w:eastAsia="宋体" w:cs="宋体"/>
          <w:b/>
          <w:snapToGrid/>
          <w:color w:val="auto"/>
          <w:kern w:val="2"/>
          <w:lang w:eastAsia="zh-CN"/>
        </w:rPr>
      </w:pPr>
      <w:r>
        <w:rPr>
          <w:rFonts w:hint="eastAsia" w:ascii="宋体" w:hAnsi="宋体" w:eastAsia="宋体" w:cs="宋体"/>
          <w:b/>
          <w:snapToGrid/>
          <w:color w:val="auto"/>
          <w:kern w:val="2"/>
          <w:lang w:eastAsia="zh-CN"/>
        </w:rPr>
        <w:t xml:space="preserve"> 注：1、本表内的工作内容和工作量为本场前期安全监测经验和目前实际需要，结合相关规范制定，</w:t>
      </w:r>
      <w:r>
        <w:rPr>
          <w:rFonts w:hint="eastAsia" w:ascii="宋体" w:hAnsi="宋体" w:eastAsia="宋体" w:cs="宋体"/>
          <w:b/>
          <w:snapToGrid/>
          <w:color w:val="auto"/>
          <w:kern w:val="2"/>
          <w:lang w:val="en-US" w:eastAsia="zh-CN"/>
        </w:rPr>
        <w:t>供应商</w:t>
      </w:r>
      <w:r>
        <w:rPr>
          <w:rFonts w:hint="eastAsia" w:ascii="宋体" w:hAnsi="宋体" w:eastAsia="宋体" w:cs="宋体"/>
          <w:b/>
          <w:snapToGrid/>
          <w:color w:val="auto"/>
          <w:kern w:val="2"/>
          <w:lang w:eastAsia="zh-CN"/>
        </w:rPr>
        <w:t>可根据自身需要在此基础上进行优化补充，但不能少于表中工作内容和工作量，若加密监测涉及增设点位的，全部相关费用由委托方（乙方）承担。</w:t>
      </w:r>
    </w:p>
    <w:p w14:paraId="391978A5">
      <w:pPr>
        <w:spacing w:line="440" w:lineRule="exact"/>
        <w:jc w:val="left"/>
        <w:rPr>
          <w:rFonts w:hint="eastAsia" w:ascii="宋体" w:hAnsi="宋体" w:eastAsia="宋体" w:cs="宋体"/>
          <w:b/>
          <w:snapToGrid/>
          <w:color w:val="auto"/>
          <w:kern w:val="2"/>
          <w:lang w:eastAsia="zh-CN"/>
        </w:rPr>
      </w:pPr>
      <w:r>
        <w:rPr>
          <w:rFonts w:hint="eastAsia" w:ascii="宋体" w:hAnsi="宋体" w:eastAsia="宋体" w:cs="宋体"/>
          <w:b/>
          <w:snapToGrid/>
          <w:color w:val="auto"/>
          <w:kern w:val="2"/>
          <w:lang w:eastAsia="zh-CN"/>
        </w:rPr>
        <w:t>2、乙方报价应包括为了完成项目所涉及的人员费、机械费、材料费、高空作业费、税费等全部相关费用，且价格不因政策调整而发生变化。</w:t>
      </w:r>
    </w:p>
    <w:p w14:paraId="722537BD">
      <w:pPr>
        <w:spacing w:line="440" w:lineRule="exact"/>
        <w:jc w:val="left"/>
        <w:rPr>
          <w:rFonts w:hint="eastAsia" w:ascii="宋体" w:hAnsi="宋体" w:eastAsia="宋体" w:cs="宋体"/>
          <w:b/>
          <w:snapToGrid/>
          <w:color w:val="auto"/>
          <w:kern w:val="2"/>
          <w:lang w:eastAsia="zh-CN"/>
        </w:rPr>
      </w:pPr>
      <w:r>
        <w:rPr>
          <w:rFonts w:hint="eastAsia" w:ascii="宋体" w:hAnsi="宋体" w:eastAsia="宋体" w:cs="宋体"/>
          <w:b/>
          <w:snapToGrid/>
          <w:color w:val="auto"/>
          <w:kern w:val="2"/>
          <w:lang w:eastAsia="zh-CN"/>
        </w:rPr>
        <w:t>3、合同执行期若发生水灾、风灾、旱灾、地震、战争、封锁、公共卫生事件、政府禁令等不可抗力事件导致维护工程实施成本增加的，全部相关费用由承包方承担。</w:t>
      </w:r>
    </w:p>
    <w:p w14:paraId="1978C7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BABF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3A99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13A994">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D682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D33C29">
                          <w:pPr>
                            <w:pStyle w:val="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D33C29">
                    <w:pPr>
                      <w:pStyle w:val="4"/>
                    </w:pPr>
                    <w:r>
                      <w:fldChar w:fldCharType="begin"/>
                    </w:r>
                    <w:r>
                      <w:instrText xml:space="preserve"> PAGE  \* MERGEFORMAT </w:instrText>
                    </w:r>
                    <w:r>
                      <w:fldChar w:fldCharType="separate"/>
                    </w:r>
                    <w:r>
                      <w:t>36</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67326D"/>
    <w:multiLevelType w:val="multilevel"/>
    <w:tmpl w:val="4D67326D"/>
    <w:lvl w:ilvl="0" w:tentative="0">
      <w:start w:val="1"/>
      <w:numFmt w:val="japaneseCounting"/>
      <w:lvlText w:val="第%1条"/>
      <w:lvlJc w:val="left"/>
      <w:pPr>
        <w:tabs>
          <w:tab w:val="left" w:pos="1275"/>
        </w:tabs>
        <w:ind w:left="1275" w:hanging="1275"/>
      </w:pPr>
      <w:rPr>
        <w:rFonts w:hint="eastAsia"/>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90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99"/>
    <w:pPr>
      <w:jc w:val="both"/>
    </w:pPr>
    <w:rPr>
      <w:rFonts w:ascii="Calibri" w:hAnsi="Calibri"/>
      <w:color w:val="auto"/>
      <w:kern w:val="2"/>
    </w:rPr>
  </w:style>
  <w:style w:type="paragraph" w:styleId="3">
    <w:name w:val="Body Text Indent"/>
    <w:basedOn w:val="1"/>
    <w:qFormat/>
    <w:uiPriority w:val="0"/>
    <w:pPr>
      <w:adjustRightInd w:val="0"/>
      <w:snapToGrid w:val="0"/>
      <w:ind w:firstLine="560" w:firstLineChars="200"/>
    </w:pPr>
    <w:rPr>
      <w:rFonts w:ascii="宋体" w:hAnsi="宋体" w:eastAsia="宋体" w:cs="Times New Roman"/>
      <w:sz w:val="28"/>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2025-09-03T08:28:13Z</dcterms:created>
  <dc:creator>我名</dc:creator>
  <cp:lastModifiedBy>ZB</cp:lastModifiedBy>
  <dcterms:modified xsi:type="dcterms:W3CDTF">2025-09-03T08:28:48Z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56C57F3EA64145E48FC9863B823947BB_12</vt:lpwstr>
  </property>
</Properties>
</file>