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版本号：【KRDL】K5-250810220250827001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购置富士高清电子胃肠镜设备采购</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【KRDL】K5-2508102</w:t>
      </w:r>
      <w:r>
        <w:br/>
      </w:r>
      <w:r>
        <w:br/>
      </w:r>
      <w:r>
        <w:br/>
      </w:r>
      <w:r>
        <w:br/>
      </w:r>
      <w:r>
        <w:br/>
      </w:r>
    </w:p>
    <w:p>
      <w:pPr>
        <w:pStyle w:val="null3"/>
        <w:jc w:val="center"/>
        <w:outlineLvl w:val="5"/>
      </w:pPr>
      <w:r>
        <w:rPr>
          <w:rFonts w:ascii="仿宋_GB2312" w:hAnsi="仿宋_GB2312" w:cs="仿宋_GB2312" w:eastAsia="仿宋_GB2312"/>
          <w:sz w:val="15"/>
          <w:b/>
        </w:rPr>
        <w:t>西安市红会医院</w:t>
      </w:r>
    </w:p>
    <w:p>
      <w:pPr>
        <w:pStyle w:val="null3"/>
        <w:jc w:val="center"/>
        <w:outlineLvl w:val="5"/>
      </w:pPr>
      <w:r>
        <w:rPr>
          <w:rFonts w:ascii="仿宋_GB2312" w:hAnsi="仿宋_GB2312" w:cs="仿宋_GB2312" w:eastAsia="仿宋_GB2312"/>
          <w:sz w:val="15"/>
          <w:b/>
        </w:rPr>
        <w:t>开瑞项目管理有限公司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购置富士高清电子胃肠镜设备采购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【KRDL】K5-2508102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购置富士高清电子胃肠镜设备采购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随着西安市红会医院各个学科人才设备不断引入，对医院的医疗科研能力和治疗水平提出了更高的要求。高清消化内镜是一种广泛应用于消化内科的先进诊疗设备，其借助高清成像技术和灵活的操作性能，可清晰观察消化道黏膜的细微结构，实现对胃炎、胃溃疡、息肉、早期肿瘤等多种消化系统疾病的精准诊断与微创治疗。随着消化医学的发展，对疾病诊断的准确性、治疗的微创性和安全性要求不断提高，我院消化内科在胃肠道疾病的诊疗方面，对高分辨率、高清晰度及操作灵活性强的高清消化内镜有迫切需求。 进口高清消化内镜在成像质量、操作精准度、设备稳定性及临床应用效果方面具有明显优势，能够显著提高早期病变的检出率和治疗成功率，提升患者满意度，更好地满足临床诊疗工作的需要。国内目前生产的同类产品在光学性能、图像分辨率及复杂操作的适配性上与进口设备存在一定差距，尚无法完全替代进口设备，尤其是对于一些微小病变的诊断和复杂的内镜下治疗，进口设备的优势更为突出。故购置进口高清消化内镜4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财务状况报告：提供经会计师事务所审计的2024年的财务审计报告(包括资产负债表、利润表、现金流量表、所有者权益变动表及其附注，成立时间至提交响应文件截止时间不足一年的可提供成立后任意时段的资产负债表)，或其开标前六个月内基本账户开户行开具的银行资信证明；</w:t>
      </w:r>
    </w:p>
    <w:p>
      <w:pPr>
        <w:pStyle w:val="null3"/>
      </w:pPr>
      <w:r>
        <w:rPr>
          <w:rFonts w:ascii="仿宋_GB2312" w:hAnsi="仿宋_GB2312" w:cs="仿宋_GB2312" w:eastAsia="仿宋_GB2312"/>
        </w:rPr>
        <w:t>3、税收缴纳证明：供应商提供本单位2024年08月01日至今已缴纳的任意一个月纳税证明或完税证明，依法免税的单位应提供相关证明材料；</w:t>
      </w:r>
    </w:p>
    <w:p>
      <w:pPr>
        <w:pStyle w:val="null3"/>
      </w:pPr>
      <w:r>
        <w:rPr>
          <w:rFonts w:ascii="仿宋_GB2312" w:hAnsi="仿宋_GB2312" w:cs="仿宋_GB2312" w:eastAsia="仿宋_GB2312"/>
        </w:rPr>
        <w:t>4、社会保障资金缴纳证明：供应商提供本单位2024年08月01日至今已缴存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5、信誉要求：投标人未被“信用中国”网站列入失信被执行人、重大税收违法失信主体名单，未被“中国政府采购网”网站列入政府采购严重违法失信行为记录名单。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协商授权代表：法定代表人参加单一来源采购会议的，应出具法定代表人证明书以及法定代表人合法有效的身份证，且应与营业执照上信息一致。法定代表人授权合法授权代表参加单一来源采购会议的，应出具法定代表人证明书、法定代表人授权书及授权代表合法有效的身份证,同时提供截至响应文件递交截止时间前6个月内任意1个月的社保缴纳证明材料。</w:t>
      </w:r>
    </w:p>
    <w:p>
      <w:pPr>
        <w:pStyle w:val="null3"/>
      </w:pPr>
      <w:r>
        <w:rPr>
          <w:rFonts w:ascii="仿宋_GB2312" w:hAnsi="仿宋_GB2312" w:cs="仿宋_GB2312" w:eastAsia="仿宋_GB2312"/>
        </w:rPr>
        <w:t>7、供应商资质要求：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投标人合法有效的相应医疗器械经营许可证或医疗器械经营备案凭证；</w:t>
      </w:r>
    </w:p>
    <w:p>
      <w:pPr>
        <w:pStyle w:val="null3"/>
      </w:pPr>
      <w:r>
        <w:rPr>
          <w:rFonts w:ascii="仿宋_GB2312" w:hAnsi="仿宋_GB2312" w:cs="仿宋_GB2312" w:eastAsia="仿宋_GB2312"/>
        </w:rPr>
        <w:t>8、是否专门面向中小企业：本项目不专门面向中小企业(供应商根据自身企业情况按需提供中、小企业声明函)</w:t>
      </w:r>
    </w:p>
    <w:p>
      <w:pPr>
        <w:pStyle w:val="null3"/>
      </w:pPr>
      <w:r>
        <w:rPr>
          <w:rFonts w:ascii="仿宋_GB2312" w:hAnsi="仿宋_GB2312" w:cs="仿宋_GB2312" w:eastAsia="仿宋_GB2312"/>
        </w:rPr>
        <w:t>9、承诺书：本项目不接受由西安市红会医院职工及其亲属投资举办的企业参加投标</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西安市碑林区友谊东路555号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029-81870236、18821613947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说明：（1）成交供应商应当在成交结果公示发布后五个工作日内将项目履约保证金（成交总额的5%）转账至招标方基本户,合同约定事宜完成，所有设备功能完好，退还履约保证金。 （2）乙方在成交结果公示发布后，开设由甲方、乙方、银行，三方共同监管账户作为合同收款账户，具体以三方协议约定为准。 （3）完成合同签订后，甲方30日内向三方共同监管账户支付合同总额的100%；乙方向甲方提供合同总额 50% 银行保函，经甲方确认同意，乙方可从共同监管账户中提取合同总额的50%作为预付款；全部设备到货后，经甲方确认同意，乙方可从共同监管账户中提取合同总额的40%作为到货款；合同全部设备安装、调试完毕，经甲方验收同意，乙方可提取剩余合同总额的10%作为验收款。</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857号）的标准下浮20%计取，向采购代理机构一次付清采购代理服务费。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随着西安市红会医院各个学科人才设备不断引入，对医院的医疗科研能力和治疗水平提出了更高的要求。高清消化内镜是一种广泛应用于消化内科的先进诊疗设备，其借助高清成像技术和灵活的操作性能，可清晰观察消化道黏膜的细微结构，实现对胃炎、胃溃疡、息肉、早期肿瘤等多种消化系统疾病的精准诊断与微创治疗。随着消化医学的发展，对疾病诊断的准确性、治疗的微创性和安全性要求不断提高，我院消化内科在胃肠道疾病的诊疗方面，对高分辨率、高清晰度及操作灵活性强的高清消化内镜有迫切需求。 进口高清消化内镜在成像质量、操作精准度、设备稳定性及临床应用效果方面具有明显优势，能够显著提高早期病变的检出率和治疗成功率，提升患者满意度，更好地满足临床诊疗工作的需要。国内目前生产的同类产品在光学性能、图像分辨率及复杂操作的适配性上与进口设备存在一定差距，尚无法完全替代进口设备，尤其是对于一些微小病变的诊断和复杂的内镜下治疗，进口设备的优势更为突出。故购置进口高清消化内镜4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标的名称：手术设备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5"/>
              <w:gridCol w:w="347"/>
              <w:gridCol w:w="1980"/>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参数性质</w:t>
                  </w:r>
                </w:p>
              </w:tc>
              <w:tc>
                <w:tcPr>
                  <w:tcW w:type="dxa" w:w="1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技术参数与性能指标</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一、采购内容</w:t>
                  </w:r>
                </w:p>
                <w:tbl>
                  <w:tblPr>
                    <w:tblInd w:type="dxa" w:w="15"/>
                    <w:tblBorders>
                      <w:top w:val="none" w:color="000000" w:sz="4"/>
                      <w:left w:val="none" w:color="000000" w:sz="4"/>
                      <w:bottom w:val="none" w:color="000000" w:sz="4"/>
                      <w:right w:val="none" w:color="000000" w:sz="4"/>
                      <w:insideH w:val="none"/>
                      <w:insideV w:val="none"/>
                    </w:tblBorders>
                  </w:tblPr>
                  <w:tblGrid>
                    <w:gridCol w:w="280"/>
                    <w:gridCol w:w="467"/>
                    <w:gridCol w:w="169"/>
                    <w:gridCol w:w="543"/>
                    <w:gridCol w:w="392"/>
                    <w:gridCol w:w="343"/>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设备名称</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数量</w:t>
                        </w:r>
                      </w:p>
                    </w:tc>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交货期</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交货地点</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备注</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高清电子胃镜</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5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自合同签订之日起</w:t>
                        </w:r>
                        <w:r>
                          <w:rPr>
                            <w:rFonts w:ascii="仿宋_GB2312" w:hAnsi="仿宋_GB2312" w:cs="仿宋_GB2312" w:eastAsia="仿宋_GB2312"/>
                            <w:sz w:val="24"/>
                            <w:color w:val="0000FF"/>
                          </w:rPr>
                          <w:t>90个日历日完成全部项目内容，并交付采购方验收合格。</w:t>
                        </w: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西安市红会医院指定地点</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电子下消化道内窥镜</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543"/>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color w:val="0000FF"/>
                    </w:rPr>
                    <w:t>二、技术参数</w:t>
                  </w:r>
                </w:p>
                <w:p>
                  <w:pPr>
                    <w:pStyle w:val="null3"/>
                    <w:jc w:val="center"/>
                  </w:pPr>
                  <w:r>
                    <w:rPr>
                      <w:rFonts w:ascii="仿宋_GB2312" w:hAnsi="仿宋_GB2312" w:cs="仿宋_GB2312" w:eastAsia="仿宋_GB2312"/>
                      <w:sz w:val="24"/>
                      <w:b/>
                      <w:color w:val="0000FF"/>
                    </w:rPr>
                    <w:t>（品目一）高清电子胃镜</w:t>
                  </w:r>
                </w:p>
                <w:p>
                  <w:pPr>
                    <w:pStyle w:val="null3"/>
                    <w:jc w:val="both"/>
                  </w:pPr>
                  <w:r>
                    <w:rPr>
                      <w:rFonts w:ascii="仿宋_GB2312" w:hAnsi="仿宋_GB2312" w:cs="仿宋_GB2312" w:eastAsia="仿宋_GB2312"/>
                      <w:sz w:val="24"/>
                      <w:b/>
                      <w:color w:val="0000FF"/>
                    </w:rPr>
                    <w:t>技术</w:t>
                  </w:r>
                  <w:r>
                    <w:rPr>
                      <w:rFonts w:ascii="仿宋_GB2312" w:hAnsi="仿宋_GB2312" w:cs="仿宋_GB2312" w:eastAsia="仿宋_GB2312"/>
                      <w:sz w:val="24"/>
                      <w:b/>
                      <w:color w:val="0000FF"/>
                    </w:rPr>
                    <w:t>要</w:t>
                  </w:r>
                  <w:r>
                    <w:rPr>
                      <w:rFonts w:ascii="仿宋_GB2312" w:hAnsi="仿宋_GB2312" w:cs="仿宋_GB2312" w:eastAsia="仿宋_GB2312"/>
                      <w:sz w:val="24"/>
                      <w:color w:val="0000FF"/>
                    </w:rPr>
                    <w:t>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0000FF"/>
                    </w:rPr>
                    <w:t>1　图像传感器：CMOS或CCD图像传感器、兼容HDTV全高清输出；</w:t>
                  </w:r>
                </w:p>
                <w:p>
                  <w:pPr>
                    <w:pStyle w:val="null3"/>
                    <w:jc w:val="both"/>
                  </w:pPr>
                  <w:r>
                    <w:rPr>
                      <w:rFonts w:ascii="仿宋_GB2312" w:hAnsi="仿宋_GB2312" w:cs="仿宋_GB2312" w:eastAsia="仿宋_GB2312"/>
                      <w:sz w:val="24"/>
                      <w:color w:val="0000FF"/>
                    </w:rPr>
                    <w:t>2　特殊光：≥3种特殊光模式；</w:t>
                  </w:r>
                </w:p>
                <w:p>
                  <w:pPr>
                    <w:pStyle w:val="null3"/>
                    <w:jc w:val="both"/>
                  </w:pPr>
                  <w:r>
                    <w:rPr>
                      <w:rFonts w:ascii="仿宋_GB2312" w:hAnsi="仿宋_GB2312" w:cs="仿宋_GB2312" w:eastAsia="仿宋_GB2312"/>
                      <w:sz w:val="24"/>
                      <w:color w:val="0000FF"/>
                    </w:rPr>
                    <w:t>3　视野角度：0°(直视)；</w:t>
                  </w:r>
                </w:p>
                <w:p>
                  <w:pPr>
                    <w:pStyle w:val="null3"/>
                    <w:jc w:val="both"/>
                  </w:pPr>
                  <w:r>
                    <w:rPr>
                      <w:rFonts w:ascii="仿宋_GB2312" w:hAnsi="仿宋_GB2312" w:cs="仿宋_GB2312" w:eastAsia="仿宋_GB2312"/>
                      <w:sz w:val="24"/>
                      <w:color w:val="0000FF"/>
                    </w:rPr>
                    <w:t>4　视野范围：≥140°；</w:t>
                  </w:r>
                </w:p>
                <w:p>
                  <w:pPr>
                    <w:pStyle w:val="null3"/>
                    <w:jc w:val="both"/>
                  </w:pPr>
                  <w:r>
                    <w:rPr>
                      <w:rFonts w:ascii="仿宋_GB2312" w:hAnsi="仿宋_GB2312" w:cs="仿宋_GB2312" w:eastAsia="仿宋_GB2312"/>
                      <w:sz w:val="24"/>
                      <w:color w:val="0000FF"/>
                    </w:rPr>
                    <w:t>5　观察范围：2-100mm；</w:t>
                  </w:r>
                </w:p>
                <w:p>
                  <w:pPr>
                    <w:pStyle w:val="null3"/>
                    <w:jc w:val="both"/>
                  </w:pPr>
                  <w:r>
                    <w:rPr>
                      <w:rFonts w:ascii="仿宋_GB2312" w:hAnsi="仿宋_GB2312" w:cs="仿宋_GB2312" w:eastAsia="仿宋_GB2312"/>
                      <w:sz w:val="24"/>
                      <w:color w:val="0000FF"/>
                    </w:rPr>
                    <w:t>6　先端部直径：≤9.5mm；</w:t>
                  </w:r>
                </w:p>
                <w:p>
                  <w:pPr>
                    <w:pStyle w:val="null3"/>
                    <w:jc w:val="both"/>
                  </w:pPr>
                  <w:r>
                    <w:rPr>
                      <w:rFonts w:ascii="仿宋_GB2312" w:hAnsi="仿宋_GB2312" w:cs="仿宋_GB2312" w:eastAsia="仿宋_GB2312"/>
                      <w:sz w:val="24"/>
                      <w:color w:val="0000FF"/>
                    </w:rPr>
                    <w:t>7　弯曲部直径：≤9.5mm；</w:t>
                  </w:r>
                </w:p>
                <w:p>
                  <w:pPr>
                    <w:pStyle w:val="null3"/>
                    <w:jc w:val="both"/>
                  </w:pPr>
                  <w:r>
                    <w:rPr>
                      <w:rFonts w:ascii="仿宋_GB2312" w:hAnsi="仿宋_GB2312" w:cs="仿宋_GB2312" w:eastAsia="仿宋_GB2312"/>
                      <w:sz w:val="24"/>
                      <w:color w:val="0000FF"/>
                    </w:rPr>
                    <w:t>8　有效长度：≥1100mm；</w:t>
                  </w:r>
                </w:p>
                <w:p>
                  <w:pPr>
                    <w:pStyle w:val="null3"/>
                    <w:jc w:val="both"/>
                  </w:pPr>
                  <w:r>
                    <w:rPr>
                      <w:rFonts w:ascii="仿宋_GB2312" w:hAnsi="仿宋_GB2312" w:cs="仿宋_GB2312" w:eastAsia="仿宋_GB2312"/>
                      <w:sz w:val="24"/>
                      <w:color w:val="0000FF"/>
                    </w:rPr>
                    <w:t>9　全长：≥1400mm；</w:t>
                  </w:r>
                </w:p>
                <w:p>
                  <w:pPr>
                    <w:pStyle w:val="null3"/>
                    <w:jc w:val="both"/>
                  </w:pPr>
                  <w:r>
                    <w:rPr>
                      <w:rFonts w:ascii="仿宋_GB2312" w:hAnsi="仿宋_GB2312" w:cs="仿宋_GB2312" w:eastAsia="仿宋_GB2312"/>
                      <w:sz w:val="24"/>
                      <w:color w:val="0000FF"/>
                    </w:rPr>
                    <w:t>10　弯曲角度：上：≥210°、下：≥90°、左：≥100°、右：≥100°；</w:t>
                  </w:r>
                </w:p>
                <w:p>
                  <w:pPr>
                    <w:pStyle w:val="null3"/>
                    <w:jc w:val="both"/>
                  </w:pPr>
                  <w:r>
                    <w:rPr>
                      <w:rFonts w:ascii="仿宋_GB2312" w:hAnsi="仿宋_GB2312" w:cs="仿宋_GB2312" w:eastAsia="仿宋_GB2312"/>
                      <w:sz w:val="24"/>
                      <w:color w:val="0000FF"/>
                    </w:rPr>
                    <w:t>11　钳道直径：Ф≥2.8mm；</w:t>
                  </w:r>
                </w:p>
                <w:p>
                  <w:pPr>
                    <w:pStyle w:val="null3"/>
                    <w:jc w:val="both"/>
                  </w:pPr>
                  <w:r>
                    <w:rPr>
                      <w:rFonts w:ascii="仿宋_GB2312" w:hAnsi="仿宋_GB2312" w:cs="仿宋_GB2312" w:eastAsia="仿宋_GB2312"/>
                      <w:sz w:val="24"/>
                      <w:color w:val="0000FF"/>
                    </w:rPr>
                    <w:t>12　辅助送水功能：具有前射水功能。</w:t>
                  </w:r>
                </w:p>
                <w:p>
                  <w:pPr>
                    <w:pStyle w:val="null3"/>
                    <w:jc w:val="center"/>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品目二）电子下消化道内窥镜</w:t>
                  </w:r>
                </w:p>
                <w:p>
                  <w:pPr>
                    <w:pStyle w:val="null3"/>
                    <w:jc w:val="both"/>
                  </w:pPr>
                  <w:r>
                    <w:rPr>
                      <w:rFonts w:ascii="仿宋_GB2312" w:hAnsi="仿宋_GB2312" w:cs="仿宋_GB2312" w:eastAsia="仿宋_GB2312"/>
                      <w:sz w:val="24"/>
                      <w:b/>
                      <w:color w:val="0000FF"/>
                    </w:rPr>
                    <w:t>技术</w:t>
                  </w:r>
                  <w:r>
                    <w:rPr>
                      <w:rFonts w:ascii="仿宋_GB2312" w:hAnsi="仿宋_GB2312" w:cs="仿宋_GB2312" w:eastAsia="仿宋_GB2312"/>
                      <w:sz w:val="24"/>
                      <w:b/>
                      <w:color w:val="0000FF"/>
                    </w:rPr>
                    <w:t>要</w:t>
                  </w:r>
                  <w:r>
                    <w:rPr>
                      <w:rFonts w:ascii="仿宋_GB2312" w:hAnsi="仿宋_GB2312" w:cs="仿宋_GB2312" w:eastAsia="仿宋_GB2312"/>
                      <w:sz w:val="24"/>
                      <w:color w:val="0000FF"/>
                    </w:rPr>
                    <w:t>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0000FF"/>
                    </w:rPr>
                    <w:t>1　图像传感器：CMOS或 CCD图像传感器、兼容HDTV全高清输出；</w:t>
                  </w:r>
                </w:p>
                <w:p>
                  <w:pPr>
                    <w:pStyle w:val="null3"/>
                    <w:jc w:val="both"/>
                  </w:pPr>
                  <w:r>
                    <w:rPr>
                      <w:rFonts w:ascii="仿宋_GB2312" w:hAnsi="仿宋_GB2312" w:cs="仿宋_GB2312" w:eastAsia="仿宋_GB2312"/>
                      <w:sz w:val="24"/>
                      <w:color w:val="0000FF"/>
                    </w:rPr>
                    <w:t>2　特殊光：≥3种特殊光模式；</w:t>
                  </w:r>
                </w:p>
                <w:p>
                  <w:pPr>
                    <w:pStyle w:val="null3"/>
                    <w:jc w:val="both"/>
                  </w:pPr>
                  <w:r>
                    <w:rPr>
                      <w:rFonts w:ascii="仿宋_GB2312" w:hAnsi="仿宋_GB2312" w:cs="仿宋_GB2312" w:eastAsia="仿宋_GB2312"/>
                      <w:sz w:val="24"/>
                      <w:color w:val="0000FF"/>
                    </w:rPr>
                    <w:t>3　视野角度：0°(直视)；</w:t>
                  </w:r>
                </w:p>
                <w:p>
                  <w:pPr>
                    <w:pStyle w:val="null3"/>
                    <w:jc w:val="both"/>
                  </w:pPr>
                  <w:r>
                    <w:rPr>
                      <w:rFonts w:ascii="仿宋_GB2312" w:hAnsi="仿宋_GB2312" w:cs="仿宋_GB2312" w:eastAsia="仿宋_GB2312"/>
                      <w:sz w:val="24"/>
                      <w:color w:val="0000FF"/>
                    </w:rPr>
                    <w:t>4　视野范围：≥170°；</w:t>
                  </w:r>
                </w:p>
                <w:p>
                  <w:pPr>
                    <w:pStyle w:val="null3"/>
                    <w:jc w:val="both"/>
                  </w:pPr>
                  <w:r>
                    <w:rPr>
                      <w:rFonts w:ascii="仿宋_GB2312" w:hAnsi="仿宋_GB2312" w:cs="仿宋_GB2312" w:eastAsia="仿宋_GB2312"/>
                      <w:sz w:val="24"/>
                      <w:color w:val="0000FF"/>
                    </w:rPr>
                    <w:t>5　观察范围：2-100mm；</w:t>
                  </w:r>
                </w:p>
                <w:p>
                  <w:pPr>
                    <w:pStyle w:val="null3"/>
                    <w:jc w:val="both"/>
                  </w:pPr>
                  <w:r>
                    <w:rPr>
                      <w:rFonts w:ascii="仿宋_GB2312" w:hAnsi="仿宋_GB2312" w:cs="仿宋_GB2312" w:eastAsia="仿宋_GB2312"/>
                      <w:sz w:val="24"/>
                      <w:color w:val="0000FF"/>
                    </w:rPr>
                    <w:t>6　先端部直径：≤12mm；</w:t>
                  </w:r>
                </w:p>
                <w:p>
                  <w:pPr>
                    <w:pStyle w:val="null3"/>
                    <w:jc w:val="both"/>
                  </w:pPr>
                  <w:r>
                    <w:rPr>
                      <w:rFonts w:ascii="仿宋_GB2312" w:hAnsi="仿宋_GB2312" w:cs="仿宋_GB2312" w:eastAsia="仿宋_GB2312"/>
                      <w:sz w:val="24"/>
                      <w:color w:val="0000FF"/>
                    </w:rPr>
                    <w:t>7　弯曲部直径：≤12mm；</w:t>
                  </w:r>
                </w:p>
                <w:p>
                  <w:pPr>
                    <w:pStyle w:val="null3"/>
                    <w:jc w:val="both"/>
                  </w:pPr>
                  <w:r>
                    <w:rPr>
                      <w:rFonts w:ascii="仿宋_GB2312" w:hAnsi="仿宋_GB2312" w:cs="仿宋_GB2312" w:eastAsia="仿宋_GB2312"/>
                      <w:sz w:val="24"/>
                      <w:color w:val="0000FF"/>
                    </w:rPr>
                    <w:t>8　工作长度：≥1330mm；</w:t>
                  </w:r>
                </w:p>
                <w:p>
                  <w:pPr>
                    <w:pStyle w:val="null3"/>
                    <w:jc w:val="both"/>
                  </w:pPr>
                  <w:r>
                    <w:rPr>
                      <w:rFonts w:ascii="仿宋_GB2312" w:hAnsi="仿宋_GB2312" w:cs="仿宋_GB2312" w:eastAsia="仿宋_GB2312"/>
                      <w:sz w:val="24"/>
                      <w:color w:val="0000FF"/>
                    </w:rPr>
                    <w:t>9　全长：≥1650mm；</w:t>
                  </w:r>
                </w:p>
                <w:p>
                  <w:pPr>
                    <w:pStyle w:val="null3"/>
                    <w:jc w:val="both"/>
                  </w:pPr>
                  <w:r>
                    <w:rPr>
                      <w:rFonts w:ascii="仿宋_GB2312" w:hAnsi="仿宋_GB2312" w:cs="仿宋_GB2312" w:eastAsia="仿宋_GB2312"/>
                      <w:sz w:val="24"/>
                      <w:color w:val="0000FF"/>
                    </w:rPr>
                    <w:t>10　弯曲角度：上：≥180°、下：≥180°、左：≥160°、右：≥160°；</w:t>
                  </w:r>
                </w:p>
                <w:p>
                  <w:pPr>
                    <w:pStyle w:val="null3"/>
                    <w:jc w:val="both"/>
                  </w:pPr>
                  <w:r>
                    <w:rPr>
                      <w:rFonts w:ascii="仿宋_GB2312" w:hAnsi="仿宋_GB2312" w:cs="仿宋_GB2312" w:eastAsia="仿宋_GB2312"/>
                      <w:sz w:val="24"/>
                      <w:color w:val="0000FF"/>
                    </w:rPr>
                    <w:t>11　钳道直径：Ф≥3.8mm；</w:t>
                  </w:r>
                </w:p>
                <w:p>
                  <w:pPr>
                    <w:pStyle w:val="null3"/>
                    <w:jc w:val="both"/>
                  </w:pPr>
                  <w:r>
                    <w:rPr>
                      <w:rFonts w:ascii="仿宋_GB2312" w:hAnsi="仿宋_GB2312" w:cs="仿宋_GB2312" w:eastAsia="仿宋_GB2312"/>
                      <w:sz w:val="24"/>
                      <w:color w:val="0000FF"/>
                    </w:rPr>
                    <w:t>12　辅助送水功能：具有前射水功能；</w:t>
                  </w:r>
                </w:p>
                <w:p>
                  <w:pPr>
                    <w:pStyle w:val="null3"/>
                    <w:jc w:val="both"/>
                  </w:pPr>
                  <w:r>
                    <w:rPr>
                      <w:rFonts w:ascii="仿宋_GB2312" w:hAnsi="仿宋_GB2312" w:cs="仿宋_GB2312" w:eastAsia="仿宋_GB2312"/>
                      <w:sz w:val="24"/>
                      <w:color w:val="0000FF"/>
                    </w:rPr>
                    <w:t>13　具有硬度可调功能：≥3档可调。</w:t>
                  </w:r>
                </w:p>
              </w:tc>
            </w:tr>
          </w:tbl>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自合同签订之日起90个日历日完成全部项目内容，并交付采购方验收合格。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西安市红会医院指定地点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完成合同签订后，甲方30日内向三方共同监管账户支付合同总额的100%；乙方向甲方提供合同总额 50% 银行保函，经甲方确认同意</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全部设备到货后，经甲方确认同意</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合同全部设备安装、调试完毕，经甲方验收同意</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（一）货物到达采购方指定地点后，采购方根据合同要求，进行外观验收，确认产地、规格、型号和数量。采购方、供货商双方须在约定的时间和地点共同开箱检验。 （二）设备安装、调试、自检正常，且可正常使用后，由供货商书面通知采购方。 （三）采购方核查供货商提供的设备自检正常报告后，开始进行设备验收。设备验收合格后，填写设备验收单作为对货物的最终认可。 （四）供货商须向采购方提交货物实施过程中的所有资料，以便甲方日后管理和维护。 （五）验收依据： 1、本合同及附件文本； 2、国家相应的标准、规范； 3、单一来源采购文件、响应文件、澄清表（函）； 4、易损配件、备件报价单； 5、提供原厂免费质量保证维保文件(质保期限与合同一致）。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1.高清电子胃镜全套产品原厂质保≥1年，质保期结束后免费原厂延保≥2年（提供原厂质保函），全部软件终生免费升级； 2.电子下消化道内窥镜全套产品原厂质保≥1年，质保期结束后免费原厂延保≥2年（提供原厂质保函），全部软件终生免费升级；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一、运输 （一）运输由供应商负责，运杂费已包含在合同总价内，包括从货物供应地点所含的运输费、装卸费、仓储费、保险费等全部费用。 （二）运输方式由供应商自行选择，但必须保证按期交货。 （三）运输过程中的产品质量及风险由供应商全部承担。 二、质量保证 供应商所供货物必须执行下列条款： 保证设备技术指标先进、产品全新、质量性能可靠、进货渠道正常，配置合理，全面满足甲方要求。 （二）符合国家有关规范要求和技术标准，确保达到最佳运行状态。 （三）具有良好的外观，适合安装场所的使用。 （四）供应商为采购方提供的设备须为原厂生产全新产品，如果供应商提供产品非原厂生产全新产品，一经查实，甲方有权要求乙方更换符合单一来源采购文件所要求的全新产品，一切经济损失由乙方全部承担。 三、售后服务 （一）质保期内： 1、设备发生质量问题，在接到采购方通知后，供应商服务响应时间不超过2小时，4小时内派出专业的维修人员进行现场检测维修，解决问题不超过24小时。对问题较大、短期内不能解决的，为不影响采购方正常工作，供应商在7日内免费提供替代产品，所发生的全部费用由乙方承担。若需返厂维修，相关一切费用由供应商承担。20个工作日内仍无法修复的，需免费更换同规格、同型号原厂全新产品，更换产品所产生的相关费用均由供应商承担。质保期期内设备停机时间自动计算为免费质保延长时间。 2、供应商销售及原厂维修人员须定期寻访医院，及时解决相关设备的各种问题。保修期内保证每年不低于四次的设备维护保养工作。 （二）供应商在质保期结束前，对设备进行系统测试，全面保养维护，确保设备正常运行。 （三）质保期满后：乙方提供每年不低于四次的巡访，以保证设备正常运行。如采购方要求，供应商须提供长期的优惠有偿维修服务，并负责长期成本价供应设备所需的原厂备品、备件，提供主要易损备件报价单。设备出现的故障，供应商应提供及时、有效的技术支持和售后服务，维修更换的配件、备件质保时间为12个月，乙方保证所提供的零备件按成本价收取费用，免工时费。 （四）使用培训：设备安装调试完成后，供应商须安排原厂工程师对设备使用人员进行免费的设备安装调试及操作应用等技术培训，直至使用人员熟练掌握该设备的全部功能操作。长期提供每年不低于2次的免费理论和操作应用培训。 四、技术与服务 （一）技术资料： 1、货物合格证； 2、货物使用说明书（中文）； 3、检验测试报告(厂家出厂带就有，如厂家不带的话就没有，以合格证为主）； 4、其它资料（进口设备报关单等）。 （二）服务承诺： 1、保修期内提供完全免费服务，不收取任何费用； 2、设备所需备件充足，并保证不低于10年的供应期。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2024年的财务审计报告(包括资产负债表、利润表、现金流量表、所有者权益变动表及其附注，成立时间至提交响应文件截止时间不足一年的可提供成立后任意时段的资产负债表)，或其开标前六个月内基本账户开户行开具的银行资信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供应商提供本单位2024年08月01日至今已缴纳的任意一个月纳税证明或完税证明，依法免税的单位应提供相关证明材料；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2024年08月01日至今已缴存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协商授权代表</w:t>
            </w:r>
          </w:p>
        </w:tc>
        <w:tc>
          <w:tcPr>
            <w:tcW w:type="dxa" w:w="3322"/>
          </w:tcPr>
          <w:p>
            <w:pPr>
              <w:pStyle w:val="null3"/>
            </w:pPr>
            <w:r>
              <w:rPr>
                <w:rFonts w:ascii="仿宋_GB2312" w:hAnsi="仿宋_GB2312" w:cs="仿宋_GB2312" w:eastAsia="仿宋_GB2312"/>
              </w:rPr>
              <w:t>法定代表人参加单一来源采购会议的，应出具法定代表人证明书以及法定代表人合法有效的身份证，且应与营业执照上信息一致。法定代表人授权合法授权代表参加单一来源采购会议的，应出具法定代表人证明书、法定代表人授权书及授权代表合法有效的身份证,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投标人合法有效的相应医疗器械经营许可证或医疗器械经营备案凭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本项目不专门面向中小企业(供应商根据自身企业情况按需提供中、小企业声明函)</w:t>
            </w:r>
          </w:p>
        </w:tc>
        <w:tc>
          <w:tcPr>
            <w:tcW w:type="dxa" w:w="1661"/>
          </w:tcPr>
          <w:p>
            <w:pPr>
              <w:pStyle w:val="null3"/>
            </w:pPr>
            <w:r>
              <w:rPr>
                <w:rFonts w:ascii="仿宋_GB2312" w:hAnsi="仿宋_GB2312" w:cs="仿宋_GB2312" w:eastAsia="仿宋_GB2312"/>
              </w:rPr>
              <w:t>中小企业声明函 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本项目不接受由西安市红会医院职工及其亲属投资举办的企业参加投标</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产品技术参数表 商务应答表 标的清单 供应商应提交的相关资格证明文件.docx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协商过程中，协商小组认为供应商投标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单一来源采购文件中规定的最高预算</w:t>
            </w:r>
          </w:p>
        </w:tc>
        <w:tc>
          <w:tcPr>
            <w:tcW w:type="dxa" w:w="3322"/>
          </w:tcPr>
          <w:p>
            <w:pPr>
              <w:pStyle w:val="null3"/>
            </w:pPr>
            <w:r>
              <w:rPr>
                <w:rFonts w:ascii="仿宋_GB2312" w:hAnsi="仿宋_GB2312" w:cs="仿宋_GB2312" w:eastAsia="仿宋_GB2312"/>
              </w:rPr>
              <w:t>供应商报价不得超过单一来源采购文件中规定的最高预算</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供应商应提交的相关资格证明文件.docx 项目实施方案.docx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