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版本号：HYTF-20250806520250828001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西安市“地下一张网”数据整合项目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HYTF-202508065</w:t>
      </w:r>
      <w:r>
        <w:br/>
      </w:r>
      <w:r>
        <w:br/>
      </w:r>
      <w:r>
        <w:br/>
      </w:r>
    </w:p>
    <w:p>
      <w:pPr>
        <w:pStyle w:val="null3"/>
        <w:jc w:val="center"/>
        <w:outlineLvl w:val="5"/>
      </w:pPr>
      <w:r>
        <w:rPr>
          <w:rFonts w:ascii="仿宋_GB2312" w:hAnsi="仿宋_GB2312" w:cs="仿宋_GB2312" w:eastAsia="仿宋_GB2312"/>
          <w:sz w:val="15"/>
          <w:b/>
        </w:rPr>
        <w:t>西安市自然资源和规划局（本级）</w:t>
      </w:r>
    </w:p>
    <w:p>
      <w:pPr>
        <w:pStyle w:val="null3"/>
        <w:jc w:val="center"/>
        <w:outlineLvl w:val="5"/>
      </w:pPr>
      <w:r>
        <w:rPr>
          <w:rFonts w:ascii="仿宋_GB2312" w:hAnsi="仿宋_GB2312" w:cs="仿宋_GB2312" w:eastAsia="仿宋_GB2312"/>
          <w:sz w:val="15"/>
          <w:b/>
        </w:rPr>
        <w:t>陕西四方衡裕项目管理有限公司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2025年08月28日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陕西四方衡裕项目管理有限公司</w:t>
      </w:r>
      <w:r>
        <w:rPr>
          <w:rFonts w:ascii="仿宋_GB2312" w:hAnsi="仿宋_GB2312" w:cs="仿宋_GB2312" w:eastAsia="仿宋_GB2312"/>
        </w:rPr>
        <w:t>（以下简称“代理机构”）受</w:t>
      </w:r>
      <w:r>
        <w:rPr>
          <w:rFonts w:ascii="仿宋_GB2312" w:hAnsi="仿宋_GB2312" w:cs="仿宋_GB2312" w:eastAsia="仿宋_GB2312"/>
        </w:rPr>
        <w:t>西安市自然资源和规划局（本级）</w:t>
      </w:r>
      <w:r>
        <w:rPr>
          <w:rFonts w:ascii="仿宋_GB2312" w:hAnsi="仿宋_GB2312" w:cs="仿宋_GB2312" w:eastAsia="仿宋_GB2312"/>
        </w:rPr>
        <w:t>委托，拟对</w:t>
      </w:r>
      <w:r>
        <w:rPr>
          <w:rFonts w:ascii="仿宋_GB2312" w:hAnsi="仿宋_GB2312" w:cs="仿宋_GB2312" w:eastAsia="仿宋_GB2312"/>
        </w:rPr>
        <w:t>西安市“地下一张网”数据整合项目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HYTF-202508065</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西安市“地下一张网”数据整合项目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我国城市发展已进入由增量建设转为存量提质改造和增量结构调整并重的城市更新重要时期。《中共中央关于制定国民经济和社会发展第十四个五年规划和二〇三五年远景目标的建议》明确提出，实施城市更新行动。同时，为落实《西安市人民政府专项问题会议纪要》 (2024年第 48 次）《关于持续推进高水平自然资源管理工作服务经济社会高质量发展工作安排》（市政办发〔2024〕55号）等文件有关要求，2025年底全面完成“地下一张网”工作并定期校核、动态更新，准确掌握地下管线底数、切实提高城市安全韧性，有力支撑全市城市更新工作。 按照上述文件要求，全面摸查地下管网、地下空间、地下轨道三类十三项要素，以现有的地下管网信息管理平台为基础，统一制定“地下一张网”数据采集和分类管理标准，开展数据质检及入库，建立健全动态数据更新机制。</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1、营业执照等主体资格证明文件：提供有效存续的企业营业执照/事业单位法人证书/专业服务机构执业许可证/民办非企业单位登记证书，自然人投标的提供其身份证明。</w:t>
      </w:r>
    </w:p>
    <w:p>
      <w:pPr>
        <w:pStyle w:val="null3"/>
      </w:pPr>
      <w:r>
        <w:rPr>
          <w:rFonts w:ascii="仿宋_GB2312" w:hAnsi="仿宋_GB2312" w:cs="仿宋_GB2312" w:eastAsia="仿宋_GB2312"/>
        </w:rPr>
        <w:t>2、财务状况报告：提供2024年度经审计的完整财务报告（成立时间至提交响应文件截止时间不足一年的可提供成立后任意时段的资产负债表），或其协商前三个月内基本开户银行出具的资信证明及其基本存款账户开户许可证（无基本存款账户开户许可证可提供其基本存款账户信息证明）；（以上两种形式的资料提供任何一种即可）。</w:t>
      </w:r>
    </w:p>
    <w:p>
      <w:pPr>
        <w:pStyle w:val="null3"/>
      </w:pPr>
      <w:r>
        <w:rPr>
          <w:rFonts w:ascii="仿宋_GB2312" w:hAnsi="仿宋_GB2312" w:cs="仿宋_GB2312" w:eastAsia="仿宋_GB2312"/>
        </w:rPr>
        <w:t>3、税收缴纳证明：提供2025年2月至今已缴纳任意一个月纳税证明或税务机关开具的完税证明（时间以税款所属日期为准，凭据应有税务机关或代收机关的公章或业务专用章。）依法免税或无须缴纳税收的单位应提供相应证明文件。</w:t>
      </w:r>
    </w:p>
    <w:p>
      <w:pPr>
        <w:pStyle w:val="null3"/>
      </w:pPr>
      <w:r>
        <w:rPr>
          <w:rFonts w:ascii="仿宋_GB2312" w:hAnsi="仿宋_GB2312" w:cs="仿宋_GB2312" w:eastAsia="仿宋_GB2312"/>
        </w:rPr>
        <w:t>4、社保缴纳证明：提供2025年2月至今已缴存任意一个月社会保障资金缴存单据或社保机构开具的社会保险参保缴费证明，依法不需要缴纳社会保障资金的单位应提供相应证明文件。</w:t>
      </w:r>
    </w:p>
    <w:p>
      <w:pPr>
        <w:pStyle w:val="null3"/>
      </w:pPr>
      <w:r>
        <w:rPr>
          <w:rFonts w:ascii="仿宋_GB2312" w:hAnsi="仿宋_GB2312" w:cs="仿宋_GB2312" w:eastAsia="仿宋_GB2312"/>
        </w:rPr>
        <w:t>5、履行合同所必需的设备和专业技术能力：具备履行合同所必需的设备和专业技术能力的证明材料或书面声明。</w:t>
      </w:r>
    </w:p>
    <w:p>
      <w:pPr>
        <w:pStyle w:val="null3"/>
      </w:pPr>
      <w:r>
        <w:rPr>
          <w:rFonts w:ascii="仿宋_GB2312" w:hAnsi="仿宋_GB2312" w:cs="仿宋_GB2312" w:eastAsia="仿宋_GB2312"/>
        </w:rPr>
        <w:t>6、采购活动前三年内在经营活动中没有重大违法记录：参加政府采购活动前三年内在经营活动中没有重大违法记录的书面声明。</w:t>
      </w:r>
    </w:p>
    <w:p>
      <w:pPr>
        <w:pStyle w:val="null3"/>
      </w:pPr>
      <w:r>
        <w:rPr>
          <w:rFonts w:ascii="仿宋_GB2312" w:hAnsi="仿宋_GB2312" w:cs="仿宋_GB2312" w:eastAsia="仿宋_GB2312"/>
        </w:rPr>
        <w:t>7、法律、行政法规规定的其他条件：具备法律、行政法规规定的其他条件的证明材料。</w:t>
      </w:r>
    </w:p>
    <w:p>
      <w:pPr>
        <w:pStyle w:val="null3"/>
      </w:pPr>
      <w:r>
        <w:rPr>
          <w:rFonts w:ascii="仿宋_GB2312" w:hAnsi="仿宋_GB2312" w:cs="仿宋_GB2312" w:eastAsia="仿宋_GB2312"/>
        </w:rPr>
        <w:t>8、企业资质：供应商具备甲级测绘资质，须涵盖大地测量、工程测量、地理信息系统工程等专业。</w:t>
      </w:r>
    </w:p>
    <w:p>
      <w:pPr>
        <w:pStyle w:val="null3"/>
      </w:pPr>
      <w:r>
        <w:rPr>
          <w:rFonts w:ascii="仿宋_GB2312" w:hAnsi="仿宋_GB2312" w:cs="仿宋_GB2312" w:eastAsia="仿宋_GB2312"/>
        </w:rPr>
        <w:t>9、企业信用查询：供应商通过“信用中国”网站(www.creditchina.gov.cn)、中国政府采购网(www.ccgp.gov.cn)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供应商，采购代理机构将拒绝其参与政府采购活动。）</w:t>
      </w:r>
    </w:p>
    <w:p>
      <w:pPr>
        <w:pStyle w:val="null3"/>
      </w:pPr>
      <w:r>
        <w:rPr>
          <w:rFonts w:ascii="仿宋_GB2312" w:hAnsi="仿宋_GB2312" w:cs="仿宋_GB2312" w:eastAsia="仿宋_GB2312"/>
        </w:rPr>
        <w:t>10、法定代表人授权委托书：法定代表人直接参加协商的，须出具法人身份证，并与营业执照上信息一致。法定代表人授权代表参加协商的，须出具法定代表人授权书及授权代表身份证、授权代表本单位证明（协商前的个人养老保险缴纳证明）。 法人的分支机构参与协商时，除提供《法定代表人授权委托书》外，还须同时提供法人给分支机构出具的授权书。</w:t>
      </w:r>
    </w:p>
    <w:p>
      <w:pPr>
        <w:pStyle w:val="null3"/>
      </w:pPr>
      <w:r>
        <w:rPr>
          <w:rFonts w:ascii="仿宋_GB2312" w:hAnsi="仿宋_GB2312" w:cs="仿宋_GB2312" w:eastAsia="仿宋_GB2312"/>
        </w:rPr>
        <w:t>11、本项目不接受联合体投标，不允许分包：本项目不接受联合体投标，不允许分包。供应商提供《非联合体不分包投标声明》，视为独立投标，不分包。</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西安市自然资源和规划局（本级）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张凡</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029-86787036</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陕西四方衡裕项目管理有限公司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西安市高新区沣惠路16号泰华金贸国际8号楼28层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王维、赵维</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029-89284433-603</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采购包1：8,552,700.00元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采购包1：8,552,700.00元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取费基数，采购代理服务费参照《国家计委关于印发&lt;招标代理服务收费管理暂行办法&gt;的通知》（计价格[2002]1980号）文件和《国家发展改革委关于降低部分建设项目收费标准规范收费行为等有关问题的通知》（发改办价格[2011]534号）文件规定的标准收取。 代理服务费缴纳账户信息： 银行户名：陕西四方衡裕项目管理有限公司 开户银行：兴业银行股份有限公司西安锦业路支行 账号：456700100100008334 联系人：蔡月茹 方淑丽 联系电话：029-89284433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西安市自然资源和规划局（本级）</w:t>
      </w:r>
      <w:r>
        <w:rPr>
          <w:rFonts w:ascii="仿宋_GB2312" w:hAnsi="仿宋_GB2312" w:cs="仿宋_GB2312" w:eastAsia="仿宋_GB2312"/>
        </w:rPr>
        <w:t>和</w:t>
      </w:r>
      <w:r>
        <w:rPr>
          <w:rFonts w:ascii="仿宋_GB2312" w:hAnsi="仿宋_GB2312" w:cs="仿宋_GB2312" w:eastAsia="仿宋_GB2312"/>
        </w:rPr>
        <w:t>陕西四方衡裕项目管理有限公司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陕西四方衡裕项目管理有限公司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西安市自然资源和规划局（本级）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陕西四方衡裕项目管理有限公司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成交供应商提交项目所有的成果报告后，由采购人和成交供应商共同对项目进行整体验收。其内容包括是否按照采购人要求进行服务、是否在规定时间内服务完毕。 其他事项： 1、验收合格后，填写政府采购项目验收单作为对本服务的最终认可。 2、服务商向采购人提供服务过程中的所有资料,以便采购人日后管理。 3、验收依据 3.1单一来源采购文件、响应文件、澄清表（函）； 3.2本合同及附件文本； 3.3国家相应的标准、规范。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陕西四方衡裕项目管理有限公司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陕西四方衡裕项目管理有限公司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陕西四方衡裕项目管理有限公司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我国城市发展已进入由增量建设转为存量提质改造和增量结构调整并重的城市更新重要时期。《中共中央关于制定国民经济和社会发展第十四个五年规划和二〇三五年远景目标的建议》明确提出，实施城市更新行动。同时，为落实《西安市人民政府专项问题会议纪要》 (2024年第 48 次）《关于持续推进高水平自然资源管理工作服务经济社会高质量发展工作安排》（市政办发〔2024〕55号）等文件有关要求，2025年底全面完成“地下一张网”工作并定期校核、动态更新，准确掌握地下管线底数、切实提高城市安全韧性，有力支撑全市城市更新工作。 按照上述文件要求，全面摸查地下管网、地下空间、地下轨道三类十三项要素，以现有的地下管网信息管理平台为基础，统一制定“地下一张网”数据采集和分类管理标准，开展数据质检及入库，建立健全动态数据更新机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8,552,700.00</w:t>
      </w:r>
    </w:p>
    <w:p>
      <w:pPr>
        <w:pStyle w:val="null3"/>
      </w:pPr>
      <w:r>
        <w:rPr>
          <w:rFonts w:ascii="仿宋_GB2312" w:hAnsi="仿宋_GB2312" w:cs="仿宋_GB2312" w:eastAsia="仿宋_GB2312"/>
        </w:rPr>
        <w:t>采购包最高限价（元）: 8,552,700.00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西安市“地下一张网”数据整合项目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8,552,700.00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标的名称：西安市“地下一张网”数据整合项目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color w:val="2E75B5"/>
                <w:shd w:fill="FFFFFF" w:val="clear"/>
              </w:rPr>
              <w:t>一、项目概况。</w:t>
            </w:r>
          </w:p>
          <w:p>
            <w:pPr>
              <w:pStyle w:val="null3"/>
              <w:ind w:firstLine="480"/>
              <w:jc w:val="both"/>
            </w:pPr>
            <w:r>
              <w:rPr>
                <w:rFonts w:ascii="仿宋_GB2312" w:hAnsi="仿宋_GB2312" w:cs="仿宋_GB2312" w:eastAsia="仿宋_GB2312"/>
                <w:sz w:val="24"/>
                <w:color w:val="2E75B5"/>
                <w:shd w:fill="FFFFFF" w:val="clear"/>
              </w:rPr>
              <w:t xml:space="preserve">我国城市发展已进入由增量建设转为存量提质改造和增量结构调整并重的城市更新重要时期。《中共中央关于制定国民经济和社会发展第十四个五年规划和二〇三五年远景目标的建议》明确提出，实施城市更新行动。同时，为落实《西安市人民政府专项问题会议纪要》 </w:t>
            </w:r>
            <w:r>
              <w:rPr>
                <w:rFonts w:ascii="仿宋_GB2312" w:hAnsi="仿宋_GB2312" w:cs="仿宋_GB2312" w:eastAsia="仿宋_GB2312"/>
                <w:sz w:val="24"/>
                <w:color w:val="2E75B5"/>
                <w:shd w:fill="FFFFFF" w:val="clear"/>
              </w:rPr>
              <w:t>(2024</w:t>
            </w:r>
            <w:r>
              <w:rPr>
                <w:rFonts w:ascii="仿宋_GB2312" w:hAnsi="仿宋_GB2312" w:cs="仿宋_GB2312" w:eastAsia="仿宋_GB2312"/>
                <w:sz w:val="24"/>
                <w:color w:val="2E75B5"/>
                <w:shd w:fill="FFFFFF" w:val="clear"/>
              </w:rPr>
              <w:t xml:space="preserve">年第 </w:t>
            </w:r>
            <w:r>
              <w:rPr>
                <w:rFonts w:ascii="仿宋_GB2312" w:hAnsi="仿宋_GB2312" w:cs="仿宋_GB2312" w:eastAsia="仿宋_GB2312"/>
                <w:sz w:val="24"/>
                <w:color w:val="2E75B5"/>
                <w:shd w:fill="FFFFFF" w:val="clear"/>
              </w:rPr>
              <w:t xml:space="preserve">48 </w:t>
            </w:r>
            <w:r>
              <w:rPr>
                <w:rFonts w:ascii="仿宋_GB2312" w:hAnsi="仿宋_GB2312" w:cs="仿宋_GB2312" w:eastAsia="仿宋_GB2312"/>
                <w:sz w:val="24"/>
                <w:color w:val="2E75B5"/>
                <w:shd w:fill="FFFFFF" w:val="clear"/>
              </w:rPr>
              <w:t>次）《关于持续推进高水平自然资源管理工作服务经济社会高质量发展工作安排》（市政办发〔</w:t>
            </w:r>
            <w:r>
              <w:rPr>
                <w:rFonts w:ascii="仿宋_GB2312" w:hAnsi="仿宋_GB2312" w:cs="仿宋_GB2312" w:eastAsia="仿宋_GB2312"/>
                <w:sz w:val="24"/>
                <w:color w:val="2E75B5"/>
                <w:shd w:fill="FFFFFF" w:val="clear"/>
              </w:rPr>
              <w:t>2024</w:t>
            </w:r>
            <w:r>
              <w:rPr>
                <w:rFonts w:ascii="仿宋_GB2312" w:hAnsi="仿宋_GB2312" w:cs="仿宋_GB2312" w:eastAsia="仿宋_GB2312"/>
                <w:sz w:val="24"/>
                <w:color w:val="2E75B5"/>
                <w:shd w:fill="FFFFFF" w:val="clear"/>
              </w:rPr>
              <w:t>〕</w:t>
            </w:r>
            <w:r>
              <w:rPr>
                <w:rFonts w:ascii="仿宋_GB2312" w:hAnsi="仿宋_GB2312" w:cs="仿宋_GB2312" w:eastAsia="仿宋_GB2312"/>
                <w:sz w:val="24"/>
                <w:color w:val="2E75B5"/>
                <w:shd w:fill="FFFFFF" w:val="clear"/>
              </w:rPr>
              <w:t>55</w:t>
            </w:r>
            <w:r>
              <w:rPr>
                <w:rFonts w:ascii="仿宋_GB2312" w:hAnsi="仿宋_GB2312" w:cs="仿宋_GB2312" w:eastAsia="仿宋_GB2312"/>
                <w:sz w:val="24"/>
                <w:color w:val="2E75B5"/>
                <w:shd w:fill="FFFFFF" w:val="clear"/>
              </w:rPr>
              <w:t>号）等文件有关要求，</w:t>
            </w:r>
            <w:r>
              <w:rPr>
                <w:rFonts w:ascii="仿宋_GB2312" w:hAnsi="仿宋_GB2312" w:cs="仿宋_GB2312" w:eastAsia="仿宋_GB2312"/>
                <w:sz w:val="24"/>
                <w:color w:val="2E75B5"/>
                <w:shd w:fill="FFFFFF" w:val="clear"/>
              </w:rPr>
              <w:t>2025</w:t>
            </w:r>
            <w:r>
              <w:rPr>
                <w:rFonts w:ascii="仿宋_GB2312" w:hAnsi="仿宋_GB2312" w:cs="仿宋_GB2312" w:eastAsia="仿宋_GB2312"/>
                <w:sz w:val="24"/>
                <w:color w:val="2E75B5"/>
                <w:shd w:fill="FFFFFF" w:val="clear"/>
              </w:rPr>
              <w:t>年底全面完成“地下一张网”工作并定期校核、动态更新，准确掌握地下管线底数、切实提高城市安全韧性，有力支撑全市城市更新工作。</w:t>
            </w:r>
          </w:p>
          <w:p>
            <w:pPr>
              <w:pStyle w:val="null3"/>
              <w:jc w:val="both"/>
            </w:pPr>
            <w:r>
              <w:rPr>
                <w:rFonts w:ascii="仿宋_GB2312" w:hAnsi="仿宋_GB2312" w:cs="仿宋_GB2312" w:eastAsia="仿宋_GB2312"/>
                <w:sz w:val="21"/>
                <w:color w:val="2E75B5"/>
                <w:shd w:fill="FFFFFF" w:val="clear"/>
              </w:rPr>
              <w:t>按照上述文件要求，全面摸查地下管网、地下空间、地下轨道三类十三项要素，以现有的地下管网信息管理平台为基础，统一制定“地下一张网”数据采集和分类管理标准，开展数据质检及入库，建立健全动态数据更新机制。</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color w:val="2E75B5"/>
                <w:shd w:fill="FFFFFF" w:val="clear"/>
              </w:rPr>
              <w:t>二、服务内容。</w:t>
            </w:r>
          </w:p>
          <w:p>
            <w:pPr>
              <w:pStyle w:val="null3"/>
              <w:ind w:firstLine="480"/>
              <w:jc w:val="both"/>
            </w:pPr>
            <w:r>
              <w:rPr>
                <w:rFonts w:ascii="仿宋_GB2312" w:hAnsi="仿宋_GB2312" w:cs="仿宋_GB2312" w:eastAsia="仿宋_GB2312"/>
                <w:sz w:val="24"/>
                <w:color w:val="2E75B5"/>
                <w:shd w:fill="FFFFFF" w:val="clear"/>
              </w:rPr>
              <w:t>归集市发改委、市水务局、市住建局、市城管执法局、市国动办等各行业管理部门汇交的全市各类管线以及其他地下数据要素，完成相关数据标准制定，完成归集汇交数据质检、清洗工作，完成数据标准化归集治理工作，完成二、三维管线数据模型生产工作，形成“地下一张网”数据成果，并开展常态化数据维护工作。</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4"/>
                <w:color w:val="2E75B5"/>
                <w:shd w:fill="FFFFFF" w:val="clear"/>
              </w:rPr>
              <w:t>三、技术要求。</w:t>
            </w:r>
          </w:p>
          <w:p>
            <w:pPr>
              <w:pStyle w:val="null3"/>
              <w:ind w:firstLine="480"/>
              <w:jc w:val="both"/>
            </w:pPr>
            <w:r>
              <w:rPr>
                <w:rFonts w:ascii="仿宋_GB2312" w:hAnsi="仿宋_GB2312" w:cs="仿宋_GB2312" w:eastAsia="仿宋_GB2312"/>
                <w:sz w:val="24"/>
                <w:color w:val="2E75B5"/>
                <w:shd w:fill="FFFFFF" w:val="clear"/>
              </w:rPr>
              <w:t>项目供应商需要具有基础测绘体系建设、平台运营维护、数据安全保障等方面人才队伍，具有成熟的地下管线数据基础、技术优势和技术力量。</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4"/>
                <w:color w:val="2E75B5"/>
                <w:shd w:fill="FFFFFF" w:val="clear"/>
              </w:rPr>
              <w:t>四、服务要求。</w:t>
            </w:r>
          </w:p>
          <w:p>
            <w:pPr>
              <w:pStyle w:val="null3"/>
              <w:ind w:firstLine="480"/>
              <w:jc w:val="both"/>
            </w:pPr>
            <w:r>
              <w:rPr>
                <w:rFonts w:ascii="仿宋_GB2312" w:hAnsi="仿宋_GB2312" w:cs="仿宋_GB2312" w:eastAsia="仿宋_GB2312"/>
                <w:sz w:val="24"/>
                <w:color w:val="2E75B5"/>
                <w:shd w:fill="FFFFFF" w:val="clear"/>
              </w:rPr>
              <w:t>在项目服务期间，服务人员应具备相关地下管线测绘、数据平台开发维护等工作经验。</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4"/>
                <w:color w:val="2E75B5"/>
                <w:shd w:fill="FFFFFF" w:val="clear"/>
              </w:rPr>
              <w:t>五、其他要求。</w:t>
            </w:r>
          </w:p>
          <w:p>
            <w:pPr>
              <w:pStyle w:val="null3"/>
              <w:jc w:val="both"/>
            </w:pPr>
            <w:r>
              <w:rPr>
                <w:rFonts w:ascii="仿宋_GB2312" w:hAnsi="仿宋_GB2312" w:cs="仿宋_GB2312" w:eastAsia="仿宋_GB2312"/>
                <w:sz w:val="24"/>
                <w:color w:val="2E75B5"/>
                <w:shd w:fill="FFFFFF" w:val="clear"/>
              </w:rPr>
              <w:t>（一）对服务商的业绩要求</w:t>
            </w:r>
          </w:p>
          <w:p>
            <w:pPr>
              <w:pStyle w:val="null3"/>
              <w:ind w:firstLine="480"/>
              <w:jc w:val="both"/>
            </w:pPr>
            <w:r>
              <w:rPr>
                <w:rFonts w:ascii="仿宋_GB2312" w:hAnsi="仿宋_GB2312" w:cs="仿宋_GB2312" w:eastAsia="仿宋_GB2312"/>
                <w:sz w:val="24"/>
                <w:color w:val="2E75B5"/>
                <w:shd w:fill="FFFFFF" w:val="clear"/>
              </w:rPr>
              <w:t>参加政府采购的供应商应提供相关项目业绩情况。</w:t>
            </w:r>
          </w:p>
          <w:p>
            <w:pPr>
              <w:pStyle w:val="null3"/>
              <w:jc w:val="both"/>
            </w:pPr>
            <w:r>
              <w:rPr>
                <w:rFonts w:ascii="仿宋_GB2312" w:hAnsi="仿宋_GB2312" w:cs="仿宋_GB2312" w:eastAsia="仿宋_GB2312"/>
                <w:sz w:val="24"/>
                <w:color w:val="2E75B5"/>
                <w:shd w:fill="FFFFFF" w:val="clear"/>
              </w:rPr>
              <w:t>（二）进度要求</w:t>
            </w:r>
          </w:p>
          <w:p>
            <w:pPr>
              <w:pStyle w:val="null3"/>
              <w:ind w:firstLine="480"/>
              <w:jc w:val="both"/>
            </w:pPr>
            <w:r>
              <w:rPr>
                <w:rFonts w:ascii="仿宋_GB2312" w:hAnsi="仿宋_GB2312" w:cs="仿宋_GB2312" w:eastAsia="仿宋_GB2312"/>
                <w:sz w:val="24"/>
                <w:color w:val="2E75B5"/>
                <w:shd w:fill="FFFFFF" w:val="clear"/>
              </w:rPr>
              <w:t>2025</w:t>
            </w:r>
            <w:r>
              <w:rPr>
                <w:rFonts w:ascii="仿宋_GB2312" w:hAnsi="仿宋_GB2312" w:cs="仿宋_GB2312" w:eastAsia="仿宋_GB2312"/>
                <w:sz w:val="24"/>
                <w:color w:val="2E75B5"/>
                <w:shd w:fill="FFFFFF" w:val="clear"/>
              </w:rPr>
              <w:t>年年底完成归集汇交数据的质检、清洗工作，完成数据标准化归集治理工作，完成二、三维管线数据模型生产工作，形成“地下一张网”数据成果。</w:t>
            </w:r>
          </w:p>
          <w:p>
            <w:pPr>
              <w:pStyle w:val="null3"/>
              <w:jc w:val="both"/>
            </w:pPr>
            <w:r>
              <w:rPr>
                <w:rFonts w:ascii="仿宋_GB2312" w:hAnsi="仿宋_GB2312" w:cs="仿宋_GB2312" w:eastAsia="仿宋_GB2312"/>
                <w:sz w:val="24"/>
                <w:color w:val="2E75B5"/>
                <w:shd w:fill="FFFFFF" w:val="clear"/>
              </w:rPr>
              <w:t>（三）成果交付要求</w:t>
            </w:r>
          </w:p>
          <w:p>
            <w:pPr>
              <w:pStyle w:val="null3"/>
              <w:ind w:firstLine="480"/>
              <w:jc w:val="both"/>
            </w:pPr>
            <w:r>
              <w:rPr>
                <w:rFonts w:ascii="仿宋_GB2312" w:hAnsi="仿宋_GB2312" w:cs="仿宋_GB2312" w:eastAsia="仿宋_GB2312"/>
                <w:sz w:val="24"/>
                <w:color w:val="2E75B5"/>
                <w:shd w:fill="FFFFFF" w:val="clear"/>
              </w:rPr>
              <w:t>地下管网数据质检管线长度≥</w:t>
            </w:r>
            <w:r>
              <w:rPr>
                <w:rFonts w:ascii="仿宋_GB2312" w:hAnsi="仿宋_GB2312" w:cs="仿宋_GB2312" w:eastAsia="仿宋_GB2312"/>
                <w:sz w:val="24"/>
                <w:color w:val="2E75B5"/>
                <w:shd w:fill="FFFFFF" w:val="clear"/>
              </w:rPr>
              <w:t>14800</w:t>
            </w:r>
            <w:r>
              <w:rPr>
                <w:rFonts w:ascii="仿宋_GB2312" w:hAnsi="仿宋_GB2312" w:cs="仿宋_GB2312" w:eastAsia="仿宋_GB2312"/>
                <w:sz w:val="24"/>
                <w:color w:val="2E75B5"/>
                <w:shd w:fill="FFFFFF" w:val="clear"/>
              </w:rPr>
              <w:t>公里；二维地下一张网数据治理建设管线长度≥</w:t>
            </w:r>
            <w:r>
              <w:rPr>
                <w:rFonts w:ascii="仿宋_GB2312" w:hAnsi="仿宋_GB2312" w:cs="仿宋_GB2312" w:eastAsia="仿宋_GB2312"/>
                <w:sz w:val="24"/>
                <w:color w:val="2E75B5"/>
                <w:shd w:fill="FFFFFF" w:val="clear"/>
              </w:rPr>
              <w:t>14800</w:t>
            </w:r>
            <w:r>
              <w:rPr>
                <w:rFonts w:ascii="仿宋_GB2312" w:hAnsi="仿宋_GB2312" w:cs="仿宋_GB2312" w:eastAsia="仿宋_GB2312"/>
                <w:sz w:val="24"/>
                <w:color w:val="2E75B5"/>
                <w:shd w:fill="FFFFFF" w:val="clear"/>
              </w:rPr>
              <w:t>公里；三维地下一张网数据模型建设管线长度≥</w:t>
            </w:r>
            <w:r>
              <w:rPr>
                <w:rFonts w:ascii="仿宋_GB2312" w:hAnsi="仿宋_GB2312" w:cs="仿宋_GB2312" w:eastAsia="仿宋_GB2312"/>
                <w:sz w:val="24"/>
                <w:color w:val="2E75B5"/>
                <w:shd w:fill="FFFFFF" w:val="clear"/>
              </w:rPr>
              <w:t>14800</w:t>
            </w:r>
            <w:r>
              <w:rPr>
                <w:rFonts w:ascii="仿宋_GB2312" w:hAnsi="仿宋_GB2312" w:cs="仿宋_GB2312" w:eastAsia="仿宋_GB2312"/>
                <w:sz w:val="24"/>
                <w:color w:val="2E75B5"/>
                <w:shd w:fill="FFFFFF" w:val="clear"/>
              </w:rPr>
              <w:t>公里。形成</w:t>
            </w:r>
            <w:r>
              <w:rPr>
                <w:rFonts w:ascii="仿宋_GB2312" w:hAnsi="仿宋_GB2312" w:cs="仿宋_GB2312" w:eastAsia="仿宋_GB2312"/>
                <w:sz w:val="24"/>
                <w:color w:val="2E75B5"/>
                <w:shd w:fill="FFFFFF" w:val="clear"/>
              </w:rPr>
              <w:t>1</w:t>
            </w:r>
            <w:r>
              <w:rPr>
                <w:rFonts w:ascii="仿宋_GB2312" w:hAnsi="仿宋_GB2312" w:cs="仿宋_GB2312" w:eastAsia="仿宋_GB2312"/>
                <w:sz w:val="24"/>
                <w:color w:val="2E75B5"/>
                <w:shd w:fill="FFFFFF" w:val="clear"/>
              </w:rPr>
              <w:t>套“地下一张网”数据库。</w:t>
            </w:r>
          </w:p>
          <w:p>
            <w:pPr>
              <w:pStyle w:val="null3"/>
              <w:jc w:val="both"/>
            </w:pPr>
            <w:r>
              <w:rPr>
                <w:rFonts w:ascii="仿宋_GB2312" w:hAnsi="仿宋_GB2312" w:cs="仿宋_GB2312" w:eastAsia="仿宋_GB2312"/>
                <w:sz w:val="24"/>
                <w:color w:val="2E75B5"/>
                <w:shd w:fill="FFFFFF" w:val="clear"/>
              </w:rPr>
              <w:t>（四）质量验收标准或规范</w:t>
            </w:r>
          </w:p>
          <w:p>
            <w:pPr>
              <w:pStyle w:val="null3"/>
              <w:ind w:firstLine="480"/>
              <w:jc w:val="both"/>
            </w:pPr>
            <w:r>
              <w:rPr>
                <w:rFonts w:ascii="仿宋_GB2312" w:hAnsi="仿宋_GB2312" w:cs="仿宋_GB2312" w:eastAsia="仿宋_GB2312"/>
                <w:sz w:val="24"/>
                <w:color w:val="2E75B5"/>
                <w:shd w:fill="FFFFFF" w:val="clear"/>
              </w:rPr>
              <w:t>1.</w:t>
            </w:r>
            <w:r>
              <w:rPr>
                <w:rFonts w:ascii="仿宋_GB2312" w:hAnsi="仿宋_GB2312" w:cs="仿宋_GB2312" w:eastAsia="仿宋_GB2312"/>
                <w:sz w:val="24"/>
                <w:color w:val="2E75B5"/>
                <w:shd w:fill="FFFFFF" w:val="clear"/>
              </w:rPr>
              <w:t>成果满足国家、省市行业标准规范，落实市政府和行业主管部门对数据标准、动态更新、成果应用等方面的具体要求，达到相关行业专家验收要求。</w:t>
            </w:r>
          </w:p>
          <w:p>
            <w:pPr>
              <w:pStyle w:val="null3"/>
              <w:jc w:val="both"/>
            </w:pPr>
            <w:r>
              <w:rPr>
                <w:rFonts w:ascii="仿宋_GB2312" w:hAnsi="仿宋_GB2312" w:cs="仿宋_GB2312" w:eastAsia="仿宋_GB2312"/>
                <w:sz w:val="21"/>
                <w:color w:val="2E75B5"/>
                <w:shd w:fill="FFFFFF" w:val="clear"/>
              </w:rPr>
              <w:t>2.</w:t>
            </w:r>
            <w:r>
              <w:rPr>
                <w:rFonts w:ascii="仿宋_GB2312" w:hAnsi="仿宋_GB2312" w:cs="仿宋_GB2312" w:eastAsia="仿宋_GB2312"/>
                <w:sz w:val="21"/>
                <w:color w:val="2E75B5"/>
                <w:shd w:fill="FFFFFF" w:val="clear"/>
              </w:rPr>
              <w:t>满足《西安市人民政府专项问题会议纪要》（</w:t>
            </w:r>
            <w:r>
              <w:rPr>
                <w:rFonts w:ascii="仿宋_GB2312" w:hAnsi="仿宋_GB2312" w:cs="仿宋_GB2312" w:eastAsia="仿宋_GB2312"/>
                <w:sz w:val="21"/>
                <w:color w:val="2E75B5"/>
                <w:shd w:fill="FFFFFF" w:val="clear"/>
              </w:rPr>
              <w:t>2024</w:t>
            </w:r>
            <w:r>
              <w:rPr>
                <w:rFonts w:ascii="仿宋_GB2312" w:hAnsi="仿宋_GB2312" w:cs="仿宋_GB2312" w:eastAsia="仿宋_GB2312"/>
                <w:sz w:val="21"/>
                <w:color w:val="2E75B5"/>
                <w:shd w:fill="FFFFFF" w:val="clear"/>
              </w:rPr>
              <w:t>年第</w:t>
            </w:r>
            <w:r>
              <w:rPr>
                <w:rFonts w:ascii="仿宋_GB2312" w:hAnsi="仿宋_GB2312" w:cs="仿宋_GB2312" w:eastAsia="仿宋_GB2312"/>
                <w:sz w:val="21"/>
                <w:color w:val="2E75B5"/>
                <w:shd w:fill="FFFFFF" w:val="clear"/>
              </w:rPr>
              <w:t>48</w:t>
            </w:r>
            <w:r>
              <w:rPr>
                <w:rFonts w:ascii="仿宋_GB2312" w:hAnsi="仿宋_GB2312" w:cs="仿宋_GB2312" w:eastAsia="仿宋_GB2312"/>
                <w:sz w:val="21"/>
                <w:color w:val="2E75B5"/>
                <w:shd w:fill="FFFFFF" w:val="clear"/>
              </w:rPr>
              <w:t>号）和《关于持续推进高水平规划资源管理促进经济社会高质量发展工作安排》（市政办发〔</w:t>
            </w:r>
            <w:r>
              <w:rPr>
                <w:rFonts w:ascii="仿宋_GB2312" w:hAnsi="仿宋_GB2312" w:cs="仿宋_GB2312" w:eastAsia="仿宋_GB2312"/>
                <w:sz w:val="21"/>
                <w:color w:val="2E75B5"/>
                <w:shd w:fill="FFFFFF" w:val="clear"/>
              </w:rPr>
              <w:t>2024</w:t>
            </w:r>
            <w:r>
              <w:rPr>
                <w:rFonts w:ascii="仿宋_GB2312" w:hAnsi="仿宋_GB2312" w:cs="仿宋_GB2312" w:eastAsia="仿宋_GB2312"/>
                <w:sz w:val="21"/>
                <w:color w:val="2E75B5"/>
                <w:shd w:fill="FFFFFF" w:val="clear"/>
              </w:rPr>
              <w:t>〕</w:t>
            </w:r>
            <w:r>
              <w:rPr>
                <w:rFonts w:ascii="仿宋_GB2312" w:hAnsi="仿宋_GB2312" w:cs="仿宋_GB2312" w:eastAsia="仿宋_GB2312"/>
                <w:sz w:val="21"/>
                <w:color w:val="2E75B5"/>
                <w:shd w:fill="FFFFFF" w:val="clear"/>
              </w:rPr>
              <w:t>55</w:t>
            </w:r>
            <w:r>
              <w:rPr>
                <w:rFonts w:ascii="仿宋_GB2312" w:hAnsi="仿宋_GB2312" w:cs="仿宋_GB2312" w:eastAsia="仿宋_GB2312"/>
                <w:sz w:val="21"/>
                <w:color w:val="2E75B5"/>
                <w:shd w:fill="FFFFFF" w:val="clear"/>
              </w:rPr>
              <w:t>号）有关工作要求。</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服务期限：自合同签订之日起至项目最终成果通过验收止。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第一阶段合同签订后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第二阶段完成2025年数据质检、数据治理、三维模型生产等工作，形成“地下一张网”成果并提交后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第三阶段完成项目最终成果并通过项目验收后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验收依据：单一来源采购文件、响应文件、澄清表（函）； 本合同及附件文本；国家相应的标准、规范。</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违约责任：按照《民法典》中关于违约责任的相关条款。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采购内容“西安市“地下一张网”数据整合项目”对应的中小企业划分标准所属行业为：其他未列明行业。2、供应商需要在线提交所有通过电子化交易平台实施的政府采购项目的响应文件，成交供应商在成交结果公示后线下递交纸质响应文件正本壹份、副本壹份，递交文件地点：西安市高新区沣惠路16号泰华金贸国际8号楼28层。3、各供应商应根据“陕西省财政厅 陕财办采函[2023]14号文”陕西省财政厅关于省级预算单位全面推行政府采购项目电子化交易的通知”、《政府采购项目电子化交易规则》等文件的要求，做好人员配备、设施设备、系统操作的相应准备，熟悉并正确实施相关操作流程，承担由于操作或其他因素造成的不利后果。</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备注：提供2024年度经审计的完整财务报告（成立时间至提交响应文件截止时间不足一年的可提供成立后任意时段的资产负债表），或其协商前三个月内基本开户银行出具的资信证明及其基本存款账户开户许可证（无基本存款账户开户许可证可提供其基本存款账户信息证明）；（以上两种形式的资料提供任何一种即可））</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提供有效存续的企业营业执照/事业单位法人证书/专业服务机构执业许可证/民办非企业单位登记证书，自然人投标的提供其身份证明。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完整财务报告（成立时间至提交响应文件截止时间不足一年的可提供成立后任意时段的资产负债表），或其协商前三个月内基本开户银行出具的资信证明及其基本存款账户开户许可证（无基本存款账户开户许可证可提供其基本存款账户信息证明）；（以上两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提供2025年2月至今已缴纳任意一个月纳税证明或税务机关开具的完税证明（时间以税款所属日期为准，凭据应有税务机关或代收机关的公章或业务专用章。）依法免税或无须缴纳税收的单位应提供相应证明文件。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提供2025年2月至今已缴存任意一个月社会保障资金缴存单据或社保机构开具的社会保险参保缴费证明，依法不需要缴纳社会保障资金的单位应提供相应证明文件。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具备履行合同所必需的设备和专业技术能力的证明材料或书面声明。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采购活动前三年内在经营活动中没有重大违法记录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法律、行政法规规定的其他条件</w:t>
            </w:r>
          </w:p>
        </w:tc>
        <w:tc>
          <w:tcPr>
            <w:tcW w:type="dxa" w:w="3322"/>
          </w:tcPr>
          <w:p>
            <w:pPr>
              <w:pStyle w:val="null3"/>
            </w:pPr>
            <w:r>
              <w:rPr>
                <w:rFonts w:ascii="仿宋_GB2312" w:hAnsi="仿宋_GB2312" w:cs="仿宋_GB2312" w:eastAsia="仿宋_GB2312"/>
              </w:rPr>
              <w:t>具备法律、行政法规规定的其他条件的证明材料。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供应商具备甲级测绘资质，须涵盖大地测量、工程测量、地理信息系统工程等专业。</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企业信用查询</w:t>
            </w:r>
          </w:p>
        </w:tc>
        <w:tc>
          <w:tcPr>
            <w:tcW w:type="dxa" w:w="3322"/>
          </w:tcPr>
          <w:p>
            <w:pPr>
              <w:pStyle w:val="null3"/>
            </w:pPr>
            <w:r>
              <w:rPr>
                <w:rFonts w:ascii="仿宋_GB2312" w:hAnsi="仿宋_GB2312" w:cs="仿宋_GB2312" w:eastAsia="仿宋_GB2312"/>
              </w:rPr>
              <w:t>供应商通过“信用中国”网站(www.creditchina.gov.cn)、中国政府采购网(www.ccgp.gov.cn)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供应商，采购代理机构将拒绝其参与政府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协商的，须出具法人身份证，并与营业执照上信息一致。法定代表人授权代表参加协商的，须出具法定代表人授权书及授权代表身份证、授权代表本单位证明（协商前的个人养老保险缴纳证明）。 法人的分支机构参与协商时，除提供《法定代表人授权委托书》外，还须同时提供法人给分支机构出具的授权书。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本项目不接受联合体投标，不允许分包。供应商提供《非联合体不分包投标声明》，视为独立投标，不分包。</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按照采购文件规定要求签署、盖章（备注：凡要求法定代表人签字或盖章之处，非法人单位负责人可参照执行）</w:t>
            </w:r>
          </w:p>
        </w:tc>
        <w:tc>
          <w:tcPr>
            <w:tcW w:type="dxa" w:w="1661"/>
          </w:tcPr>
          <w:p>
            <w:pPr>
              <w:pStyle w:val="null3"/>
            </w:pPr>
            <w:r>
              <w:rPr>
                <w:rFonts w:ascii="仿宋_GB2312" w:hAnsi="仿宋_GB2312" w:cs="仿宋_GB2312" w:eastAsia="仿宋_GB2312"/>
              </w:rPr>
              <w:t>响应文件封面 服务响应方案及供应商认为有必要说明的其他资料.docx 中小企业声明函 残疾人福利性单位声明函 偏离表.docx 标的清单 报价表 响应函 供应商承诺书.docx 资格证明文件.docx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报价唯一、有效</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对采购文件响应程度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应满足采购文件中要求的服务期限</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响应有效期满足采购文件要求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满足本采购文件中的实质性条款（服务期限、付款方式）要求</w:t>
            </w:r>
          </w:p>
        </w:tc>
        <w:tc>
          <w:tcPr>
            <w:tcW w:type="dxa" w:w="1661"/>
          </w:tcPr>
          <w:p>
            <w:pPr>
              <w:pStyle w:val="null3"/>
            </w:pPr>
            <w:r>
              <w:rPr>
                <w:rFonts w:ascii="仿宋_GB2312" w:hAnsi="仿宋_GB2312" w:cs="仿宋_GB2312" w:eastAsia="仿宋_GB2312"/>
              </w:rPr>
              <w:t>偏离表.docx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无法律、规章、规范性文件和采购文件规定的其他无效情形</w:t>
            </w:r>
          </w:p>
        </w:tc>
        <w:tc>
          <w:tcPr>
            <w:tcW w:type="dxa" w:w="1661"/>
          </w:tcPr>
          <w:p>
            <w:pPr>
              <w:pStyle w:val="null3"/>
            </w:pPr>
            <w:r>
              <w:rPr>
                <w:rFonts w:ascii="仿宋_GB2312" w:hAnsi="仿宋_GB2312" w:cs="仿宋_GB2312" w:eastAsia="仿宋_GB2312"/>
              </w:rPr>
              <w:t>响应文件封面 服务响应方案及供应商认为有必要说明的其他资料.docx 中小企业声明函 残疾人福利性单位声明函 偏离表.docx 标的清单 报价表 响应函 供应商承诺书.docx 资格证明文件.docx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详见附件：偏离表.docx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详见附件：服务响应方案及供应商认为有必要说明的其他资料.docx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