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版本号：SXZCZB2025-ZCCS-0620（二次）20250826001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新形态数字教材建设项目(二次)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SXZCZB2025-ZCCS-0620（二次）</w:t>
      </w:r>
      <w:r>
        <w:br/>
      </w:r>
      <w:r>
        <w:br/>
      </w:r>
      <w:r>
        <w:br/>
      </w:r>
    </w:p>
    <w:p>
      <w:pPr>
        <w:pStyle w:val="null3"/>
        <w:jc w:val="center"/>
        <w:outlineLvl w:val="2"/>
      </w:pPr>
      <w:r>
        <w:rPr>
          <w:rFonts w:ascii="仿宋_GB2312" w:hAnsi="仿宋_GB2312" w:cs="仿宋_GB2312" w:eastAsia="仿宋_GB2312"/>
          <w:sz w:val="28"/>
          <w:b/>
        </w:rPr>
        <w:t>西安开放大学</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西安开放大学</w:t>
      </w:r>
      <w:r>
        <w:rPr>
          <w:rFonts w:ascii="仿宋_GB2312" w:hAnsi="仿宋_GB2312" w:cs="仿宋_GB2312" w:eastAsia="仿宋_GB2312"/>
        </w:rPr>
        <w:t>委托，拟对</w:t>
      </w:r>
      <w:r>
        <w:rPr>
          <w:rFonts w:ascii="仿宋_GB2312" w:hAnsi="仿宋_GB2312" w:cs="仿宋_GB2312" w:eastAsia="仿宋_GB2312"/>
        </w:rPr>
        <w:t>新形态数字教材建设项目(二次)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SXZCZB2025-ZCCS-0620（二次）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新形态数字教材建设项目(二次)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推进我校新形态数字教材项目建设项目，营造良好的数字化教学环境，构建“数字课程+数字教材”的教学模式，助力提升教师教育理念与信息技术应用水平，推动教学内容、教学形式的创新，进一步促进信息技术与教育教学深度融合，充分发挥数字教材在教育教学方式变革的应用优势，不断提高课堂和课程教学质量，建设《大学信息技术应用基础》等6种数字教材，其中2种为H5智能数字教材，4种为H5数字教材。项目预算金额为35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采购包1（西安开放大学新形态数字教材建设项目）：属于专门面向中小企业采购。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3、财务状况报告：提供2024年经审计的财务审计报告（成立时间至提交磋商响应文件截止时间不足一年的可提供成立后任意时段的资产负债表）或开标时间前六个月内银行出具的资信证明；</w:t>
      </w:r>
    </w:p>
    <w:p>
      <w:pPr>
        <w:pStyle w:val="null3"/>
      </w:pPr>
      <w:r>
        <w:rPr>
          <w:rFonts w:ascii="仿宋_GB2312" w:hAnsi="仿宋_GB2312" w:cs="仿宋_GB2312" w:eastAsia="仿宋_GB2312"/>
        </w:rPr>
        <w:t>4、税收缴纳证明：提供磋商截止日前近一年内任意一个月的纳税证明或完税证明（任意税种），依法免税的单位应提供相关证明材料；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供应商不得列入“信用中国”严重失信主体名单、不得列入“中国执行信息公开网”失信被执行人名单（包括投标人及法定代表人），不得为“中国政府采购网”政府采购严重违法失信行为记录名单中被财政部门禁止参加政府采购活动的供应商；</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9、供应商许可证：供应商具备国家新闻出版广电总局颁发的《电子出版物许可证》或《网络出版服务许可证》或地方新闻出版局颁发的《出版物经营许可证》；</w:t>
      </w:r>
    </w:p>
    <w:p>
      <w:pPr>
        <w:pStyle w:val="null3"/>
      </w:pPr>
      <w:r>
        <w:rPr>
          <w:rFonts w:ascii="仿宋_GB2312" w:hAnsi="仿宋_GB2312" w:cs="仿宋_GB2312" w:eastAsia="仿宋_GB2312"/>
        </w:rPr>
        <w:t>10、中小企业声明函：本项目为专门面向中小企业采购（提供中小企业声明函或监狱企业的证明文件或残疾人福利性单位声明函）；</w:t>
      </w:r>
    </w:p>
    <w:p>
      <w:pPr>
        <w:pStyle w:val="null3"/>
      </w:pPr>
      <w:r>
        <w:rPr>
          <w:rFonts w:ascii="仿宋_GB2312" w:hAnsi="仿宋_GB2312" w:cs="仿宋_GB2312" w:eastAsia="仿宋_GB2312"/>
        </w:rPr>
        <w:t>11、非联合体磋商：本项目不接受联合体磋商（需提供承诺书）。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西安市碑林区五味什字48号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15229073378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按照《国家发展改革委关于进一步放开建设项目专业服务价格的通知》（发改价格〔2015〕299号）文件的要求，结合市场行情执行。由成交供应商在领取成交通知书前，向采购代理机构一次性支付招标代理服务费，招标代理费不足4000元按4000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西安开放大学</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为推进我校新形态数字教材项目建设项目，营造良好的数字化教学环境，构建</w:t>
      </w:r>
      <w:r>
        <w:rPr>
          <w:rFonts w:ascii="仿宋_GB2312" w:hAnsi="仿宋_GB2312" w:cs="仿宋_GB2312" w:eastAsia="仿宋_GB2312"/>
        </w:rPr>
        <w:t>“数字课程+数字教材”的教学模式，助力提升教师教育理念与信息技术应用水平，推动教学内容、教学形式的创新，进一步促进信息技术与教育教学深度融合，充分发挥数字教材在教育教学方式变革的应用优势，不断提高课堂和课程</w:t>
      </w:r>
      <w:r>
        <w:rPr>
          <w:rFonts w:ascii="仿宋_GB2312" w:hAnsi="仿宋_GB2312" w:cs="仿宋_GB2312" w:eastAsia="仿宋_GB2312"/>
        </w:rPr>
        <w:t>教学</w:t>
      </w:r>
      <w:r>
        <w:rPr>
          <w:rFonts w:ascii="仿宋_GB2312" w:hAnsi="仿宋_GB2312" w:cs="仿宋_GB2312" w:eastAsia="仿宋_GB2312"/>
        </w:rPr>
        <w:t>质量，建设《大学信息技术应用基础》等</w:t>
      </w:r>
      <w:r>
        <w:rPr>
          <w:rFonts w:ascii="仿宋_GB2312" w:hAnsi="仿宋_GB2312" w:cs="仿宋_GB2312" w:eastAsia="仿宋_GB2312"/>
        </w:rPr>
        <w:t>6种数字教材，其中2种为H5智能数字教材，4种为H5数字教材。项目预算金额为35万元。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新形态数字教材建设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标的名称：新形态数字教材建设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ind w:firstLine="400"/>
              <w:jc w:val="both"/>
            </w:pPr>
            <w:r>
              <w:rPr>
                <w:rFonts w:ascii="仿宋_GB2312" w:hAnsi="仿宋_GB2312" w:cs="仿宋_GB2312" w:eastAsia="仿宋_GB2312"/>
              </w:rPr>
              <w:t>为推进我校新形态数字教材项目建设项目，营造良好的数字化教学环境，构建“数字课程+数字教材”的教学模式，助力提升教师教育理念与信息技术应用水平，推动教学内容、教学形式的创新，进一步促进信息技术与教育教学深度融合，充分发挥数字教材在教育教学方式变革的应用优势，不断提高课堂和课程教学质量，建设《大学信息技术应用基础》6 种数字教材，其中2种为H5 智能数字教材，4种为H5数字教材。项目预算金额为35万元。</w:t>
            </w:r>
          </w:p>
          <w:p>
            <w:pPr>
              <w:pStyle w:val="null3"/>
              <w:ind w:firstLine="400"/>
              <w:jc w:val="both"/>
            </w:pPr>
            <w:r>
              <w:rPr>
                <w:rFonts w:ascii="仿宋_GB2312" w:hAnsi="仿宋_GB2312" w:cs="仿宋_GB2312" w:eastAsia="仿宋_GB2312"/>
              </w:rPr>
              <w:t>两种类型数字教材技术要求，见下表1：</w:t>
            </w:r>
          </w:p>
          <w:p>
            <w:pPr>
              <w:pStyle w:val="null3"/>
              <w:jc w:val="center"/>
            </w:pPr>
            <w:r>
              <w:rPr>
                <w:rFonts w:ascii="仿宋_GB2312" w:hAnsi="仿宋_GB2312" w:cs="仿宋_GB2312" w:eastAsia="仿宋_GB2312"/>
              </w:rPr>
              <w:t>表1两种类型数字教材技术要求</w:t>
            </w:r>
          </w:p>
          <w:tbl>
            <w:tblPr>
              <w:tblBorders>
                <w:top w:val="none" w:color="000000" w:sz="4"/>
                <w:left w:val="none" w:color="000000" w:sz="4"/>
                <w:bottom w:val="none" w:color="000000" w:sz="4"/>
                <w:right w:val="none" w:color="000000" w:sz="4"/>
                <w:insideH w:val="none"/>
                <w:insideV w:val="none"/>
              </w:tblBorders>
            </w:tblPr>
            <w:tblGrid>
              <w:gridCol w:w="263"/>
              <w:gridCol w:w="315"/>
              <w:gridCol w:w="263"/>
              <w:gridCol w:w="1712"/>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技术指导及参数</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H5智能数字教材</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2种</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H5智能数字教材提供动画微课：5~10个（时长：3~5分钟）；定制化设计及开发；PPT：1套；试题：1套。</w:t>
                  </w:r>
                </w:p>
                <w:p>
                  <w:pPr>
                    <w:pStyle w:val="null3"/>
                  </w:pPr>
                  <w:r>
                    <w:rPr>
                      <w:rFonts w:ascii="仿宋_GB2312" w:hAnsi="仿宋_GB2312" w:cs="仿宋_GB2312" w:eastAsia="仿宋_GB2312"/>
                      <w:sz w:val="20"/>
                      <w:color w:val="000000"/>
                    </w:rPr>
                    <w:t>供应商需为采购人提供数字教材选题申报、电子书号申请、相关资料收集与制作、三审三校、专家审稿、封面设计、版式设计、交互设计、学习路径设计、学习成就标志、动画微课制作、插图绘制、书稿排版、质检、技术审核、教材上架至供应商自主可控的平台、无缝对接学习网、提供数字教材智能化服务、数字教材运维更新等服务。</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H5标准数字教材</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4种</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H5标准数字教材提供模板库版式设计；PPT：1套；试题：1套。</w:t>
                  </w:r>
                </w:p>
                <w:p>
                  <w:pPr>
                    <w:pStyle w:val="null3"/>
                  </w:pPr>
                  <w:r>
                    <w:rPr>
                      <w:rFonts w:ascii="仿宋_GB2312" w:hAnsi="仿宋_GB2312" w:cs="仿宋_GB2312" w:eastAsia="仿宋_GB2312"/>
                      <w:sz w:val="20"/>
                      <w:color w:val="000000"/>
                    </w:rPr>
                    <w:t>供应商需为采购人提供数字教材选题申报、电子书号申请、相关资料收集与制作、三审三校、专家审稿、封面设计、版式设计、插图绘制、书稿排版、质检、技术审核、数字教材上架至供应商自主可控的平台、无缝对接学习网、提供数字教材运维更新等服务。</w:t>
                  </w:r>
                </w:p>
              </w:tc>
            </w:tr>
          </w:tbl>
          <w:p>
            <w:pPr>
              <w:pStyle w:val="null3"/>
              <w:jc w:val="both"/>
            </w:pPr>
            <w:r>
              <w:rPr>
                <w:rFonts w:ascii="仿宋_GB2312" w:hAnsi="仿宋_GB2312" w:cs="仿宋_GB2312" w:eastAsia="仿宋_GB2312"/>
              </w:rPr>
              <w:t>二、服务内容</w:t>
            </w:r>
          </w:p>
          <w:p>
            <w:pPr>
              <w:pStyle w:val="null3"/>
              <w:ind w:firstLine="400"/>
              <w:jc w:val="both"/>
            </w:pPr>
            <w:r>
              <w:rPr>
                <w:rFonts w:ascii="仿宋_GB2312" w:hAnsi="仿宋_GB2312" w:cs="仿宋_GB2312" w:eastAsia="仿宋_GB2312"/>
              </w:rPr>
              <w:t>1.提供专业的项目实施团队</w:t>
            </w:r>
          </w:p>
          <w:p>
            <w:pPr>
              <w:pStyle w:val="null3"/>
              <w:ind w:firstLine="400"/>
              <w:jc w:val="both"/>
            </w:pPr>
            <w:r>
              <w:rPr>
                <w:rFonts w:ascii="仿宋_GB2312" w:hAnsi="仿宋_GB2312" w:cs="仿宋_GB2312" w:eastAsia="仿宋_GB2312"/>
              </w:rPr>
              <w:t>项目实施团队成员宜满足如下条件：具有课程开发专家、课程资源建设专家、教材出版专家，获得省、部级教学成果奖的，有过同类项目（首届全国教材建设奖）业绩的优先；具有副编审及以上职称优先；具有全国大中专教材金牌编辑或新锐编辑优先。</w:t>
            </w:r>
          </w:p>
          <w:p>
            <w:pPr>
              <w:pStyle w:val="null3"/>
              <w:ind w:firstLine="400"/>
              <w:jc w:val="both"/>
            </w:pPr>
            <w:r>
              <w:rPr>
                <w:rFonts w:ascii="仿宋_GB2312" w:hAnsi="仿宋_GB2312" w:cs="仿宋_GB2312" w:eastAsia="仿宋_GB2312"/>
              </w:rPr>
              <w:t>2.数字教材的集成与出版</w:t>
            </w:r>
          </w:p>
          <w:p>
            <w:pPr>
              <w:pStyle w:val="null3"/>
              <w:ind w:firstLine="400"/>
              <w:jc w:val="both"/>
            </w:pPr>
            <w:r>
              <w:rPr>
                <w:rFonts w:ascii="仿宋_GB2312" w:hAnsi="仿宋_GB2312" w:cs="仿宋_GB2312" w:eastAsia="仿宋_GB2312"/>
              </w:rPr>
              <w:t>负责数字教材出版的全流程。能够提供专业编辑对数字教材进行交互优化和审校编辑，申领电子书号，公开发行。包括数字教材内容、功能、技术、生产、出版等总体框架的设计论证；功能、版权管理等技术验证；文本编辑完善；资源提供、审核、完善、标引、集成与封装；书号申领与发布。签订合同并提交合格稿件后，稿件及配套数字资源的完善、集成与出版在3个月内完成，并保证教材质量符合国家对电子出版物的有关规定。</w:t>
            </w:r>
          </w:p>
          <w:p>
            <w:pPr>
              <w:pStyle w:val="null3"/>
              <w:ind w:firstLine="400"/>
              <w:jc w:val="both"/>
            </w:pPr>
            <w:r>
              <w:rPr>
                <w:rFonts w:ascii="仿宋_GB2312" w:hAnsi="仿宋_GB2312" w:cs="仿宋_GB2312" w:eastAsia="仿宋_GB2312"/>
              </w:rPr>
              <w:t>3.特定资格要求</w:t>
            </w:r>
          </w:p>
          <w:p>
            <w:pPr>
              <w:pStyle w:val="null3"/>
              <w:ind w:firstLine="400"/>
              <w:jc w:val="both"/>
            </w:pPr>
            <w:r>
              <w:rPr>
                <w:rFonts w:ascii="仿宋_GB2312" w:hAnsi="仿宋_GB2312" w:cs="仿宋_GB2312" w:eastAsia="仿宋_GB2312"/>
              </w:rPr>
              <w:t>本项目的特定资格要求：响应供应商具备国家新闻出版广电总局颁发的《电子出版物许可证》或《网络出版服务许可证》或地方新闻出版局颁发的《出版物经营许可证》。</w:t>
            </w:r>
          </w:p>
          <w:p>
            <w:pPr>
              <w:pStyle w:val="null3"/>
              <w:ind w:firstLine="400"/>
              <w:jc w:val="both"/>
            </w:pPr>
            <w:r>
              <w:rPr>
                <w:rFonts w:ascii="仿宋_GB2312" w:hAnsi="仿宋_GB2312" w:cs="仿宋_GB2312" w:eastAsia="仿宋_GB2312"/>
              </w:rPr>
              <w:t>4.数字教材阅读功能要求</w:t>
            </w:r>
          </w:p>
          <w:p>
            <w:pPr>
              <w:pStyle w:val="null3"/>
              <w:ind w:firstLine="400"/>
              <w:jc w:val="both"/>
            </w:pPr>
            <w:r>
              <w:rPr>
                <w:rFonts w:ascii="仿宋_GB2312" w:hAnsi="仿宋_GB2312" w:cs="仿宋_GB2312" w:eastAsia="仿宋_GB2312"/>
              </w:rPr>
              <w:t>见下表2：数字教材开发项目阅读及助学功能细分与说明。</w:t>
            </w:r>
          </w:p>
          <w:p>
            <w:pPr>
              <w:pStyle w:val="null3"/>
            </w:pPr>
            <w:r>
              <w:rPr>
                <w:rFonts w:ascii="仿宋_GB2312" w:hAnsi="仿宋_GB2312" w:cs="仿宋_GB2312" w:eastAsia="仿宋_GB2312"/>
                <w:sz w:val="21"/>
                <w:color w:val="000000"/>
              </w:rPr>
              <w:t>表</w:t>
            </w:r>
            <w:r>
              <w:rPr>
                <w:rFonts w:ascii="仿宋_GB2312" w:hAnsi="仿宋_GB2312" w:cs="仿宋_GB2312" w:eastAsia="仿宋_GB2312"/>
                <w:sz w:val="21"/>
                <w:color w:val="000000"/>
              </w:rPr>
              <w:t>2</w:t>
            </w:r>
            <w:r>
              <w:rPr>
                <w:rFonts w:ascii="仿宋_GB2312" w:hAnsi="仿宋_GB2312" w:cs="仿宋_GB2312" w:eastAsia="仿宋_GB2312"/>
                <w:sz w:val="20"/>
                <w:color w:val="000000"/>
              </w:rPr>
              <w:t>：数字教材开发项目阅读及助学功能细分与说</w:t>
            </w:r>
            <w:r>
              <w:rPr>
                <w:rFonts w:ascii="仿宋_GB2312" w:hAnsi="仿宋_GB2312" w:cs="仿宋_GB2312" w:eastAsia="仿宋_GB2312"/>
                <w:sz w:val="20"/>
                <w:color w:val="000000"/>
              </w:rPr>
              <w:t>明</w:t>
            </w:r>
          </w:p>
          <w:tbl>
            <w:tblPr>
              <w:tblInd w:type="dxa" w:w="135"/>
              <w:tblBorders>
                <w:top w:val="none" w:color="000000" w:sz="4"/>
                <w:left w:val="none" w:color="000000" w:sz="4"/>
                <w:bottom w:val="none" w:color="000000" w:sz="4"/>
                <w:right w:val="none" w:color="000000" w:sz="4"/>
                <w:insideH w:val="none"/>
                <w:insideV w:val="none"/>
              </w:tblBorders>
            </w:tblPr>
            <w:tblGrid>
              <w:gridCol w:w="372"/>
              <w:gridCol w:w="432"/>
              <w:gridCol w:w="383"/>
              <w:gridCol w:w="1364"/>
            </w:tblGrid>
            <w:tr>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类别</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功能名称</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功能细分</w:t>
                  </w:r>
                </w:p>
              </w:tc>
              <w:tc>
                <w:tcPr>
                  <w:tcW w:type="dxa" w:w="1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显示效果交互说明</w:t>
                  </w:r>
                </w:p>
              </w:tc>
            </w:tr>
            <w:tr>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阅读功能</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打开图书</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点击封面</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关闭图书</w:t>
                  </w:r>
                  <w:r>
                    <w:rPr>
                      <w:rFonts w:ascii="仿宋_GB2312" w:hAnsi="仿宋_GB2312" w:cs="仿宋_GB2312" w:eastAsia="仿宋_GB2312"/>
                      <w:sz w:val="20"/>
                      <w:color w:val="000000"/>
                    </w:rPr>
                    <w:t>/返回书架</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点击左上角，右侧滑动，关闭图书</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书签</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自动添加书签，下次进入时会到上次阅读的地方</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读书笔记</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划线</w:t>
                  </w:r>
                  <w:r>
                    <w:rPr>
                      <w:rFonts w:ascii="仿宋_GB2312" w:hAnsi="仿宋_GB2312" w:cs="仿宋_GB2312" w:eastAsia="仿宋_GB2312"/>
                      <w:sz w:val="20"/>
                      <w:color w:val="000000"/>
                    </w:rPr>
                    <w:t>/笔记/高亮</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长按涂抹段落文字添加笔记</w:t>
                  </w:r>
                  <w:r>
                    <w:rPr>
                      <w:rFonts w:ascii="仿宋_GB2312" w:hAnsi="仿宋_GB2312" w:cs="仿宋_GB2312" w:eastAsia="仿宋_GB2312"/>
                      <w:sz w:val="20"/>
                      <w:color w:val="000000"/>
                    </w:rPr>
                    <w:t>,针对划线或者选择的内容进行记录</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目录</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点击左侧区域，再点击目录按钮</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增大</w:t>
                  </w:r>
                  <w:r>
                    <w:rPr>
                      <w:rFonts w:ascii="仿宋_GB2312" w:hAnsi="仿宋_GB2312" w:cs="仿宋_GB2312" w:eastAsia="仿宋_GB2312"/>
                      <w:sz w:val="20"/>
                      <w:color w:val="000000"/>
                    </w:rPr>
                    <w:t>/缩小字体</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点击设置按钮，再在工具栏中点击相应按钮</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调节亮度</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点击设置按钮，再在工具栏中点击相应按钮</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更换字体</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点击设置按钮，再在工具栏中点击相应按钮</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选择主题色</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点击设置按钮，再在工具栏中点击相应按钮</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屏幕亮度</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按钮滑块，或单指下滑</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阅读方式</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点击版面两侧，或者左右滑动</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翻页方式</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可选择滑动和翻页</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调出菜单栏</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点击版面下方区域，再点击左上角，菜单栏消失</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记录</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可在记录区进行整体浏览</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搜索</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文内搜索</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可以随时搜索文内内容</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分享</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分享各类社交平台</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点击划线或者选择的内容，再点击相应图标</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资源分类</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图片、视频、音频、试题、试卷、文件、电子书、</w:t>
                  </w:r>
                  <w:r>
                    <w:rPr>
                      <w:rFonts w:ascii="仿宋_GB2312" w:hAnsi="仿宋_GB2312" w:cs="仿宋_GB2312" w:eastAsia="仿宋_GB2312"/>
                      <w:sz w:val="20"/>
                      <w:color w:val="000000"/>
                    </w:rPr>
                    <w:t>gif</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可针对不同资源进行分类查看，并支持资源定位</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资源定位</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可针对不同资源进行资源定位，点击资源返回正文相应位置</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尾页交互</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对于试读的图书，在试读的最后一页，会提示可以购买电子书</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阅读进度记录</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可记录阅读时长百分比</w:t>
                  </w:r>
                </w:p>
              </w:tc>
            </w:tr>
            <w:tr>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55" w:after="255"/>
                  </w:pPr>
                  <w:r>
                    <w:rPr>
                      <w:rFonts w:ascii="仿宋_GB2312" w:hAnsi="仿宋_GB2312" w:cs="仿宋_GB2312" w:eastAsia="仿宋_GB2312"/>
                      <w:sz w:val="20"/>
                      <w:color w:val="000000"/>
                    </w:rPr>
                    <w:t>全媒体功能明细</w:t>
                  </w:r>
                </w:p>
              </w:tc>
              <w:tc>
                <w:tcPr>
                  <w:tcW w:type="dxa" w:w="43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页面装饰</w:t>
                  </w:r>
                </w:p>
              </w:tc>
              <w:tc>
                <w:tcPr>
                  <w:tcW w:type="dxa" w:w="3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页眉</w:t>
                  </w:r>
                </w:p>
              </w:tc>
              <w:tc>
                <w:tcPr>
                  <w:tcW w:type="dxa" w:w="1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页脚</w:t>
                  </w:r>
                </w:p>
              </w:tc>
              <w:tc>
                <w:tcPr>
                  <w:tcW w:type="dxa" w:w="13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流式排版</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图文绕排，自动化的硬件效果匹配</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支持导入</w:t>
                  </w:r>
                  <w:r>
                    <w:rPr>
                      <w:rFonts w:ascii="仿宋_GB2312" w:hAnsi="仿宋_GB2312" w:cs="仿宋_GB2312" w:eastAsia="仿宋_GB2312"/>
                      <w:sz w:val="20"/>
                      <w:color w:val="000000"/>
                    </w:rPr>
                    <w:t>word</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支持导入</w:t>
                  </w:r>
                  <w:r>
                    <w:rPr>
                      <w:rFonts w:ascii="仿宋_GB2312" w:hAnsi="仿宋_GB2312" w:cs="仿宋_GB2312" w:eastAsia="仿宋_GB2312"/>
                      <w:sz w:val="20"/>
                      <w:color w:val="000000"/>
                    </w:rPr>
                    <w:t>word稿件</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文字</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不同字号、不同字体</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自适应排版</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样式库</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不同样式、特殊样式</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不同标题、不同段落、不同图文显示</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主题</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不同颜色、不同样式</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支持定制</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热区</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点击按钮交互</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可跳转至相应内容</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弹窗</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显示文内注释</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文内文字图片弹出内容，包含：外链、文字、图片等</w:t>
                  </w:r>
                </w:p>
              </w:tc>
            </w:tr>
            <w:tr>
              <w:tc>
                <w:tcPr>
                  <w:tcW w:type="dxa" w:w="372"/>
                  <w:vMerge/>
                  <w:tcBorders>
                    <w:top w:val="none" w:color="000000" w:sz="4"/>
                    <w:left w:val="single" w:color="000000" w:sz="4"/>
                    <w:bottom w:val="single" w:color="000000" w:sz="4"/>
                    <w:right w:val="single" w:color="000000" w:sz="4"/>
                  </w:tcBorders>
                </w:tcP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显示图片</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背景图</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全屏图标，与设备间不存在边距</w:t>
                  </w: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元素图片</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在指定区域插入的图片，可以对图片的属性进行定义（例如大小、透明度等）</w:t>
                  </w: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GIF动图</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可以是</w:t>
                  </w:r>
                  <w:r>
                    <w:rPr>
                      <w:rFonts w:ascii="仿宋_GB2312" w:hAnsi="仿宋_GB2312" w:cs="仿宋_GB2312" w:eastAsia="仿宋_GB2312"/>
                      <w:sz w:val="20"/>
                      <w:color w:val="000000"/>
                    </w:rPr>
                    <w:t>gif动图</w:t>
                  </w: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标题图片</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带有标题的图片（包括左右上下的标题形式）</w:t>
                  </w: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显示图片边框</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vMerge/>
                  <w:tcBorders>
                    <w:top w:val="none" w:color="000000" w:sz="4"/>
                    <w:left w:val="single" w:color="000000" w:sz="4"/>
                    <w:bottom w:val="single" w:color="000000" w:sz="4"/>
                    <w:right w:val="single" w:color="000000" w:sz="4"/>
                  </w:tcBorders>
                </w:tcP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显示视频</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区域播放</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选定区域播放视频元素</w:t>
                  </w: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按钮全屏播放</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点击进入视频的全屏幕播放</w:t>
                  </w: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在线视频</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点击进入在线视频的直接播放</w:t>
                  </w:r>
                </w:p>
              </w:tc>
            </w:tr>
            <w:tr>
              <w:tc>
                <w:tcPr>
                  <w:tcW w:type="dxa" w:w="372"/>
                  <w:vMerge/>
                  <w:tcBorders>
                    <w:top w:val="none" w:color="000000" w:sz="4"/>
                    <w:left w:val="single" w:color="000000" w:sz="4"/>
                    <w:bottom w:val="single" w:color="000000" w:sz="4"/>
                    <w:right w:val="single" w:color="000000" w:sz="4"/>
                  </w:tcBorders>
                </w:tcP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显示音频</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背景音频</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在选定区域插入音频元素</w:t>
                  </w: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点击按钮全文播放</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点击按钮人工语音报读书本内容</w:t>
                  </w: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播放器音频，带进度条</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点击出现音乐播放器播放音频</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显示代码块</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可一键复制代码，能提供重点代码变色显示功能</w:t>
                  </w:r>
                </w:p>
              </w:tc>
            </w:tr>
            <w:tr>
              <w:tc>
                <w:tcPr>
                  <w:tcW w:type="dxa" w:w="372"/>
                  <w:vMerge/>
                  <w:tcBorders>
                    <w:top w:val="none" w:color="000000" w:sz="4"/>
                    <w:left w:val="single" w:color="000000" w:sz="4"/>
                    <w:bottom w:val="single" w:color="000000" w:sz="4"/>
                    <w:right w:val="single" w:color="000000" w:sz="4"/>
                  </w:tcBorders>
                </w:tcP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显示画廊</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带缩略图</w:t>
                  </w:r>
                  <w:r>
                    <w:rPr>
                      <w:rFonts w:ascii="仿宋_GB2312" w:hAnsi="仿宋_GB2312" w:cs="仿宋_GB2312" w:eastAsia="仿宋_GB2312"/>
                      <w:sz w:val="20"/>
                      <w:color w:val="000000"/>
                    </w:rPr>
                    <w:t>/不带缩略图</w:t>
                  </w:r>
                </w:p>
              </w:tc>
              <w:tc>
                <w:tcPr>
                  <w:tcW w:type="dxa" w:w="1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用户可以滑动操作切换图片显示，还可以点击全屏</w:t>
                  </w: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可点击交互</w:t>
                  </w:r>
                  <w:r>
                    <w:rPr>
                      <w:rFonts w:ascii="仿宋_GB2312" w:hAnsi="仿宋_GB2312" w:cs="仿宋_GB2312" w:eastAsia="仿宋_GB2312"/>
                      <w:sz w:val="20"/>
                      <w:color w:val="000000"/>
                    </w:rPr>
                    <w:t>/不可点击交互</w:t>
                  </w:r>
                </w:p>
              </w:tc>
              <w:tc>
                <w:tcPr>
                  <w:tcW w:type="dxa" w:w="1364"/>
                  <w:vMerge/>
                  <w:tcBorders>
                    <w:top w:val="none" w:color="000000" w:sz="4"/>
                    <w:left w:val="single" w:color="000000" w:sz="4"/>
                    <w:bottom w:val="single" w:color="000000" w:sz="4"/>
                    <w:right w:val="single" w:color="000000" w:sz="4"/>
                  </w:tcBorders>
                </w:tcPr>
                <w:p/>
              </w:tc>
            </w:tr>
            <w:tr>
              <w:tc>
                <w:tcPr>
                  <w:tcW w:type="dxa" w:w="372"/>
                  <w:vMerge/>
                  <w:tcBorders>
                    <w:top w:val="none" w:color="000000" w:sz="4"/>
                    <w:left w:val="single" w:color="000000" w:sz="4"/>
                    <w:bottom w:val="single" w:color="000000" w:sz="4"/>
                    <w:right w:val="single" w:color="000000" w:sz="4"/>
                  </w:tcBorders>
                </w:tcP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显示链接</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网页链接</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点击元素跳转到网页链接</w:t>
                  </w: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文内跳转</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点击元素跳转到图书的其他元素或者区域</w:t>
                  </w: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应用内购买</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可在书籍内购买增值内容</w:t>
                  </w:r>
                </w:p>
              </w:tc>
            </w:tr>
            <w:tr>
              <w:tc>
                <w:tcPr>
                  <w:tcW w:type="dxa" w:w="372"/>
                  <w:vMerge/>
                  <w:tcBorders>
                    <w:top w:val="none" w:color="000000" w:sz="4"/>
                    <w:left w:val="single" w:color="000000" w:sz="4"/>
                    <w:bottom w:val="single" w:color="000000" w:sz="4"/>
                    <w:right w:val="single" w:color="000000" w:sz="4"/>
                  </w:tcBorders>
                </w:tcP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试题功能</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单选</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多选</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完形填空</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判断题</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连线题</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填空题</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简答题</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元素交互显示</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点击元素可以弹出或显示其他的元素，可根据数字教材学科性质，定制开发交互式学习路径，提升学习者学习兴趣</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显示动画效果</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显示指定元素属性、位置和动作的变化</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数字教材购买</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通过</w:t>
                  </w:r>
                  <w:r>
                    <w:rPr>
                      <w:rFonts w:ascii="仿宋_GB2312" w:hAnsi="仿宋_GB2312" w:cs="仿宋_GB2312" w:eastAsia="仿宋_GB2312"/>
                      <w:sz w:val="20"/>
                      <w:color w:val="000000"/>
                    </w:rPr>
                    <w:t>-下订单-在线支付流程实现电子教材的购买</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预览</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可预览制作过程中的数字教材</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试读</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可试读在平台上架的数字产品，试读量为</w:t>
                  </w:r>
                  <w:r>
                    <w:rPr>
                      <w:rFonts w:ascii="仿宋_GB2312" w:hAnsi="仿宋_GB2312" w:cs="仿宋_GB2312" w:eastAsia="仿宋_GB2312"/>
                      <w:sz w:val="20"/>
                      <w:color w:val="000000"/>
                    </w:rPr>
                    <w:t>10%</w:t>
                  </w:r>
                </w:p>
              </w:tc>
            </w:tr>
            <w:tr>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0"/>
                    <w:jc w:val="both"/>
                  </w:pPr>
                  <w:r>
                    <w:rPr>
                      <w:rFonts w:ascii="仿宋_GB2312" w:hAnsi="仿宋_GB2312" w:cs="仿宋_GB2312" w:eastAsia="仿宋_GB2312"/>
                      <w:sz w:val="20"/>
                      <w:color w:val="000000"/>
                    </w:rPr>
                    <w:t>智能助学</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AI助教</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AI智能助手答疑，精准性知识答疑与回复</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支持语音测评</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可进行实时打分</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对接虚拟仿真系统</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将第三方的</w:t>
                  </w:r>
                  <w:r>
                    <w:rPr>
                      <w:rFonts w:ascii="仿宋_GB2312" w:hAnsi="仿宋_GB2312" w:cs="仿宋_GB2312" w:eastAsia="仿宋_GB2312"/>
                      <w:sz w:val="20"/>
                      <w:color w:val="000000"/>
                    </w:rPr>
                    <w:t>Web仿真系统显示到教材中；通过数据服务系统收集第三方系统接入的操作数据，根据进行学生各种实操与技能的数据分析</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在线课程</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可链接在线学习平台</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在线项目</w:t>
                  </w:r>
                </w:p>
                <w:p>
                  <w:pPr>
                    <w:pStyle w:val="null3"/>
                  </w:pPr>
                  <w:r>
                    <w:rPr>
                      <w:rFonts w:ascii="仿宋_GB2312" w:hAnsi="仿宋_GB2312" w:cs="仿宋_GB2312" w:eastAsia="仿宋_GB2312"/>
                      <w:sz w:val="20"/>
                      <w:color w:val="000000"/>
                    </w:rPr>
                    <w:t>实训</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1）实训资源查看实训详细内容任务要求、需求分析稳定、任务分工信息等内容。</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2）实训评价查看任务完成评价详情。</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3）实训系统支持按小组配置进行任务分工实施。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4）项目日志：学生可以编写项目日志，记录他们在实训过程中的进展、问题和心得体会。</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5）测试记录：学生可以提交实训过程中的测试记录，包括测试结果、问题和解决方案等。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6）教师评价学生任务：教师可以对学生完成的任务进行评价，提供评分和反馈。</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AI助学</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color w:val="000000"/>
                    </w:rPr>
                    <w:t>一键式集成，无缝嵌入数字教材，可自定义练习模式</w:t>
                  </w:r>
                </w:p>
                <w:p>
                  <w:pPr>
                    <w:pStyle w:val="null3"/>
                    <w:numPr>
                      <w:ilvl w:val="0"/>
                      <w:numId w:val="1"/>
                    </w:numPr>
                  </w:pPr>
                  <w:r>
                    <w:rPr>
                      <w:rFonts w:ascii="仿宋_GB2312" w:hAnsi="仿宋_GB2312" w:cs="仿宋_GB2312" w:eastAsia="仿宋_GB2312"/>
                      <w:sz w:val="20"/>
                      <w:color w:val="000000"/>
                    </w:rPr>
                    <w:t>刷题模式和测验模式自由选择，灵活设置，便捷使用</w:t>
                  </w:r>
                </w:p>
                <w:p>
                  <w:pPr>
                    <w:pStyle w:val="null3"/>
                    <w:numPr>
                      <w:ilvl w:val="0"/>
                      <w:numId w:val="1"/>
                    </w:numPr>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AI解析，基于数字教材内容给予回答，提供多模态资源推送</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AI数字人</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1）AI数字人可以帮助学生更好地理解课程知识，并提供个性化的教学思路和方法，帮助用户提升学习效率和学习成果。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2）在课程中引入AI伴读，可以帮助学生在课程学习中更好地理解和吸收教材内容，提供有声读物的辅助，促进学生的阅读能力和理解能力的提升。</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统计</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数据统计</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可提供单本数字教材阅读情况、素材情况、设备情况、地域统计等统计数据</w:t>
                  </w:r>
                </w:p>
              </w:tc>
            </w:tr>
            <w:tr>
              <w:tc>
                <w:tcPr>
                  <w:tcW w:type="dxa" w:w="3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其他</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试题统计</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有每日练习，模拟考试，正式考试三种方式，答题后出答案和解析。试题可以根据章节或知识点进行自定义设计。同时也有统计功能，有多少人答过，正确率如何</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成员管理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可添加项目成员相关数字编辑、技术审核人员及作者，分别赋予不同的权限管理</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导入导出源文件</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灵活导入导出制作的数字教材原始文件，便于保存与修改</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导出</w:t>
                  </w:r>
                  <w:r>
                    <w:rPr>
                      <w:rFonts w:ascii="仿宋_GB2312" w:hAnsi="仿宋_GB2312" w:cs="仿宋_GB2312" w:eastAsia="仿宋_GB2312"/>
                      <w:sz w:val="20"/>
                      <w:color w:val="000000"/>
                    </w:rPr>
                    <w:t>PDF</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导出</w:t>
                  </w:r>
                  <w:r>
                    <w:rPr>
                      <w:rFonts w:ascii="仿宋_GB2312" w:hAnsi="仿宋_GB2312" w:cs="仿宋_GB2312" w:eastAsia="仿宋_GB2312"/>
                      <w:sz w:val="20"/>
                      <w:color w:val="000000"/>
                    </w:rPr>
                    <w:t>PDF文件供编辑查阅修改</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资源下载</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可对</w:t>
                  </w:r>
                  <w:r>
                    <w:rPr>
                      <w:rFonts w:ascii="仿宋_GB2312" w:hAnsi="仿宋_GB2312" w:cs="仿宋_GB2312" w:eastAsia="仿宋_GB2312"/>
                      <w:sz w:val="20"/>
                      <w:color w:val="000000"/>
                    </w:rPr>
                    <w:t>PPT、文档资源进行下载</w:t>
                  </w:r>
                </w:p>
              </w:tc>
            </w:tr>
            <w:tr>
              <w:tc>
                <w:tcPr>
                  <w:tcW w:type="dxa" w:w="372"/>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应用方式</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自行购买：扫码阅读</w:t>
                  </w:r>
                </w:p>
                <w:p>
                  <w:pPr>
                    <w:pStyle w:val="null3"/>
                    <w:jc w:val="both"/>
                  </w:pPr>
                  <w:r>
                    <w:rPr>
                      <w:rFonts w:ascii="仿宋_GB2312" w:hAnsi="仿宋_GB2312" w:cs="仿宋_GB2312" w:eastAsia="仿宋_GB2312"/>
                      <w:sz w:val="20"/>
                      <w:color w:val="000000"/>
                    </w:rPr>
                    <w:t>机构配送：配送至指定账户</w:t>
                  </w: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三、服务要求</w:t>
            </w:r>
          </w:p>
          <w:p>
            <w:pPr>
              <w:pStyle w:val="null3"/>
              <w:ind w:firstLine="400"/>
              <w:jc w:val="both"/>
            </w:pPr>
            <w:r>
              <w:rPr>
                <w:rFonts w:ascii="仿宋_GB2312" w:hAnsi="仿宋_GB2312" w:cs="仿宋_GB2312" w:eastAsia="仿宋_GB2312"/>
              </w:rPr>
              <w:t>（1）成交供应商要为采购人教材编写者提供数字教材编写、研发等方面的集体培训不低于2次，合同签订之日起30个日历日内完成首次培训。后期指定专人对教材进行一对一服务。</w:t>
            </w:r>
          </w:p>
          <w:p>
            <w:pPr>
              <w:pStyle w:val="null3"/>
              <w:ind w:firstLine="400"/>
              <w:jc w:val="both"/>
            </w:pPr>
            <w:r>
              <w:rPr>
                <w:rFonts w:ascii="仿宋_GB2312" w:hAnsi="仿宋_GB2312" w:cs="仿宋_GB2312" w:eastAsia="仿宋_GB2312"/>
              </w:rPr>
              <w:t>（2）供应商需指定一名项目负责人，专人负责项目的协调工作，并及时处理编写教师在教材编写过程中的相关问题。</w:t>
            </w:r>
          </w:p>
          <w:p>
            <w:pPr>
              <w:pStyle w:val="null3"/>
              <w:ind w:firstLine="400"/>
              <w:jc w:val="both"/>
            </w:pPr>
            <w:r>
              <w:rPr>
                <w:rFonts w:ascii="仿宋_GB2312" w:hAnsi="仿宋_GB2312" w:cs="仿宋_GB2312" w:eastAsia="仿宋_GB2312"/>
              </w:rPr>
              <w:t>（3）为保证数字教材质量，供应商应具备完成该项目所必备的专业出版、专业编辑、校对、排版、资源制作等人员，响应时提供加盖供应商公章的相关人员名单和资质证明。</w:t>
            </w:r>
          </w:p>
          <w:p>
            <w:pPr>
              <w:pStyle w:val="null3"/>
              <w:ind w:firstLine="400"/>
              <w:jc w:val="both"/>
            </w:pPr>
            <w:r>
              <w:rPr>
                <w:rFonts w:ascii="仿宋_GB2312" w:hAnsi="仿宋_GB2312" w:cs="仿宋_GB2312" w:eastAsia="仿宋_GB2312"/>
              </w:rPr>
              <w:t>（4）知识产权归西安开放大学所有。</w:t>
            </w:r>
          </w:p>
          <w:p>
            <w:pPr>
              <w:pStyle w:val="null3"/>
              <w:ind w:firstLine="400"/>
              <w:jc w:val="both"/>
            </w:pPr>
            <w:r>
              <w:rPr>
                <w:rFonts w:ascii="仿宋_GB2312" w:hAnsi="仿宋_GB2312" w:cs="仿宋_GB2312" w:eastAsia="仿宋_GB2312"/>
              </w:rPr>
              <w:t>（5）教材出版后，供应商将配合全力打造、申报省级、国家级教材等奖项。</w:t>
            </w:r>
          </w:p>
          <w:p>
            <w:pPr>
              <w:pStyle w:val="null3"/>
              <w:ind w:firstLine="420"/>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签订合同并提交合格稿件后，稿件及配套数字资源的完善、集成与出版在3个月内完成，并保证教材质量符合国家对电子出版物的有关规定。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完成采购需求要求的各项内容，达到验收标准。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成果交付验收合格后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提供2024年经审计的财务审计报告（成立时间至提交磋商响应文件截止时间不足一年的可提供成立后任意时段的资产负债表）或开标时间前六个月内银行出具的资信证明；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列入“信用中国”严重失信主体名单、不得列入“中国执行信息公开网”失信被执行人名单（包括投标人及法定代表人），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供应商许可证</w:t>
            </w:r>
          </w:p>
        </w:tc>
        <w:tc>
          <w:tcPr>
            <w:tcW w:type="dxa" w:w="3322"/>
          </w:tcPr>
          <w:p>
            <w:pPr>
              <w:pStyle w:val="null3"/>
            </w:pPr>
            <w:r>
              <w:rPr>
                <w:rFonts w:ascii="仿宋_GB2312" w:hAnsi="仿宋_GB2312" w:cs="仿宋_GB2312" w:eastAsia="仿宋_GB2312"/>
              </w:rPr>
              <w:t>供应商具备国家新闻出版广电总局颁发的《电子出版物许可证》或《网络出版服务许可证》或地方新闻出版局颁发的《出版物经营许可证》；</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本项目为专门面向中小企业采购（提供中小企业声明函或监狱企业的证明文件或残疾人福利性单位声明函）；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1.特定资格证明文件.docx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3.磋商服务方案.docx 4.服务要求及商务要求偏离表.docx 5.其他.docx 中小企业声明函 残疾人福利性单位声明函 1.特定资格证明文件.docx 标的清单 2.陕西省政府采购供应商拒绝政府采购领域商业贿赂承诺书.docx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3.磋商服务方案.docx 4.服务要求及商务要求偏离表.docx 5.其他.docx 中小企业声明函 残疾人福利性单位声明函 1.特定资格证明文件.docx 标的清单 2.陕西省政府采购供应商拒绝政府采购领域商业贿赂承诺书.docx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3.磋商服务方案.docx 4.服务要求及商务要求偏离表.docx 5.其他.docx 中小企业声明函 残疾人福利性单位声明函 1.特定资格证明文件.docx 标的清单 2.陕西省政府采购供应商拒绝政府采购领域商业贿赂承诺书.docx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供应商提供质量管理体系认证证书，提供证书得2分，未提供不得分。注：提供上述证书复印件及“全国认证认可信息公共服务平台”查询截图。</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教材获奖</w:t>
            </w:r>
          </w:p>
        </w:tc>
        <w:tc>
          <w:tcPr>
            <w:tcW w:type="dxa" w:w="2492"/>
          </w:tcPr>
          <w:p>
            <w:pPr>
              <w:pStyle w:val="null3"/>
            </w:pPr>
            <w:r>
              <w:rPr>
                <w:rFonts w:ascii="仿宋_GB2312" w:hAnsi="仿宋_GB2312" w:cs="仿宋_GB2312" w:eastAsia="仿宋_GB2312"/>
              </w:rPr>
              <w:t>供应商若有教材入选首届全国教材建设奖（职业教育与继续教育类），每入选一种可获0.5分，本项最高得分 5 分。供应商需提供相关获奖证明材料，未提供证明材料的不得分。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供应商提供近三年具有类似采购业绩(2022年1月至今)，每提供一份得2分，最多得10分。 注，提供合同复印件。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支撑平台</w:t>
            </w:r>
          </w:p>
        </w:tc>
        <w:tc>
          <w:tcPr>
            <w:tcW w:type="dxa" w:w="2492"/>
          </w:tcPr>
          <w:p>
            <w:pPr>
              <w:pStyle w:val="null3"/>
            </w:pPr>
            <w:r>
              <w:rPr>
                <w:rFonts w:ascii="仿宋_GB2312" w:hAnsi="仿宋_GB2312" w:cs="仿宋_GB2312" w:eastAsia="仿宋_GB2312"/>
              </w:rPr>
              <w:t>供应商有自主可控平台（具有相应的软件著作权登记证书和运营平台能达到《信息安全等级保护管理办法》规定的信息系统安全等级保护三级及以上）得5分。 注：提供用户著作权证书复印件、等保测评报告复印件。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项目人员资质及配备</w:t>
            </w:r>
          </w:p>
        </w:tc>
        <w:tc>
          <w:tcPr>
            <w:tcW w:type="dxa" w:w="2492"/>
          </w:tcPr>
          <w:p>
            <w:pPr>
              <w:pStyle w:val="null3"/>
            </w:pPr>
            <w:r>
              <w:rPr>
                <w:rFonts w:ascii="仿宋_GB2312" w:hAnsi="仿宋_GB2312" w:cs="仿宋_GB2312" w:eastAsia="仿宋_GB2312"/>
              </w:rPr>
              <w:t>根据供应商针对本项目拟派的团队中人员配置情况及专业性进行综合评分： 拟派的团队人员不少于6人，团队人员中每提供1份《出版专业技术人员职业资格证书》或《数字编辑专业技术资格证书》资格证书，得0.5分，最高得3分； 团队成员每提供一名副高级职称人员可得1分，最高得3分； 供应商针对本项目拟派团队人员中全国大中专教材金牌编辑或新锐编辑每具备1名得1分。最高得2分。需提供相关证明材料，未提供不得分。 注：提供拟投入团队成员一览表及相关资质证书等。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根据供应商的提供的数字教材实施方案，包括：①数字教材组稿②数字教材加工审校③数字教材设计排版④数字教材运行平台⑤进度计划 二、评审标准： 1、完整性：方案必须全面，对评审内容中的各项要求有详细描述； 2、可实施性：切合本项目实际情况，提出步骤清晰、合理的方案； 3、针对性：方案能够紧扣项目实际情况，内容科学合理。 三、赋分标准（满分15分） ①数字教材组稿：每完全满足一个评审标准得1分，不完全满足一个评审标准得0-1分，满分3分； ②数字教材加工审校：每完全满足一个评审标准得1分，不完全满足一个评审标准得0-1分，满分3分； ③数字教材设计排版：每完全满足一个评审标准得1分，不完全满足一个评审标准得0-1分，满分3分； ④数字教材运行平台：每完全满足一个评审标准得1分，不完全满足一个评审标准得0-1分，满分3分； ⑤进度计划：每完全满足一个评审标准得1分，不完全满足一个评审标准得0-1分，满分3分；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根据供应商的提供的重难点分析，包括：①服务过程中的重点、难点分析②针对重点、难点提出的解决方案（至少能够依托本单位数字教材平台建设、数字教材开发实践、数字教材应用实践经验，具有创新之处，具备示范效益和应用价值。） 二、评审标准： 1、完整性：方案必须全面，对评审内容中的各项要求有详细描述； 2、可实施性：切合本项目实际情况，提出步骤清晰、合理的方案； 3、针对性：方案能够紧扣项目实际情况，内容科学合理。 三、赋分标准（满分6分） ①服务过程中的重点、难点分析：每完全满足一个评审标准得1分，不完全满足一个评审标准得0-1分，满分3分； ②针对重点、难点提出的解决方案：每完全满足一个评审标准得1分，不完全满足一个评审标准得0-1分，满分3分；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平台功能</w:t>
            </w:r>
          </w:p>
        </w:tc>
        <w:tc>
          <w:tcPr>
            <w:tcW w:type="dxa" w:w="2492"/>
          </w:tcPr>
          <w:p>
            <w:pPr>
              <w:pStyle w:val="null3"/>
            </w:pPr>
            <w:r>
              <w:rPr>
                <w:rFonts w:ascii="仿宋_GB2312" w:hAnsi="仿宋_GB2312" w:cs="仿宋_GB2312" w:eastAsia="仿宋_GB2312"/>
              </w:rPr>
              <w:t>一、评审内容： 根据供应商提供的平台阅读及助学功能，包括：①平台阅读及助学功能方案 二、评审标准： 1、完整性：方案必须全面，对评审内容中的各项要求有详细描述； 2、可实施性：切合本项目实际情况，提出步骤清晰、合理的方案； 3、针对性：方案能够紧扣项目实际情况，内容科学合理。 三、赋分标准（满分9分） ①平台阅读及助学功能方案：每完全满足一个评审标准得3分，不完全满足一个评审标准得0-3分，满分9分；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课程资源制作方案</w:t>
            </w:r>
          </w:p>
        </w:tc>
        <w:tc>
          <w:tcPr>
            <w:tcW w:type="dxa" w:w="2492"/>
          </w:tcPr>
          <w:p>
            <w:pPr>
              <w:pStyle w:val="null3"/>
            </w:pPr>
            <w:r>
              <w:rPr>
                <w:rFonts w:ascii="仿宋_GB2312" w:hAnsi="仿宋_GB2312" w:cs="仿宋_GB2312" w:eastAsia="仿宋_GB2312"/>
              </w:rPr>
              <w:t>一、评审内容： 根据供应商的课程资源制作方案（二维动画/视频微课），包括：①拍摄准备（包括PPT设计、素材整理、视频制作规格标准等）②视频拍摄（包括交互式大屏拍摄、授课现场拍摄、虚拟场景拍摄等）③视频剪辑（包括视频剪辑，视频转码，视频审校等）④视频包装（包括素材插入，特效制作，片头片尾制作，字幕制作等） 注：每门课提供不低于10个二维动画/视频微课。 二、评审标准： 1、完整性：方案必须全面，对评审内容中的各项要求有详细描述； 2、可实施性：切合本项目实际情况，提出步骤清晰、合理的方案； 3、针对性：方案能够紧扣项目实际情况，内容科学合理。 三、赋分标准（满分12分） ①拍摄准备：每完全满足一个评审标准得1分，不完全满足一个评审标准得0-1分，满分3分； ②视频拍摄：每完全满足一个评审标准得1分，不完全满足一个评审标准得0-1分，满分3分； ③视频剪辑：每完全满足一个评审标准得1分，不完全满足一个评审标准得0-1分，满分3分； ④视频包装：每完全满足一个评审标准得1分，不完全满足一个评审标准得0-1分，满分3分；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根据供应商提供的售后服务方案，包括：①客服服务方案②应急情况处理措施 二、评审标准： 1、完整性：方案必须全面，对评审内容中的各项要求有详细描述； 2、可实施性：切合本项目实际情况，提出步骤清晰、合理的方案； 3、针对性：方案能够紧扣项目实际情况，内容科学合理。 三、赋分标准（满分6分） ①客服服务方案：每完全满足一个评审标准得1分，不完全满足一个评审标准得0-1分，满分3分； ②应急情况处理措施：每完全满足一个评审标准得1分，不完全满足一个评审标准得0-1分，满分3分；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供应商针对数字教材建设培训提供的服务方案，包括：①培训计划②培训次数及时间地点③培训师资人员 二、评审标准： 1、完整性：方案必须全面，对评审内容中的各项要求有详细描述； 2、可实施性：切合本项目实际情况，提出步骤清晰、合理的方案； 3、针对性：方案能够紧扣项目实际情况，内容科学合理。 三、赋分标准（满分6分） ①培训计划：每完全满足一个评审标准得1分，不完全满足一个评审标准得0-1分，满分3分； ②培训次数及时间地点：每完全满足一个评审标准得0.5分，不完全满足一个评审标准得0-0.5分，满分1.5分； ③培训师资人员：每完全满足一个评审标准得0.5分，不完全满足一个评审标准得0-0.5分，满分1.5分；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质量管控方案</w:t>
            </w:r>
          </w:p>
        </w:tc>
        <w:tc>
          <w:tcPr>
            <w:tcW w:type="dxa" w:w="2492"/>
          </w:tcPr>
          <w:p>
            <w:pPr>
              <w:pStyle w:val="null3"/>
            </w:pPr>
            <w:r>
              <w:rPr>
                <w:rFonts w:ascii="仿宋_GB2312" w:hAnsi="仿宋_GB2312" w:cs="仿宋_GB2312" w:eastAsia="仿宋_GB2312"/>
              </w:rPr>
              <w:t>一、评审内容： 供应商针对本项目提出的质量管控方案，包括：①质量管理制度②质量保证措施 二、评审标准： 1、完整性：方案必须全面，对评审内容中的各项要求有详细描述； 2、可实施性：切合本项目实际情况，提出步骤清晰、合理的方案； 3、针对性：方案能够紧扣项目实际情况，内容科学合理。 三、赋分标准（满分6分） ①质量管理制度：每完全满足一个评审标准得1分，不完全满足一个评审标准得0-1分，满分3分； ②质量保证措施：每完全满足一个评审标准得1分，不完全满足一个评审标准得0-1分，满分3分；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满足磋商文件要求且最后报价最低的供应商的价格为磋商基准价得10分，其他各供应商的最后磋商报价得分按下列公式计算：（磋商基准价/最后磋商报价）×10%×100。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