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版本号：RH采字【20250806】号20250828001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儿童综合服务中心（蓝天大楼）一楼室内翻新项目（EPC总承包）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RH采字【20250806】号</w:t>
      </w:r>
      <w:r>
        <w:br/>
      </w:r>
      <w:r>
        <w:br/>
      </w:r>
      <w:r>
        <w:br/>
      </w:r>
    </w:p>
    <w:p>
      <w:pPr>
        <w:pStyle w:val="null3"/>
        <w:jc w:val="center"/>
        <w:outlineLvl w:val="2"/>
      </w:pPr>
      <w:r>
        <w:rPr>
          <w:rFonts w:ascii="仿宋_GB2312" w:hAnsi="仿宋_GB2312" w:cs="仿宋_GB2312" w:eastAsia="仿宋_GB2312"/>
          <w:sz w:val="28"/>
          <w:b/>
        </w:rPr>
        <w:t>西安市儿童福利院</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西安市儿童福利院</w:t>
      </w:r>
      <w:r>
        <w:rPr>
          <w:rFonts w:ascii="仿宋_GB2312" w:hAnsi="仿宋_GB2312" w:cs="仿宋_GB2312" w:eastAsia="仿宋_GB2312"/>
        </w:rPr>
        <w:t>委托，拟对</w:t>
      </w:r>
      <w:r>
        <w:rPr>
          <w:rFonts w:ascii="仿宋_GB2312" w:hAnsi="仿宋_GB2312" w:cs="仿宋_GB2312" w:eastAsia="仿宋_GB2312"/>
        </w:rPr>
        <w:t>儿童综合服务中心（蓝天大楼）一楼室内翻新项目（EPC总承包）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RH采字【20250806】号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儿童综合服务中心（蓝天大楼）一楼室内翻新项目（EPC总承包）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成年人救助保护中心功能室设在西安市儿童福利院内蓝天大楼一层，框剪结构，建筑面积约800㎡，目前正在使用中。对蓝天大楼一层除楼梯间之外的门厅、电梯厅、办公室、卫生间及多功能活动室，大楼主入口增加南门外门斗、多功能活动室屋面防水翻新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采购包1（儿童综合服务中心（蓝天大楼）一楼室内翻新项目（EPC总承包））：属于预留采购份额面向中小企业采购，预留比例为100%。</w:t>
      </w:r>
    </w:p>
    <w:p>
      <w:pPr>
        <w:pStyle w:val="null3"/>
      </w:pPr>
      <w:r>
        <w:rPr>
          <w:rFonts w:ascii="仿宋_GB2312" w:hAnsi="仿宋_GB2312" w:cs="仿宋_GB2312" w:eastAsia="仿宋_GB2312"/>
        </w:rPr>
        <w:t>供应商以联合体形式参加本采购包的，联合体协议中中小企业预留比例为100%。（未组成联合体的，供应商应当为中小企业）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1、主体资格：提供有效的法人/企业负责人或者其他组织的营业执照等证明文件，自然人的身份证明；（联合体参与投标的，联合体成员均须满足此要求）</w:t>
      </w:r>
    </w:p>
    <w:p>
      <w:pPr>
        <w:pStyle w:val="null3"/>
      </w:pPr>
      <w:r>
        <w:rPr>
          <w:rFonts w:ascii="仿宋_GB2312" w:hAnsi="仿宋_GB2312" w:cs="仿宋_GB2312" w:eastAsia="仿宋_GB2312"/>
        </w:rPr>
        <w:t>2、资质：投标人同时具备资质要求：（1）本项目要求投标人具备建设主管部门颁发的工程设计综合资质甲级或建筑行业工程设计乙级及以上资质或建筑行业（建筑工程）工程专业乙级及以上资质；（2）施工资质：具有建设行政主管部门核发的建筑工程施工总承包三级及以上资质，并具备有效的安全生产许可证。 （联合体参加投标的，根据联合体协议中的分工，各成员应当具备与其分工内容相适应的资质，其中负责施工内容的成员需具备安全生产许可证）。</w:t>
      </w:r>
    </w:p>
    <w:p>
      <w:pPr>
        <w:pStyle w:val="null3"/>
      </w:pPr>
      <w:r>
        <w:rPr>
          <w:rFonts w:ascii="仿宋_GB2312" w:hAnsi="仿宋_GB2312" w:cs="仿宋_GB2312" w:eastAsia="仿宋_GB2312"/>
        </w:rPr>
        <w:t>3、拟派总承包项目经理要求：须具备建筑工程专业二级注册建造师执业资格或在本单位注册的二级及以上注册建筑师执业资格或相关专业中级及以上技术职称，未担任其它在建工程的项目经理或总承包施工负责人（工程总承包项目经理与设计负责人或施工负责人可为同一人，但须同时满足其相应资格要求）。</w:t>
      </w:r>
    </w:p>
    <w:p>
      <w:pPr>
        <w:pStyle w:val="null3"/>
      </w:pPr>
      <w:r>
        <w:rPr>
          <w:rFonts w:ascii="仿宋_GB2312" w:hAnsi="仿宋_GB2312" w:cs="仿宋_GB2312" w:eastAsia="仿宋_GB2312"/>
        </w:rPr>
        <w:t>4、拟派设计负责人：须具备在本单位注册的二级及以上注册建筑师执业资格或相关专业中级及以上技术职称。</w:t>
      </w:r>
    </w:p>
    <w:p>
      <w:pPr>
        <w:pStyle w:val="null3"/>
      </w:pPr>
      <w:r>
        <w:rPr>
          <w:rFonts w:ascii="仿宋_GB2312" w:hAnsi="仿宋_GB2312" w:cs="仿宋_GB2312" w:eastAsia="仿宋_GB2312"/>
        </w:rPr>
        <w:t>5、拟派施工负责人：须具备建筑工程专业二级及以上注册建造师执业资格，提供合法有效的安全生产考核合格证（建安B证），且在本单位注册，未担任其它在建工程的项目经理。</w:t>
      </w:r>
    </w:p>
    <w:p>
      <w:pPr>
        <w:pStyle w:val="null3"/>
      </w:pPr>
      <w:r>
        <w:rPr>
          <w:rFonts w:ascii="仿宋_GB2312" w:hAnsi="仿宋_GB2312" w:cs="仿宋_GB2312" w:eastAsia="仿宋_GB2312"/>
        </w:rPr>
        <w:t>6、投标人、项目经理、项目负责人的基本信息：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p>
      <w:pPr>
        <w:pStyle w:val="null3"/>
      </w:pPr>
      <w:r>
        <w:rPr>
          <w:rFonts w:ascii="仿宋_GB2312" w:hAnsi="仿宋_GB2312" w:cs="仿宋_GB2312" w:eastAsia="仿宋_GB2312"/>
        </w:rPr>
        <w:t>7、信誉要求：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p>
      <w:pPr>
        <w:pStyle w:val="null3"/>
      </w:pPr>
      <w:r>
        <w:rPr>
          <w:rFonts w:ascii="仿宋_GB2312" w:hAnsi="仿宋_GB2312" w:cs="仿宋_GB2312" w:eastAsia="仿宋_GB2312"/>
        </w:rPr>
        <w:t>8、控股关系：单位负责人为同一人或者存在直接控股、管理关系的不同投标人，不得参加同一合同下的政府采购活动。（联合体参与投标的，联合体成员均须满足此要求）</w:t>
      </w:r>
    </w:p>
    <w:p>
      <w:pPr>
        <w:pStyle w:val="null3"/>
      </w:pPr>
      <w:r>
        <w:rPr>
          <w:rFonts w:ascii="仿宋_GB2312" w:hAnsi="仿宋_GB2312" w:cs="仿宋_GB2312" w:eastAsia="仿宋_GB2312"/>
        </w:rPr>
        <w:t>9、其他：本项目接受联合体投标，组成联合体成员不得超过2（含）家，具体分工以联合体协议约定为准，资质等级按联合协议中的分工对应的单位资质等级进行确定。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西安市儿童福利院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西安市未央区新广路98号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肖艳、刘珂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029-86615561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石雨鑫、刘 菲、李瑜、张丰利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029-81213967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 2002]1980号）”“国家发展改革委《关于降低部分建设项目收费标准规范收费行为等有关问题的通知》（发改价格[2011]534号）”的规定，按工程类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西安市儿童福利院</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西安市儿童福利院</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西安市儿童福利院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 刘 菲 李瑜 张丰利</w:t>
      </w:r>
    </w:p>
    <w:p>
      <w:pPr>
        <w:pStyle w:val="null3"/>
      </w:pPr>
      <w:r>
        <w:rPr>
          <w:rFonts w:ascii="仿宋_GB2312" w:hAnsi="仿宋_GB2312" w:cs="仿宋_GB2312" w:eastAsia="仿宋_GB2312"/>
        </w:rPr>
        <w:t>联系电话：029-81213967</w:t>
      </w:r>
    </w:p>
    <w:p>
      <w:pPr>
        <w:pStyle w:val="null3"/>
      </w:pPr>
      <w:r>
        <w:rPr>
          <w:rFonts w:ascii="仿宋_GB2312" w:hAnsi="仿宋_GB2312" w:cs="仿宋_GB2312" w:eastAsia="仿宋_GB2312"/>
        </w:rPr>
        <w:t>地址：陕西省西安市曲江新区雁翔路 3269 号旺座曲江 D 座 30 层 3001 号</w:t>
      </w:r>
    </w:p>
    <w:p>
      <w:pPr>
        <w:pStyle w:val="null3"/>
      </w:pPr>
      <w:r>
        <w:rPr>
          <w:rFonts w:ascii="仿宋_GB2312" w:hAnsi="仿宋_GB2312" w:cs="仿宋_GB2312" w:eastAsia="仿宋_GB2312"/>
        </w:rPr>
        <w:t>邮编：71000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儿童综合服务中心（蓝天大楼）一楼室内翻新项目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标的名称：儿童综合服务中心（蓝天大楼）一楼室内翻新项目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一、基本情况</w:t>
            </w:r>
          </w:p>
          <w:p>
            <w:pPr>
              <w:pStyle w:val="null3"/>
              <w:jc w:val="both"/>
            </w:pPr>
            <w:r>
              <w:rPr>
                <w:rFonts w:ascii="仿宋_GB2312" w:hAnsi="仿宋_GB2312" w:cs="仿宋_GB2312" w:eastAsia="仿宋_GB2312"/>
                <w:sz w:val="18"/>
              </w:rPr>
              <w:t>西安市未成年人救助保护中心功能室设在西安市儿童福利院内蓝天大楼一层，框剪结构，建筑面积约800㎡，目前正在使用中。对蓝天大楼一层除楼梯间之外的门厅、电梯厅、办公室、卫生间及多功能活动室，大楼主入口增加南门外门斗、多功能活动室屋面防水翻新工程。</w:t>
            </w:r>
          </w:p>
          <w:p>
            <w:pPr>
              <w:pStyle w:val="null3"/>
              <w:jc w:val="both"/>
            </w:pPr>
            <w:r>
              <w:rPr>
                <w:rFonts w:ascii="仿宋_GB2312" w:hAnsi="仿宋_GB2312" w:cs="仿宋_GB2312" w:eastAsia="仿宋_GB2312"/>
                <w:sz w:val="18"/>
                <w:b/>
              </w:rPr>
              <w:t>二、建设内容：</w:t>
            </w:r>
            <w:r>
              <w:rPr>
                <w:rFonts w:ascii="仿宋_GB2312" w:hAnsi="仿宋_GB2312" w:cs="仿宋_GB2312" w:eastAsia="仿宋_GB2312"/>
                <w:sz w:val="18"/>
              </w:rPr>
              <w:t>依据使用功能及技术要求，对蓝天大楼一层除楼梯间之外的门厅、电梯厅、办公室、卫生间及多功能活动室等翻新工程，大楼主入口增加南门外门斗、多功能活动室屋面防水翻新工程，进行设计并施工。</w:t>
            </w:r>
          </w:p>
          <w:p>
            <w:pPr>
              <w:pStyle w:val="null3"/>
              <w:jc w:val="both"/>
            </w:pPr>
            <w:r>
              <w:rPr>
                <w:rFonts w:ascii="仿宋_GB2312" w:hAnsi="仿宋_GB2312" w:cs="仿宋_GB2312" w:eastAsia="仿宋_GB2312"/>
                <w:sz w:val="18"/>
              </w:rPr>
              <w:t>1.设计（Engineering）：完成方案设计、施工图设计及深化设计（包括但不限于：平面布置图、天花布置图、地面铺装图、立面图、节点大样图、照明设计图、强弱电点位图、给排水点位图等）；专项设计：无障碍设施、安防监控系统、消防翻新等。限额设计，中标价不得超过施工图预算，超限需无偿优化设计。</w:t>
            </w:r>
          </w:p>
          <w:p>
            <w:pPr>
              <w:pStyle w:val="null3"/>
              <w:jc w:val="both"/>
            </w:pPr>
            <w:r>
              <w:rPr>
                <w:rFonts w:ascii="仿宋_GB2312" w:hAnsi="仿宋_GB2312" w:cs="仿宋_GB2312" w:eastAsia="仿宋_GB2312"/>
                <w:sz w:val="18"/>
              </w:rPr>
              <w:t>2.采购（Procurement）：所有装修主材（墙地面材料、天花材料、隔断材料、门窗、五金等）的采购、运输、保管；所有装饰面层材料（涂料、壁纸等）的采购；机电设备材料的采购（灯具、开关面板、电线电缆、配电箱、给排水洁具龙头、弱电线缆及面板等）；所有采购需提供材料设备清单（品牌、规格、型号、等级、数量、主要参数要求）、供应商资质证明、质量证明文件。鼓励使用环保、节能、符合相关标准的产品（环保材料≥90%，提供检测报告）；关键设备要求：节能灯具（LED光源）。</w:t>
            </w:r>
          </w:p>
          <w:p>
            <w:pPr>
              <w:pStyle w:val="null3"/>
              <w:jc w:val="both"/>
            </w:pPr>
            <w:r>
              <w:rPr>
                <w:rFonts w:ascii="仿宋_GB2312" w:hAnsi="仿宋_GB2312" w:cs="仿宋_GB2312" w:eastAsia="仿宋_GB2312"/>
                <w:sz w:val="18"/>
              </w:rPr>
              <w:t>3.施工（Construction）：按经审批的设计图纸和施工规范要求完成所有施工内容。拆除工程（按照设计施工图纸进行，建筑垃圾的清运和清运地点均由施工方负责）；土建工程（如涉及少量隔墙砌筑/拆除）；装饰装修工程（所有天、地、墙面的基层、面层施工）；强电工程（动力、照明、应急系统的布线、设备安装、调试）；给排水工程（供水、排水管线铺设、设备安装、调试）；弱电工程（网络综合布线、电话布线、监控点位预留、背景音乐预留、门禁的管线铺设和设备安装调试，与最终系统集成商的接口责任需明确）。消防工程（喷淋、烟感、报警装置等）的翻新；施工现场安全文明施工（围挡、警示标志、降尘降噪措施等）。协调与现有大楼管理及周边环境的关系。</w:t>
            </w:r>
          </w:p>
          <w:p>
            <w:pPr>
              <w:pStyle w:val="null3"/>
              <w:jc w:val="both"/>
            </w:pPr>
            <w:r>
              <w:rPr>
                <w:rFonts w:ascii="仿宋_GB2312" w:hAnsi="仿宋_GB2312" w:cs="仿宋_GB2312" w:eastAsia="仿宋_GB2312"/>
                <w:sz w:val="18"/>
              </w:rPr>
              <w:t>4.其他服务：办理开工、竣工验收等所有验收手续；组织施工管理；提供竣工图及全套技术资料；进行移交培训；提供2年质保期及终身维护服务响应。</w:t>
            </w:r>
            <w:r>
              <w:br/>
            </w:r>
            <w:r>
              <w:rPr>
                <w:rFonts w:ascii="仿宋_GB2312" w:hAnsi="仿宋_GB2312" w:cs="仿宋_GB2312" w:eastAsia="仿宋_GB2312"/>
                <w:sz w:val="18"/>
                <w:b/>
              </w:rPr>
              <w:t>三、改造目标：</w:t>
            </w:r>
            <w:r>
              <w:rPr>
                <w:rFonts w:ascii="仿宋_GB2312" w:hAnsi="仿宋_GB2312" w:cs="仿宋_GB2312" w:eastAsia="仿宋_GB2312"/>
                <w:sz w:val="18"/>
              </w:rPr>
              <w:t>提升设施安全性与功能性，符合未成年人保护规范；优化空间布局；增设文创内容；增强环境亲和力；实现节能环保、无障碍设计（符合《无障碍设计规范》GB50763）。计划打造一个集会议培训、儿童心理干预及社会融入、对外接待、日常办公为一体的功能齐全的市级未成年人救助保护中心。（提升办公环境、改善功能布局、满足安全、消防规范、节能环保等）</w:t>
            </w:r>
          </w:p>
          <w:p>
            <w:pPr>
              <w:pStyle w:val="null3"/>
              <w:jc w:val="both"/>
            </w:pPr>
            <w:r>
              <w:rPr>
                <w:rFonts w:ascii="仿宋_GB2312" w:hAnsi="仿宋_GB2312" w:cs="仿宋_GB2312" w:eastAsia="仿宋_GB2312"/>
                <w:sz w:val="18"/>
                <w:b/>
              </w:rPr>
              <w:t>四、技术要求</w:t>
            </w:r>
            <w:r>
              <w:br/>
            </w:r>
            <w:r>
              <w:rPr>
                <w:rFonts w:ascii="仿宋_GB2312" w:hAnsi="仿宋_GB2312" w:cs="仿宋_GB2312" w:eastAsia="仿宋_GB2312"/>
                <w:sz w:val="18"/>
              </w:rPr>
              <w:t xml:space="preserve"> 1.功能室标准：在蓝天大楼一楼设置接待室、宣传展览室、未保热线及法律援助室、志愿者活动室、社会工作室（团体辅导、家庭辅导）、会议准备室、业务培训室等功能室。各功能室的面积与原房间一致（接待室为卫生间改造后面积）多功能活动室325㎡多媒体设备预埋管线。</w:t>
            </w:r>
          </w:p>
          <w:p>
            <w:pPr>
              <w:pStyle w:val="null3"/>
              <w:jc w:val="both"/>
            </w:pPr>
            <w:r>
              <w:rPr>
                <w:rFonts w:ascii="仿宋_GB2312" w:hAnsi="仿宋_GB2312" w:cs="仿宋_GB2312" w:eastAsia="仿宋_GB2312"/>
                <w:sz w:val="18"/>
              </w:rPr>
              <w:t>社会工作室：开展团体辅导或家庭辅导；策划实施项目；社会组织进驻办公；</w:t>
            </w:r>
          </w:p>
          <w:p>
            <w:pPr>
              <w:pStyle w:val="null3"/>
              <w:jc w:val="both"/>
            </w:pPr>
            <w:r>
              <w:rPr>
                <w:rFonts w:ascii="仿宋_GB2312" w:hAnsi="仿宋_GB2312" w:cs="仿宋_GB2312" w:eastAsia="仿宋_GB2312"/>
                <w:sz w:val="18"/>
              </w:rPr>
              <w:t>志愿者服务中心：培训志愿者；动员公众参加志愿活动；</w:t>
            </w:r>
          </w:p>
          <w:p>
            <w:pPr>
              <w:pStyle w:val="null3"/>
              <w:jc w:val="both"/>
            </w:pPr>
            <w:r>
              <w:rPr>
                <w:rFonts w:ascii="仿宋_GB2312" w:hAnsi="仿宋_GB2312" w:cs="仿宋_GB2312" w:eastAsia="仿宋_GB2312"/>
                <w:sz w:val="18"/>
              </w:rPr>
              <w:t>未保热线及法律援助室：定期邀请律师进行法律咨询；热线处理流程；法律政策文件陈列；</w:t>
            </w:r>
          </w:p>
          <w:p>
            <w:pPr>
              <w:pStyle w:val="null3"/>
              <w:jc w:val="both"/>
            </w:pPr>
            <w:r>
              <w:rPr>
                <w:rFonts w:ascii="仿宋_GB2312" w:hAnsi="仿宋_GB2312" w:cs="仿宋_GB2312" w:eastAsia="仿宋_GB2312"/>
                <w:sz w:val="18"/>
              </w:rPr>
              <w:t>宣传展览室：展示市未保中心工作；造型展柜；文创墙；设置异形沙发；</w:t>
            </w:r>
          </w:p>
          <w:p>
            <w:pPr>
              <w:pStyle w:val="null3"/>
              <w:jc w:val="both"/>
            </w:pPr>
            <w:r>
              <w:rPr>
                <w:rFonts w:ascii="仿宋_GB2312" w:hAnsi="仿宋_GB2312" w:cs="仿宋_GB2312" w:eastAsia="仿宋_GB2312"/>
                <w:sz w:val="18"/>
              </w:rPr>
              <w:t>接待室：来访人员接待；会前领导准备；培训老师准备休息</w:t>
            </w:r>
            <w:r>
              <w:br/>
            </w:r>
            <w:r>
              <w:rPr>
                <w:rFonts w:ascii="仿宋_GB2312" w:hAnsi="仿宋_GB2312" w:cs="仿宋_GB2312" w:eastAsia="仿宋_GB2312"/>
                <w:sz w:val="18"/>
              </w:rPr>
              <w:t xml:space="preserve"> 2.安全与环保：材料：甲醛释放量不高于规范GB 18580-2017的相关要求；消防：更新烟雾报警器、应急照明系统；无障碍：通道宽度≥1.5m，卫生间设扶手及紧急按钮。</w:t>
            </w:r>
          </w:p>
          <w:p>
            <w:pPr>
              <w:pStyle w:val="null3"/>
              <w:jc w:val="both"/>
            </w:pPr>
            <w:r>
              <w:rPr>
                <w:rFonts w:ascii="仿宋_GB2312" w:hAnsi="仿宋_GB2312" w:cs="仿宋_GB2312" w:eastAsia="仿宋_GB2312"/>
                <w:sz w:val="18"/>
              </w:rPr>
              <w:t>3.智能化系统：蓝天大楼一楼南门智能化门禁系统；</w:t>
            </w:r>
          </w:p>
          <w:p>
            <w:pPr>
              <w:pStyle w:val="null3"/>
              <w:jc w:val="both"/>
            </w:pPr>
            <w:r>
              <w:rPr>
                <w:rFonts w:ascii="仿宋_GB2312" w:hAnsi="仿宋_GB2312" w:cs="仿宋_GB2312" w:eastAsia="仿宋_GB2312"/>
                <w:sz w:val="18"/>
              </w:rPr>
              <w:t>4.安防监控：更新安防监控摄像头，全覆盖无死角，存储时长≥30天；网络：千兆光纤接入，预留5G扩展接口。</w:t>
            </w:r>
          </w:p>
          <w:p>
            <w:pPr>
              <w:pStyle w:val="null3"/>
              <w:jc w:val="both"/>
            </w:pPr>
            <w:r>
              <w:rPr>
                <w:rFonts w:ascii="仿宋_GB2312" w:hAnsi="仿宋_GB2312" w:cs="仿宋_GB2312" w:eastAsia="仿宋_GB2312"/>
                <w:sz w:val="18"/>
                <w:b/>
              </w:rPr>
              <w:t>五、项目管理要求</w:t>
            </w:r>
          </w:p>
          <w:p>
            <w:pPr>
              <w:pStyle w:val="null3"/>
              <w:jc w:val="both"/>
            </w:pPr>
            <w:r>
              <w:rPr>
                <w:rFonts w:ascii="仿宋_GB2312" w:hAnsi="仿宋_GB2312" w:cs="仿宋_GB2312" w:eastAsia="仿宋_GB2312"/>
                <w:sz w:val="18"/>
              </w:rPr>
              <w:t>1.项目经理：要求投标方委派经验丰富、资质符合要求的常驻项目经理。</w:t>
            </w:r>
          </w:p>
          <w:p>
            <w:pPr>
              <w:pStyle w:val="null3"/>
              <w:jc w:val="both"/>
            </w:pPr>
            <w:r>
              <w:rPr>
                <w:rFonts w:ascii="仿宋_GB2312" w:hAnsi="仿宋_GB2312" w:cs="仿宋_GB2312" w:eastAsia="仿宋_GB2312"/>
                <w:sz w:val="18"/>
              </w:rPr>
              <w:t>2.项目管理机构：配备专业齐全的管理团队（设计、施工、采购、安全、资料等）。</w:t>
            </w:r>
          </w:p>
          <w:p>
            <w:pPr>
              <w:pStyle w:val="null3"/>
              <w:jc w:val="both"/>
            </w:pPr>
            <w:r>
              <w:rPr>
                <w:rFonts w:ascii="仿宋_GB2312" w:hAnsi="仿宋_GB2312" w:cs="仿宋_GB2312" w:eastAsia="仿宋_GB2312"/>
                <w:sz w:val="18"/>
              </w:rPr>
              <w:t>3.沟通协调机制：要求建立周例会、关键节点汇报、问题及时反馈等机制。</w:t>
            </w:r>
          </w:p>
          <w:p>
            <w:pPr>
              <w:pStyle w:val="null3"/>
              <w:jc w:val="both"/>
            </w:pPr>
            <w:r>
              <w:rPr>
                <w:rFonts w:ascii="仿宋_GB2312" w:hAnsi="仿宋_GB2312" w:cs="仿宋_GB2312" w:eastAsia="仿宋_GB2312"/>
                <w:sz w:val="18"/>
              </w:rPr>
              <w:t>4.文件管理：按规范要求及时提交设计文件（初设、深化、施工图）、采购清单、施工日志、检验报告、竣工图（纸质及CAD电子版）、使用说明书、质保卡等技术资料。</w:t>
            </w:r>
          </w:p>
          <w:p>
            <w:pPr>
              <w:pStyle w:val="null3"/>
              <w:jc w:val="both"/>
            </w:pPr>
            <w:r>
              <w:rPr>
                <w:rFonts w:ascii="仿宋_GB2312" w:hAnsi="仿宋_GB2312" w:cs="仿宋_GB2312" w:eastAsia="仿宋_GB2312"/>
                <w:sz w:val="18"/>
                <w:b/>
              </w:rPr>
              <w:t>六、进度计划要求</w:t>
            </w:r>
          </w:p>
          <w:p>
            <w:pPr>
              <w:pStyle w:val="null3"/>
              <w:jc w:val="both"/>
            </w:pPr>
            <w:r>
              <w:rPr>
                <w:rFonts w:ascii="仿宋_GB2312" w:hAnsi="仿宋_GB2312" w:cs="仿宋_GB2312" w:eastAsia="仿宋_GB2312"/>
                <w:sz w:val="18"/>
              </w:rPr>
              <w:t>1.总工期：85日历天（含设计15天）。</w:t>
            </w:r>
          </w:p>
          <w:p>
            <w:pPr>
              <w:pStyle w:val="null3"/>
              <w:jc w:val="both"/>
            </w:pPr>
            <w:r>
              <w:rPr>
                <w:rFonts w:ascii="仿宋_GB2312" w:hAnsi="仿宋_GB2312" w:cs="仿宋_GB2312" w:eastAsia="仿宋_GB2312"/>
                <w:sz w:val="18"/>
              </w:rPr>
              <w:t>2.关键节点：合同签订后15天设计图纸确认完成、60天隐蔽工程验收完成、第80天竣工验收。</w:t>
            </w:r>
          </w:p>
          <w:p>
            <w:pPr>
              <w:pStyle w:val="null3"/>
              <w:jc w:val="both"/>
            </w:pPr>
            <w:r>
              <w:rPr>
                <w:rFonts w:ascii="仿宋_GB2312" w:hAnsi="仿宋_GB2312" w:cs="仿宋_GB2312" w:eastAsia="仿宋_GB2312"/>
                <w:sz w:val="18"/>
                <w:b/>
              </w:rPr>
              <w:t>七、造价控制要求</w:t>
            </w:r>
          </w:p>
          <w:p>
            <w:pPr>
              <w:pStyle w:val="null3"/>
              <w:jc w:val="both"/>
            </w:pPr>
            <w:r>
              <w:rPr>
                <w:rFonts w:ascii="仿宋_GB2312" w:hAnsi="仿宋_GB2312" w:cs="仿宋_GB2312" w:eastAsia="仿宋_GB2312"/>
                <w:sz w:val="18"/>
              </w:rPr>
              <w:t>1.投标最高限价：本项目投标最高限价为120万元，其中：设计费5.17万元，建筑安装工程费114.83万元。</w:t>
            </w:r>
          </w:p>
          <w:p>
            <w:pPr>
              <w:pStyle w:val="null3"/>
              <w:jc w:val="both"/>
            </w:pPr>
            <w:r>
              <w:rPr>
                <w:rFonts w:ascii="仿宋_GB2312" w:hAnsi="仿宋_GB2312" w:cs="仿宋_GB2312" w:eastAsia="仿宋_GB2312"/>
                <w:sz w:val="18"/>
              </w:rPr>
              <w:t>2.投标报价：投标报价包括两部分，第一部分为本项目设计费，第二部分为本项目建筑安装工程费，应为完成本任务书规定的全部工作内容（含设计、采购、施工、管理、利润、税金、规费、风险费等）的总价，投标总报价不得超过投标最高限价。设计费报总价，为总价包干，不得超过设计费投标最高限价。（本项目建筑安装工程费最终结算按中标建筑安装费下浮费率结算）</w:t>
            </w:r>
          </w:p>
          <w:p>
            <w:pPr>
              <w:pStyle w:val="null3"/>
              <w:jc w:val="both"/>
            </w:pPr>
            <w:r>
              <w:rPr>
                <w:rFonts w:ascii="仿宋_GB2312" w:hAnsi="仿宋_GB2312" w:cs="仿宋_GB2312" w:eastAsia="仿宋_GB2312"/>
                <w:sz w:val="18"/>
              </w:rPr>
              <w:t>3.建筑安装工程费的确定：项目施工图经发包人确认后，由总承包单位依据陕西省现行建设工程投标最高限价编制原则及依据编制工程量清单及报价，发包人委托投资评审单位对编制的工程量清单及报价进行评审，经评审后作为本项目的建筑安装工程合同价，该合同价内的清单综合单价作为本项目工程进度款支付、工程结算等的依据（建安工程下浮率在结算时统一调整）。</w:t>
            </w:r>
          </w:p>
          <w:p>
            <w:pPr>
              <w:pStyle w:val="null3"/>
              <w:jc w:val="both"/>
            </w:pPr>
            <w:r>
              <w:rPr>
                <w:rFonts w:ascii="仿宋_GB2312" w:hAnsi="仿宋_GB2312" w:cs="仿宋_GB2312" w:eastAsia="仿宋_GB2312"/>
                <w:sz w:val="18"/>
              </w:rPr>
              <w:t>最终结算的建筑安装工程费=结算建安工程费*（1-</w:t>
            </w:r>
            <w:r>
              <w:rPr>
                <w:rFonts w:ascii="仿宋_GB2312" w:hAnsi="仿宋_GB2312" w:cs="仿宋_GB2312" w:eastAsia="仿宋_GB2312"/>
                <w:sz w:val="18"/>
                <w:u w:val="single"/>
              </w:rPr>
              <w:t>中标建筑安装费下浮费率</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本工程总结算价不得超过120万元。</w:t>
            </w:r>
          </w:p>
          <w:p>
            <w:pPr>
              <w:pStyle w:val="null3"/>
              <w:jc w:val="both"/>
            </w:pPr>
            <w:r>
              <w:rPr>
                <w:rFonts w:ascii="仿宋_GB2312" w:hAnsi="仿宋_GB2312" w:cs="仿宋_GB2312" w:eastAsia="仿宋_GB2312"/>
                <w:sz w:val="18"/>
              </w:rPr>
              <w:t>4.计价依据：陕西省现行建设工程投标最高限价编制原则及依据。</w:t>
            </w:r>
          </w:p>
          <w:p>
            <w:pPr>
              <w:pStyle w:val="null3"/>
              <w:jc w:val="both"/>
            </w:pPr>
            <w:r>
              <w:rPr>
                <w:rFonts w:ascii="仿宋_GB2312" w:hAnsi="仿宋_GB2312" w:cs="仿宋_GB2312" w:eastAsia="仿宋_GB2312"/>
                <w:sz w:val="18"/>
              </w:rPr>
              <w:t>5.工程变更：明确严格的变更管理程序，对于重大变更（影响造价或功能）需甲方书面批准。强调总包方提出的优化设计若获甲方批准并降低造价，原则上不增加费用（需在合同中明确约定）。</w:t>
            </w:r>
          </w:p>
          <w:p>
            <w:pPr>
              <w:pStyle w:val="null3"/>
              <w:jc w:val="both"/>
            </w:pPr>
            <w:r>
              <w:rPr>
                <w:rFonts w:ascii="仿宋_GB2312" w:hAnsi="仿宋_GB2312" w:cs="仿宋_GB2312" w:eastAsia="仿宋_GB2312"/>
                <w:sz w:val="18"/>
                <w:b/>
              </w:rPr>
              <w:t>八、</w:t>
            </w:r>
            <w:r>
              <w:rPr>
                <w:rFonts w:ascii="仿宋_GB2312" w:hAnsi="仿宋_GB2312" w:cs="仿宋_GB2312" w:eastAsia="仿宋_GB2312"/>
                <w:sz w:val="18"/>
                <w:b/>
              </w:rPr>
              <w:t>质量标准</w:t>
            </w:r>
          </w:p>
          <w:p>
            <w:pPr>
              <w:pStyle w:val="null3"/>
              <w:jc w:val="both"/>
            </w:pPr>
            <w:r>
              <w:rPr>
                <w:rFonts w:ascii="仿宋_GB2312" w:hAnsi="仿宋_GB2312" w:cs="仿宋_GB2312" w:eastAsia="仿宋_GB2312"/>
              </w:rPr>
              <w:t>工程设计质量标准：符合国家有关现行设计标准、规范的要求。</w:t>
            </w:r>
          </w:p>
          <w:p>
            <w:pPr>
              <w:pStyle w:val="null3"/>
              <w:jc w:val="both"/>
            </w:pPr>
            <w:r>
              <w:rPr>
                <w:rFonts w:ascii="仿宋_GB2312" w:hAnsi="仿宋_GB2312" w:cs="仿宋_GB2312" w:eastAsia="仿宋_GB2312"/>
              </w:rPr>
              <w:t>工程施工质量标准：达到国家现行施工验收规范“合格”标准。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工程设计质量标准：符合国家有关现行设计标准、规范的要求。 工程施工质量标准：达到国家现行施工验收规范“合格”标准。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2.落实的政府采购政策：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1、提供有效的法人/企业负责人或者其他组织的营业执照等证明文件，自然人的身份证明； 2、财务状况报告：（三种形式的资料提供任何一种即可）①提供2024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 3、提供可满足履行合同所需设备和专业技术能力的证明材料或承诺； 4、提供2025年1月1日至今已缴存的至少一个月的纳税证明或完税证明，依法免税的单位应提供相关证明材料；时间以税款所属时期为准； 5、提供2025年1月1日至今已缴存的至少一个月的社会保障资金缴存单据或社保机构开具的社会保险参保缴费情况证明，依法不需要缴纳社会保障资金的单位应提供相关证明材料； 6、提供有效的参加政府采购活动前3年内在经营活动中没有重大违法记录的书面声明。（联合体参与投标的，联合体成员均须满足此要求）</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2024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要求供应商以联合体参加，且联合体中中小企业达到100%或参与的供应商（联合体）工程的施工单位全部为符合政策要求的中小企业。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提供有效的法人/企业负责人或者其他组织的营业执照等证明文件，自然人的身份证明；（联合体参与投标的，联合体成员均须满足此要求）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同时具备资质要求：（1）本项目要求投标人具备建设主管部门颁发的工程设计综合资质甲级或建筑行业工程设计乙级及以上资质或建筑行业（建筑工程）工程专业乙级及以上资质；（2）施工资质：具有建设行政主管部门核发的建筑工程施工总承包三级及以上资质，并具备有效的安全生产许可证。 （联合体参加投标的，根据联合体协议中的分工，各成员应当具备与其分工内容相适应的资质，其中负责施工内容的成员需具备安全生产许可证）。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拟派总承包项目经理要求</w:t>
            </w:r>
          </w:p>
        </w:tc>
        <w:tc>
          <w:tcPr>
            <w:tcW w:type="dxa" w:w="3322"/>
          </w:tcPr>
          <w:p>
            <w:pPr>
              <w:pStyle w:val="null3"/>
            </w:pPr>
            <w:r>
              <w:rPr>
                <w:rFonts w:ascii="仿宋_GB2312" w:hAnsi="仿宋_GB2312" w:cs="仿宋_GB2312" w:eastAsia="仿宋_GB2312"/>
              </w:rPr>
              <w:t>须具备建筑工程专业二级注册建造师执业资格或在本单位注册的二级及以上注册建筑师执业资格或相关专业中级及以上技术职称，未担任其它在建工程的项目经理或总承包施工负责人（工程总承包项目经理与设计负责人或施工负责人可为同一人，但须同时满足其相应资格要求）。</w:t>
            </w:r>
          </w:p>
        </w:tc>
        <w:tc>
          <w:tcPr>
            <w:tcW w:type="dxa" w:w="1661"/>
          </w:tcPr>
          <w:p>
            <w:pPr>
              <w:pStyle w:val="null3"/>
            </w:pPr>
            <w:r>
              <w:rPr>
                <w:rFonts w:ascii="仿宋_GB2312" w:hAnsi="仿宋_GB2312" w:cs="仿宋_GB2312" w:eastAsia="仿宋_GB2312"/>
              </w:rPr>
              <w:t>投标人应提交的相关资格证明材料.docx 实施方案.docx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拟派设计负责人</w:t>
            </w:r>
          </w:p>
        </w:tc>
        <w:tc>
          <w:tcPr>
            <w:tcW w:type="dxa" w:w="3322"/>
          </w:tcPr>
          <w:p>
            <w:pPr>
              <w:pStyle w:val="null3"/>
            </w:pPr>
            <w:r>
              <w:rPr>
                <w:rFonts w:ascii="仿宋_GB2312" w:hAnsi="仿宋_GB2312" w:cs="仿宋_GB2312" w:eastAsia="仿宋_GB2312"/>
              </w:rPr>
              <w:t>须具备在本单位注册的二级及以上注册建筑师执业资格或相关专业中级及以上技术职称。</w:t>
            </w:r>
          </w:p>
        </w:tc>
        <w:tc>
          <w:tcPr>
            <w:tcW w:type="dxa" w:w="1661"/>
          </w:tcPr>
          <w:p>
            <w:pPr>
              <w:pStyle w:val="null3"/>
            </w:pPr>
            <w:r>
              <w:rPr>
                <w:rFonts w:ascii="仿宋_GB2312" w:hAnsi="仿宋_GB2312" w:cs="仿宋_GB2312" w:eastAsia="仿宋_GB2312"/>
              </w:rPr>
              <w:t>投标人应提交的相关资格证明材料.docx 实施方案.docx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拟派施工负责人</w:t>
            </w:r>
          </w:p>
        </w:tc>
        <w:tc>
          <w:tcPr>
            <w:tcW w:type="dxa" w:w="3322"/>
          </w:tcPr>
          <w:p>
            <w:pPr>
              <w:pStyle w:val="null3"/>
            </w:pPr>
            <w:r>
              <w:rPr>
                <w:rFonts w:ascii="仿宋_GB2312" w:hAnsi="仿宋_GB2312" w:cs="仿宋_GB2312" w:eastAsia="仿宋_GB2312"/>
              </w:rPr>
              <w:t>须具备建筑工程专业二级及以上注册建造师执业资格，提供合法有效的安全生产考核合格证（建安B证），且在本单位注册，未担任其它在建工程的项目经理。</w:t>
            </w:r>
          </w:p>
        </w:tc>
        <w:tc>
          <w:tcPr>
            <w:tcW w:type="dxa" w:w="1661"/>
          </w:tcPr>
          <w:p>
            <w:pPr>
              <w:pStyle w:val="null3"/>
            </w:pPr>
            <w:r>
              <w:rPr>
                <w:rFonts w:ascii="仿宋_GB2312" w:hAnsi="仿宋_GB2312" w:cs="仿宋_GB2312" w:eastAsia="仿宋_GB2312"/>
              </w:rPr>
              <w:t>投标人应提交的相关资格证明材料.docx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投标人、项目经理、项目负责人的基本信息</w:t>
            </w:r>
          </w:p>
        </w:tc>
        <w:tc>
          <w:tcPr>
            <w:tcW w:type="dxa" w:w="3322"/>
          </w:tcPr>
          <w:p>
            <w:pPr>
              <w:pStyle w:val="null3"/>
            </w:pPr>
            <w:r>
              <w:rPr>
                <w:rFonts w:ascii="仿宋_GB2312" w:hAnsi="仿宋_GB2312" w:cs="仿宋_GB2312" w:eastAsia="仿宋_GB2312"/>
              </w:rPr>
              <w:t>投标人及拟派工程总承包项目经理、施工负责人设计负责人的基本信息在“陕西省建筑市场监管与诚信信息发布平台”可查询，外省进陕施工企业需提供陕西省住房和城乡建设厅官网企业库外省进陕施工企业信息首页截图。（以陕西省建筑市场监管与诚信信息发布平台信息为准，联合体参与本项目的联合体成员均需提供）。</w:t>
            </w:r>
          </w:p>
        </w:tc>
        <w:tc>
          <w:tcPr>
            <w:tcW w:type="dxa" w:w="1661"/>
          </w:tcPr>
          <w:p>
            <w:pPr>
              <w:pStyle w:val="null3"/>
            </w:pPr>
            <w:r>
              <w:rPr>
                <w:rFonts w:ascii="仿宋_GB2312" w:hAnsi="仿宋_GB2312" w:cs="仿宋_GB2312" w:eastAsia="仿宋_GB2312"/>
              </w:rPr>
              <w:t>投标人应提交的相关资格证明材料.docx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在“信用中国”网站（www.creditchina.gov.cn）中被列入“信用服务”查询栏目中重大税收违法失信主体、失信被执行人、政府采购严重违法失信行为记录名单与“中国政府采购网（www.ccgp.gov.cn)”未被列入政府采购严重违法失信行为记录名单；（联合体参与投标的，联合体成员均须满足此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单位负责人为同一人或者存在直接控股、管理关系的不同投标人，不得参加同一合同下的政府采购活动。（联合体参与投标的，联合体成员均须满足此要求）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项目接受联合体投标，组成联合体成员不得超过2（含）家，具体分工以联合体协议约定为准，资质等级按联合协议中的分工对应的单位资质等级进行确定。联合体投标时须明确联合体牵头单位，联合体牵头单位代表联合体各方办理本项目招投标活动过程中的一切事务，联合体应满足资格审查条件中规定的相应资质。联合体成员应共同签订具有法律效力和有约束力的联合体协议，明确各方权利、义务和分工，并声明承诺联合体各成员方对本次申请以及中标后签订合同承担全部及连带责任。 联合体投标的由联合体牵头单位负责投标全过程，包括但不限于报名、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标段中投标，否则其投标和与此相关的联合体投标将被拒绝。</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投标报价一览表.docx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rFonts w:ascii="仿宋_GB2312" w:hAnsi="仿宋_GB2312" w:cs="仿宋_GB2312" w:eastAsia="仿宋_GB2312"/>
              </w:rPr>
              <w:t>响应文件封面 投标报价一览表.docx 投标人应提交的相关资格证明材料.docx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投标文件完整且编排有序，投标内容基本完整，无重大错漏；</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投标报价一览表.docx 已标价工程量清单 报价函 技术服务合同条款及其他商务要求应答表 标的清单 实质性要求和条件响应情况.docx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 实质性要求和条件响应情况.docx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投标人提供2022年1月1日起至本项目招标文件递交截止时间止），承接过类似项目业绩（施工、维修改造）。每提供与本项目类似的业绩一项得2分，最高得8分； 评审依据：以加盖投标人公章的合同复印件或扫描件为准，业绩时间以合同签署日期为准。 注：以联合体形式提出投标的，以联合体中牵头单位提供的业绩证明材料才可得分。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拟派工程总承包项目经理业绩</w:t>
            </w:r>
          </w:p>
        </w:tc>
        <w:tc>
          <w:tcPr>
            <w:tcW w:type="dxa" w:w="2492"/>
          </w:tcPr>
          <w:p>
            <w:pPr>
              <w:pStyle w:val="null3"/>
            </w:pPr>
            <w:r>
              <w:rPr>
                <w:rFonts w:ascii="仿宋_GB2312" w:hAnsi="仿宋_GB2312" w:cs="仿宋_GB2312" w:eastAsia="仿宋_GB2312"/>
              </w:rPr>
              <w:t>投标人应提供自2022年1月1日以来至今（时间以合同签订时间为准）完成类似业绩证明材料，提供1项有效业绩证明材料的复印件或扫描件得1分,本项最高得2分，未提供的不得分。 评审依据：提供合同或中标通知书，需体现项目 经理姓名，未体现不予赋分，可同企业业绩重复计分。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拟派项目部成员</w:t>
            </w:r>
          </w:p>
        </w:tc>
        <w:tc>
          <w:tcPr>
            <w:tcW w:type="dxa" w:w="2492"/>
          </w:tcPr>
          <w:p>
            <w:pPr>
              <w:pStyle w:val="null3"/>
            </w:pPr>
            <w:r>
              <w:rPr>
                <w:rFonts w:ascii="仿宋_GB2312" w:hAnsi="仿宋_GB2312" w:cs="仿宋_GB2312" w:eastAsia="仿宋_GB2312"/>
              </w:rPr>
              <w:t>根据投标人针对本项目制定除项目经理以外的 专业搭配、工作内容配置、人员数量等因素进行 评审；人员配备计划科学合理、满足项目要求，合理性、针对性强的得3.1-5 分； 人员配备计划有一定的可行性，基本满足项目需求，稍有欠缺的得1.1-3 分； 人员配备计划的合理性、针对性差，简单粗略的 0.1-1 分；未提供的得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1.工程总承包【EPC】管理方案： 投标人针对本项目工程总承包（EPC）模式管理提出的工作构想及思路。其中包含但不限于管理机构的组织架构及管理办法；设计、施工及采购协调联动方案等进行赋分。 方案有针对性且科学完整得3.1—5分，较为有针对性且科学完整得1.1—3分，不完整、存在缺陷得0.1—1分，未提供得0分。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2.设计组织措施及方案： 投标人提供对本项目设计的理解以及分析、深化方案，针对性、科学性、准确性等内容进行赋分。 方案有针对性且科学完整得5.1—8分，较为有针对性且科学完整得2.1—5分，不完整、存在缺陷得0.1—2分，未提供得0分。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3.施工组织方案： 投标人提供针对本项目施工总体实施方案紧贴项目实际、可行性高等内容进行赋分。 方案有针对性且科学完整得3.1—5分，较为有针对性且科学完整得1.1—3分，不完整、存在缺陷得0.1—1分，未提供得0分。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4.确保项目总体质量及施工过程质量措施： 投标人提供质量目标明确、针对性强、措施完善合理等内容进行赋分。 措施有针对性且科学完整得5.1—8分，较为有针对性且科学完整得2.1—5分，不完整、存在缺陷得0.1—2分，未提供得0分。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5.确保项目总体安全及施工过程安全措施： 投标人提供的项目总体安全及施工过程安全目标明确、针对性强、措施完善合理等内容进行赋分。 方案有针对性且科学完整得5.1—8分，较为有针对性且科学完整得2.1—5分，不完整、存在缺陷得0.1—2分，未提供得0分。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6.确保项目总体进度及施工进度计划： 投标人提供项目总体进度计划及施工进度、以各投标人工期优于计划工期的具体情况、确保项目总体进度及施工进度计划的技术组织措施、提供节约工期的相应技术组织措施等内容进行赋分。 方案有针对性且科学完整得7.1—10分，较为有针对性且科学完整得4.1—7分，不完整、存在缺陷得1.0—4分，未提供得0分。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7.项目总体造价控制计划 投标人提供设计如何有效进行项目总体造价控制的措施办法和计划等内容进行赋分。 方案有针对性且科学完整得1.1—2.0分，较为有针对性且科学完整得0.1—1分，不完整、存在缺陷或未提供得0分。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8.项目重点难点分析及处理措施： 投标人针对项目重点难点进行分析，在保证项目有效造价、进度、质量、安全、环保控制的基础上进行重、难点分析及处理措施进行赋分。 分析及处理措施合理、明确有针对性且科学完整得1.1—2分，较为有针对性且科学完整得0.1—1分，不完整、存在缺陷或未提供得0分。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9.投标人需针对本项目提供项目的主材清单（清单 内容包括但不限于材料名称、品牌、规格、材质 等）及主材检测报告、技术参数性能证明材料等 资料，根据提供内容的完整程度进行综合评分：①提供主材及清单内容完整齐全，技术参数性能 优于采购人要求的，计3.1-5分；②提供主材及清单内容完整齐全，技术参数性能 符合采购人要求的，计2.1-3分；③提供主材及清单内容基本齐全，技术参数性能基本满足采购人要求的，计1.1-2分；④提供主材及清单内容不完整，技术参数性能部 分满足采购人要求的，计0.1-1分；⑤未提供的不得分。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10.服务承诺： 根据投标人提供的服务承诺等进行赋分，服务承诺合理、明确，计0.5—1分；服务承诺能够满足项目需求，但部分内容稍有欠缺，承诺不合理、明确，计0.1—0.5分，未提供得0分。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工程总承包总体实施方案</w:t>
            </w:r>
          </w:p>
        </w:tc>
        <w:tc>
          <w:tcPr>
            <w:tcW w:type="dxa" w:w="2492"/>
          </w:tcPr>
          <w:p>
            <w:pPr>
              <w:pStyle w:val="null3"/>
            </w:pPr>
            <w:r>
              <w:rPr>
                <w:rFonts w:ascii="仿宋_GB2312" w:hAnsi="仿宋_GB2312" w:cs="仿宋_GB2312" w:eastAsia="仿宋_GB2312"/>
              </w:rPr>
              <w:t>11.合理化建议： 投标人针对项目合理化建议，在保证项目有效造价、进度、质量、安全、环保控制的基础上进行合理化建议进行赋分。 合理化建议明确、合理有针对性且科学的，得1分，较为有针对性且科学的，得0.1—0.5分，不完整、存在缺陷或未提供得0分。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 4.投标报价不完整的，不进入评标标准价的计算，本项得0分。 5.经评委一致认定，供应商的投标总报价低于公认市场成本，或超过采购预算,其投标将被拒绝。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投标报价一览表.docx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详见附件：投标报价一览表.docx</w:t>
      </w:r>
    </w:p>
    <w:p>
      <w:pPr>
        <w:pStyle w:val="null3"/>
        <w:ind w:firstLine="960"/>
      </w:pPr>
      <w:r>
        <w:rPr>
          <w:rFonts w:ascii="仿宋_GB2312" w:hAnsi="仿宋_GB2312" w:cs="仿宋_GB2312" w:eastAsia="仿宋_GB2312"/>
        </w:rPr>
        <w:t>详见附件：实质性要求和条件响应情况.docx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详见附件：西安儿童福利院建设工程总承包合同2025.08.28（定稿） -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