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8C459">
      <w:pPr>
        <w:pStyle w:val="7"/>
        <w:jc w:val="center"/>
        <w:outlineLvl w:val="1"/>
      </w:pPr>
      <w:r>
        <w:rPr>
          <w:rFonts w:ascii="仿宋_GB2312" w:hAnsi="仿宋_GB2312" w:eastAsia="仿宋_GB2312" w:cs="仿宋_GB2312"/>
          <w:b/>
          <w:sz w:val="36"/>
        </w:rPr>
        <w:t>拟签订合同文本</w:t>
      </w:r>
    </w:p>
    <w:p w14:paraId="62404324">
      <w:pPr>
        <w:pStyle w:val="7"/>
        <w:rPr>
          <w:rFonts w:ascii="宋体" w:hAnsi="宋体" w:cs="宋体"/>
          <w:sz w:val="24"/>
          <w:szCs w:val="24"/>
        </w:rPr>
      </w:pPr>
      <w:r>
        <w:rPr>
          <w:rFonts w:hint="eastAsia" w:ascii="宋体" w:hAnsi="宋体" w:cs="宋体"/>
          <w:sz w:val="24"/>
          <w:szCs w:val="24"/>
        </w:rPr>
        <w:t>合同编号：</w:t>
      </w:r>
    </w:p>
    <w:p w14:paraId="051738A3">
      <w:pPr>
        <w:spacing w:line="360" w:lineRule="auto"/>
        <w:rPr>
          <w:rFonts w:ascii="宋体" w:hAnsi="宋体" w:cs="宋体"/>
          <w:sz w:val="24"/>
          <w:szCs w:val="24"/>
        </w:rPr>
      </w:pPr>
      <w:r>
        <w:rPr>
          <w:rFonts w:hint="eastAsia" w:ascii="宋体" w:hAnsi="宋体" w:cs="宋体"/>
          <w:sz w:val="24"/>
          <w:szCs w:val="24"/>
        </w:rPr>
        <w:t>甲方（</w:t>
      </w:r>
      <w:r>
        <w:rPr>
          <w:rFonts w:hint="eastAsia" w:ascii="宋体" w:hAnsi="宋体" w:cs="宋体"/>
          <w:sz w:val="24"/>
          <w:szCs w:val="24"/>
          <w:lang w:eastAsia="zh-CN"/>
        </w:rPr>
        <w:t>采购人</w:t>
      </w:r>
      <w:r>
        <w:rPr>
          <w:rFonts w:hint="eastAsia" w:ascii="宋体" w:hAnsi="宋体" w:cs="宋体"/>
          <w:sz w:val="24"/>
          <w:szCs w:val="24"/>
        </w:rPr>
        <w:t xml:space="preserve">）：西安市公安局 </w:t>
      </w:r>
    </w:p>
    <w:p w14:paraId="261C7A33">
      <w:pPr>
        <w:spacing w:line="360" w:lineRule="auto"/>
        <w:rPr>
          <w:rFonts w:ascii="宋体" w:hAnsi="宋体" w:cs="宋体"/>
          <w:sz w:val="24"/>
          <w:szCs w:val="24"/>
        </w:rPr>
      </w:pPr>
      <w:r>
        <w:rPr>
          <w:rFonts w:hint="eastAsia" w:ascii="宋体" w:hAnsi="宋体" w:cs="宋体"/>
          <w:sz w:val="24"/>
          <w:szCs w:val="24"/>
        </w:rPr>
        <w:t>乙方（</w:t>
      </w:r>
      <w:r>
        <w:rPr>
          <w:rFonts w:hint="eastAsia" w:ascii="宋体" w:hAnsi="宋体" w:cs="宋体"/>
          <w:sz w:val="24"/>
          <w:szCs w:val="24"/>
          <w:lang w:eastAsia="zh-CN"/>
        </w:rPr>
        <w:t>成交单位</w:t>
      </w:r>
      <w:r>
        <w:rPr>
          <w:rFonts w:hint="eastAsia" w:ascii="宋体" w:hAnsi="宋体" w:cs="宋体"/>
          <w:sz w:val="24"/>
          <w:szCs w:val="24"/>
        </w:rPr>
        <w:t xml:space="preserve">）： </w:t>
      </w:r>
    </w:p>
    <w:p w14:paraId="371F5769">
      <w:pPr>
        <w:spacing w:line="360" w:lineRule="auto"/>
        <w:ind w:firstLine="480" w:firstLineChars="200"/>
        <w:rPr>
          <w:rFonts w:ascii="宋体" w:hAnsi="宋体" w:cs="宋体"/>
          <w:sz w:val="24"/>
          <w:szCs w:val="24"/>
        </w:rPr>
      </w:pPr>
      <w:r>
        <w:rPr>
          <w:rFonts w:hint="eastAsia" w:ascii="宋体" w:hAnsi="宋体" w:cs="宋体"/>
          <w:sz w:val="24"/>
          <w:szCs w:val="24"/>
        </w:rPr>
        <w:t>根据《中华人民共和国政府采购法》、《中华人民共和国民法典》等相关法律，甲、乙双方就</w:t>
      </w:r>
      <w:r>
        <w:rPr>
          <w:rFonts w:hint="eastAsia" w:ascii="宋体" w:hAnsi="宋体" w:cs="宋体"/>
          <w:sz w:val="24"/>
          <w:szCs w:val="24"/>
          <w:u w:val="single"/>
        </w:rPr>
        <w:t>环食药检验检测设备购置项目</w:t>
      </w:r>
      <w:r>
        <w:rPr>
          <w:rFonts w:hint="eastAsia" w:ascii="宋体" w:hAnsi="宋体" w:cs="宋体"/>
          <w:sz w:val="24"/>
          <w:szCs w:val="24"/>
        </w:rPr>
        <w:t xml:space="preserve">，经平等协商达成合同如下： </w:t>
      </w:r>
    </w:p>
    <w:p w14:paraId="5FDF37D3">
      <w:pPr>
        <w:spacing w:line="360" w:lineRule="auto"/>
        <w:rPr>
          <w:rFonts w:ascii="宋体" w:hAnsi="宋体" w:cs="宋体"/>
          <w:b/>
          <w:sz w:val="24"/>
          <w:szCs w:val="24"/>
        </w:rPr>
      </w:pPr>
      <w:r>
        <w:rPr>
          <w:rFonts w:hint="eastAsia" w:ascii="宋体" w:hAnsi="宋体" w:cs="宋体"/>
          <w:b/>
          <w:sz w:val="24"/>
          <w:szCs w:val="24"/>
        </w:rPr>
        <w:t xml:space="preserve">一、合同文件 </w:t>
      </w:r>
      <w:bookmarkStart w:id="0" w:name="_GoBack"/>
      <w:bookmarkEnd w:id="0"/>
    </w:p>
    <w:p w14:paraId="2ED0B89F">
      <w:pPr>
        <w:spacing w:line="360" w:lineRule="auto"/>
        <w:ind w:firstLine="480" w:firstLineChars="200"/>
        <w:rPr>
          <w:rFonts w:ascii="宋体" w:hAnsi="宋体" w:cs="宋体"/>
          <w:sz w:val="24"/>
          <w:szCs w:val="24"/>
        </w:rPr>
      </w:pPr>
      <w:r>
        <w:rPr>
          <w:rFonts w:hint="eastAsia" w:ascii="宋体" w:hAnsi="宋体" w:cs="宋体"/>
          <w:sz w:val="24"/>
          <w:szCs w:val="24"/>
        </w:rPr>
        <w:t xml:space="preserve">本合同所附下列文件是构成本合同不可分割的部分，组成合同的各项文件应互相解释，互为说明，解释合同文件的优先顺序如下： </w:t>
      </w:r>
    </w:p>
    <w:p w14:paraId="1515F819">
      <w:pPr>
        <w:spacing w:line="360" w:lineRule="auto"/>
        <w:ind w:firstLine="480" w:firstLineChars="200"/>
        <w:rPr>
          <w:rFonts w:ascii="宋体" w:hAnsi="宋体" w:cs="宋体"/>
          <w:sz w:val="24"/>
          <w:szCs w:val="24"/>
        </w:rPr>
      </w:pPr>
      <w:r>
        <w:rPr>
          <w:rFonts w:hint="eastAsia" w:ascii="宋体" w:hAnsi="宋体" w:cs="宋体"/>
          <w:sz w:val="24"/>
          <w:szCs w:val="24"/>
        </w:rPr>
        <w:t xml:space="preserve">（一）合同格式以及合同条款 </w:t>
      </w:r>
    </w:p>
    <w:p w14:paraId="04B2F3CE">
      <w:pPr>
        <w:spacing w:line="360" w:lineRule="auto"/>
        <w:ind w:firstLine="480" w:firstLineChars="200"/>
        <w:rPr>
          <w:rFonts w:ascii="宋体" w:hAnsi="宋体" w:cs="宋体"/>
          <w:sz w:val="24"/>
          <w:szCs w:val="24"/>
        </w:rPr>
      </w:pPr>
      <w:r>
        <w:rPr>
          <w:rFonts w:hint="eastAsia" w:ascii="宋体" w:hAnsi="宋体" w:cs="宋体"/>
          <w:sz w:val="24"/>
          <w:szCs w:val="24"/>
        </w:rPr>
        <w:t>（二）</w:t>
      </w:r>
      <w:r>
        <w:rPr>
          <w:rFonts w:hint="eastAsia" w:ascii="宋体" w:hAnsi="宋体" w:cs="宋体"/>
          <w:sz w:val="24"/>
          <w:szCs w:val="24"/>
          <w:lang w:val="en-US" w:eastAsia="zh-CN"/>
        </w:rPr>
        <w:t>成交</w:t>
      </w:r>
      <w:r>
        <w:rPr>
          <w:rFonts w:hint="eastAsia" w:ascii="宋体" w:hAnsi="宋体" w:cs="宋体"/>
          <w:sz w:val="24"/>
          <w:szCs w:val="24"/>
        </w:rPr>
        <w:t xml:space="preserve">通知书 </w:t>
      </w:r>
    </w:p>
    <w:p w14:paraId="67B5B6C8">
      <w:pPr>
        <w:spacing w:line="360" w:lineRule="auto"/>
        <w:ind w:firstLine="480" w:firstLineChars="200"/>
        <w:rPr>
          <w:rFonts w:ascii="宋体" w:hAnsi="宋体" w:cs="宋体"/>
          <w:sz w:val="24"/>
          <w:szCs w:val="24"/>
        </w:rPr>
      </w:pPr>
      <w:r>
        <w:rPr>
          <w:rFonts w:hint="eastAsia" w:ascii="宋体" w:hAnsi="宋体" w:cs="宋体"/>
          <w:sz w:val="24"/>
          <w:szCs w:val="24"/>
        </w:rPr>
        <w:t>（三）</w:t>
      </w:r>
      <w:r>
        <w:rPr>
          <w:rFonts w:hint="eastAsia" w:ascii="宋体" w:hAnsi="宋体" w:cs="宋体"/>
          <w:sz w:val="24"/>
          <w:szCs w:val="24"/>
          <w:lang w:eastAsia="zh-CN"/>
        </w:rPr>
        <w:t>成交单位</w:t>
      </w:r>
      <w:r>
        <w:rPr>
          <w:rFonts w:hint="eastAsia" w:ascii="宋体" w:hAnsi="宋体" w:cs="宋体"/>
          <w:sz w:val="24"/>
          <w:szCs w:val="24"/>
        </w:rPr>
        <w:t xml:space="preserve">在评标过程中做出的有关澄清、说明、承诺或者补正文件 </w:t>
      </w:r>
    </w:p>
    <w:p w14:paraId="468F3E1A">
      <w:pPr>
        <w:spacing w:line="360" w:lineRule="auto"/>
        <w:ind w:firstLine="480" w:firstLineChars="200"/>
        <w:rPr>
          <w:rFonts w:ascii="宋体" w:hAnsi="宋体" w:cs="宋体"/>
          <w:sz w:val="24"/>
          <w:szCs w:val="24"/>
        </w:rPr>
      </w:pPr>
      <w:r>
        <w:rPr>
          <w:rFonts w:hint="eastAsia" w:ascii="宋体" w:hAnsi="宋体" w:cs="宋体"/>
          <w:sz w:val="24"/>
          <w:szCs w:val="24"/>
        </w:rPr>
        <w:t>（四）</w:t>
      </w:r>
      <w:r>
        <w:rPr>
          <w:rFonts w:hint="eastAsia" w:ascii="宋体" w:hAnsi="宋体" w:cs="宋体"/>
          <w:sz w:val="24"/>
          <w:szCs w:val="24"/>
          <w:lang w:eastAsia="zh-CN"/>
        </w:rPr>
        <w:t>成交单位</w:t>
      </w:r>
      <w:r>
        <w:rPr>
          <w:rFonts w:hint="eastAsia" w:ascii="宋体" w:hAnsi="宋体" w:cs="宋体"/>
          <w:sz w:val="24"/>
          <w:szCs w:val="24"/>
          <w:lang w:val="en-US" w:eastAsia="zh-CN"/>
        </w:rPr>
        <w:t>响应</w:t>
      </w:r>
      <w:r>
        <w:rPr>
          <w:rFonts w:hint="eastAsia" w:ascii="宋体" w:hAnsi="宋体" w:cs="宋体"/>
          <w:sz w:val="24"/>
          <w:szCs w:val="24"/>
        </w:rPr>
        <w:t xml:space="preserve">文件 </w:t>
      </w:r>
    </w:p>
    <w:p w14:paraId="44801BF8">
      <w:pPr>
        <w:spacing w:line="360" w:lineRule="auto"/>
        <w:ind w:firstLine="480" w:firstLineChars="200"/>
        <w:rPr>
          <w:rFonts w:ascii="宋体" w:hAnsi="宋体" w:cs="宋体"/>
          <w:sz w:val="24"/>
          <w:szCs w:val="24"/>
        </w:rPr>
      </w:pPr>
      <w:r>
        <w:rPr>
          <w:rFonts w:hint="eastAsia" w:ascii="宋体" w:hAnsi="宋体" w:cs="宋体"/>
          <w:sz w:val="24"/>
          <w:szCs w:val="24"/>
        </w:rPr>
        <w:t>（五）</w:t>
      </w:r>
      <w:r>
        <w:rPr>
          <w:rFonts w:hint="eastAsia" w:ascii="宋体" w:hAnsi="宋体" w:cs="宋体"/>
          <w:sz w:val="24"/>
          <w:szCs w:val="24"/>
          <w:lang w:val="en-US" w:eastAsia="zh-CN"/>
        </w:rPr>
        <w:t>采购</w:t>
      </w:r>
      <w:r>
        <w:rPr>
          <w:rFonts w:hint="eastAsia" w:ascii="宋体" w:hAnsi="宋体" w:cs="宋体"/>
          <w:sz w:val="24"/>
          <w:szCs w:val="24"/>
        </w:rPr>
        <w:t xml:space="preserve">文件 </w:t>
      </w:r>
    </w:p>
    <w:p w14:paraId="08E5C54B">
      <w:pPr>
        <w:spacing w:line="360" w:lineRule="auto"/>
        <w:ind w:firstLine="480" w:firstLineChars="200"/>
        <w:rPr>
          <w:rFonts w:ascii="宋体" w:hAnsi="宋体" w:cs="宋体"/>
          <w:sz w:val="24"/>
          <w:szCs w:val="24"/>
        </w:rPr>
      </w:pPr>
      <w:r>
        <w:rPr>
          <w:rFonts w:hint="eastAsia" w:ascii="宋体" w:hAnsi="宋体" w:cs="宋体"/>
          <w:sz w:val="24"/>
          <w:szCs w:val="24"/>
        </w:rPr>
        <w:t xml:space="preserve">（六）本合同附件 </w:t>
      </w:r>
    </w:p>
    <w:p w14:paraId="05232B92">
      <w:pPr>
        <w:spacing w:line="360" w:lineRule="auto"/>
        <w:ind w:firstLine="480" w:firstLineChars="200"/>
        <w:rPr>
          <w:rFonts w:ascii="宋体" w:hAnsi="宋体" w:cs="宋体"/>
          <w:sz w:val="24"/>
          <w:szCs w:val="24"/>
        </w:rPr>
      </w:pPr>
      <w:r>
        <w:rPr>
          <w:rFonts w:hint="eastAsia" w:ascii="宋体" w:hAnsi="宋体" w:cs="宋体"/>
          <w:sz w:val="24"/>
          <w:szCs w:val="24"/>
        </w:rPr>
        <w:t xml:space="preserve">同一层次的合同文件规定有矛盾的以较后时间制定的为准。 </w:t>
      </w:r>
    </w:p>
    <w:p w14:paraId="4CE47B3B">
      <w:pPr>
        <w:spacing w:line="360" w:lineRule="auto"/>
        <w:rPr>
          <w:rFonts w:ascii="宋体" w:hAnsi="宋体" w:cs="宋体"/>
          <w:b/>
          <w:sz w:val="24"/>
          <w:szCs w:val="24"/>
        </w:rPr>
      </w:pPr>
      <w:r>
        <w:rPr>
          <w:rFonts w:hint="eastAsia" w:ascii="宋体" w:hAnsi="宋体" w:cs="宋体"/>
          <w:b/>
          <w:sz w:val="24"/>
          <w:szCs w:val="24"/>
        </w:rPr>
        <w:t xml:space="preserve">二、合同的范围和条件 </w:t>
      </w:r>
    </w:p>
    <w:p w14:paraId="09B0D5B2">
      <w:pPr>
        <w:spacing w:line="360" w:lineRule="auto"/>
        <w:ind w:firstLine="480" w:firstLineChars="200"/>
        <w:rPr>
          <w:rFonts w:ascii="宋体" w:hAnsi="宋体" w:cs="宋体"/>
          <w:sz w:val="24"/>
          <w:szCs w:val="24"/>
        </w:rPr>
      </w:pPr>
      <w:r>
        <w:rPr>
          <w:rFonts w:hint="eastAsia" w:ascii="宋体" w:hAnsi="宋体" w:cs="宋体"/>
          <w:sz w:val="24"/>
          <w:szCs w:val="24"/>
        </w:rPr>
        <w:t xml:space="preserve">本合同的范围和条件应与上述合同文件的规定相一致。 </w:t>
      </w:r>
    </w:p>
    <w:p w14:paraId="17E88338">
      <w:pPr>
        <w:spacing w:line="360" w:lineRule="auto"/>
        <w:rPr>
          <w:rFonts w:ascii="宋体" w:hAnsi="宋体" w:cs="宋体"/>
          <w:b/>
          <w:sz w:val="24"/>
          <w:szCs w:val="24"/>
        </w:rPr>
      </w:pPr>
      <w:r>
        <w:rPr>
          <w:rFonts w:hint="eastAsia" w:ascii="宋体" w:hAnsi="宋体" w:cs="宋体"/>
          <w:b/>
          <w:sz w:val="24"/>
          <w:szCs w:val="24"/>
        </w:rPr>
        <w:t xml:space="preserve">三、货物、数量以及规格 </w:t>
      </w:r>
    </w:p>
    <w:p w14:paraId="6A5DE890">
      <w:pPr>
        <w:pStyle w:val="4"/>
        <w:spacing w:line="360" w:lineRule="auto"/>
        <w:ind w:firstLine="480" w:firstLineChars="200"/>
        <w:rPr>
          <w:rFonts w:ascii="宋体" w:hAnsi="宋体"/>
          <w:sz w:val="24"/>
          <w:szCs w:val="24"/>
        </w:rPr>
      </w:pPr>
      <w:r>
        <w:rPr>
          <w:rFonts w:hint="eastAsia" w:ascii="宋体" w:hAnsi="宋体"/>
          <w:sz w:val="24"/>
          <w:szCs w:val="24"/>
        </w:rPr>
        <w:t>本合同所提供的货物、数量以及规格等详见乙方</w:t>
      </w:r>
      <w:r>
        <w:rPr>
          <w:rFonts w:hint="eastAsia" w:ascii="宋体" w:hAnsi="宋体"/>
          <w:sz w:val="24"/>
          <w:szCs w:val="24"/>
          <w:lang w:eastAsia="zh-CN"/>
        </w:rPr>
        <w:t>响应文件</w:t>
      </w:r>
      <w:r>
        <w:rPr>
          <w:rFonts w:hint="eastAsia" w:ascii="宋体" w:hAnsi="宋体"/>
          <w:sz w:val="24"/>
          <w:szCs w:val="24"/>
        </w:rPr>
        <w:t>报价清单（应包含品牌、型号、产地、技术参数、数量、单价、合计等信息）。</w:t>
      </w:r>
    </w:p>
    <w:tbl>
      <w:tblPr>
        <w:tblStyle w:val="5"/>
        <w:tblW w:w="9114" w:type="dxa"/>
        <w:tblInd w:w="-119" w:type="dxa"/>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4"/>
        <w:gridCol w:w="1418"/>
        <w:gridCol w:w="1276"/>
        <w:gridCol w:w="1559"/>
        <w:gridCol w:w="1203"/>
        <w:gridCol w:w="796"/>
        <w:gridCol w:w="761"/>
        <w:gridCol w:w="1307"/>
      </w:tblGrid>
      <w:tr w14:paraId="49EF1472">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763" w:hRule="atLeast"/>
        </w:trPr>
        <w:tc>
          <w:tcPr>
            <w:tcW w:w="794" w:type="dxa"/>
            <w:noWrap w:val="0"/>
            <w:vAlign w:val="center"/>
          </w:tcPr>
          <w:p w14:paraId="06DCF62D">
            <w:pPr>
              <w:kinsoku w:val="0"/>
              <w:autoSpaceDE w:val="0"/>
              <w:autoSpaceDN w:val="0"/>
              <w:spacing w:line="360" w:lineRule="auto"/>
              <w:textAlignment w:val="center"/>
              <w:rPr>
                <w:rFonts w:ascii="宋体" w:hAnsi="宋体" w:cs="宋体"/>
                <w:bCs/>
                <w:snapToGrid w:val="0"/>
                <w:sz w:val="24"/>
                <w:szCs w:val="24"/>
              </w:rPr>
            </w:pPr>
            <w:r>
              <w:rPr>
                <w:rFonts w:hint="eastAsia" w:ascii="宋体" w:hAnsi="宋体" w:cs="宋体"/>
                <w:bCs/>
                <w:snapToGrid w:val="0"/>
                <w:sz w:val="24"/>
                <w:szCs w:val="24"/>
              </w:rPr>
              <w:t>序号</w:t>
            </w:r>
          </w:p>
        </w:tc>
        <w:tc>
          <w:tcPr>
            <w:tcW w:w="1418" w:type="dxa"/>
            <w:noWrap w:val="0"/>
            <w:vAlign w:val="center"/>
          </w:tcPr>
          <w:p w14:paraId="6766A657">
            <w:pPr>
              <w:kinsoku w:val="0"/>
              <w:autoSpaceDE w:val="0"/>
              <w:autoSpaceDN w:val="0"/>
              <w:spacing w:line="360" w:lineRule="auto"/>
              <w:textAlignment w:val="center"/>
              <w:rPr>
                <w:rFonts w:ascii="宋体" w:hAnsi="宋体" w:cs="宋体"/>
                <w:bCs/>
                <w:snapToGrid w:val="0"/>
                <w:sz w:val="24"/>
                <w:szCs w:val="24"/>
              </w:rPr>
            </w:pPr>
            <w:r>
              <w:rPr>
                <w:rFonts w:hint="eastAsia" w:ascii="宋体" w:hAnsi="宋体" w:cs="宋体"/>
                <w:bCs/>
                <w:snapToGrid w:val="0"/>
                <w:sz w:val="24"/>
                <w:szCs w:val="24"/>
              </w:rPr>
              <w:t>品名</w:t>
            </w:r>
          </w:p>
        </w:tc>
        <w:tc>
          <w:tcPr>
            <w:tcW w:w="1276" w:type="dxa"/>
            <w:noWrap w:val="0"/>
            <w:vAlign w:val="center"/>
          </w:tcPr>
          <w:p w14:paraId="2FB22590">
            <w:pPr>
              <w:kinsoku w:val="0"/>
              <w:autoSpaceDE w:val="0"/>
              <w:autoSpaceDN w:val="0"/>
              <w:spacing w:line="360" w:lineRule="auto"/>
              <w:textAlignment w:val="center"/>
              <w:rPr>
                <w:rFonts w:ascii="宋体" w:hAnsi="宋体" w:cs="宋体"/>
                <w:bCs/>
                <w:snapToGrid w:val="0"/>
                <w:sz w:val="24"/>
                <w:szCs w:val="24"/>
              </w:rPr>
            </w:pPr>
            <w:r>
              <w:rPr>
                <w:rFonts w:hint="eastAsia" w:ascii="宋体" w:hAnsi="宋体" w:cs="宋体"/>
                <w:bCs/>
                <w:snapToGrid w:val="0"/>
                <w:sz w:val="24"/>
                <w:szCs w:val="24"/>
              </w:rPr>
              <w:t>品牌</w:t>
            </w:r>
          </w:p>
        </w:tc>
        <w:tc>
          <w:tcPr>
            <w:tcW w:w="1559" w:type="dxa"/>
            <w:noWrap w:val="0"/>
            <w:vAlign w:val="center"/>
          </w:tcPr>
          <w:p w14:paraId="27B1CCB6">
            <w:pPr>
              <w:kinsoku w:val="0"/>
              <w:autoSpaceDE w:val="0"/>
              <w:autoSpaceDN w:val="0"/>
              <w:spacing w:line="360" w:lineRule="auto"/>
              <w:textAlignment w:val="center"/>
              <w:rPr>
                <w:rFonts w:ascii="宋体" w:hAnsi="宋体" w:cs="宋体"/>
                <w:bCs/>
                <w:snapToGrid w:val="0"/>
                <w:sz w:val="24"/>
                <w:szCs w:val="24"/>
              </w:rPr>
            </w:pPr>
            <w:r>
              <w:rPr>
                <w:rFonts w:hint="eastAsia" w:ascii="宋体" w:hAnsi="宋体" w:cs="宋体"/>
                <w:bCs/>
                <w:snapToGrid w:val="0"/>
                <w:sz w:val="24"/>
                <w:szCs w:val="24"/>
              </w:rPr>
              <w:t>规格型号</w:t>
            </w:r>
          </w:p>
        </w:tc>
        <w:tc>
          <w:tcPr>
            <w:tcW w:w="1203" w:type="dxa"/>
            <w:noWrap w:val="0"/>
            <w:vAlign w:val="center"/>
          </w:tcPr>
          <w:p w14:paraId="5C67782E">
            <w:pPr>
              <w:kinsoku w:val="0"/>
              <w:autoSpaceDE w:val="0"/>
              <w:autoSpaceDN w:val="0"/>
              <w:spacing w:line="360" w:lineRule="auto"/>
              <w:textAlignment w:val="center"/>
              <w:rPr>
                <w:rFonts w:ascii="宋体" w:hAnsi="宋体" w:cs="宋体"/>
                <w:bCs/>
                <w:snapToGrid w:val="0"/>
                <w:sz w:val="24"/>
                <w:szCs w:val="24"/>
              </w:rPr>
            </w:pPr>
            <w:r>
              <w:rPr>
                <w:rFonts w:hint="eastAsia" w:ascii="宋体" w:hAnsi="宋体" w:cs="宋体"/>
                <w:bCs/>
                <w:snapToGrid w:val="0"/>
                <w:sz w:val="24"/>
                <w:szCs w:val="24"/>
              </w:rPr>
              <w:t>产地</w:t>
            </w:r>
          </w:p>
        </w:tc>
        <w:tc>
          <w:tcPr>
            <w:tcW w:w="796" w:type="dxa"/>
            <w:noWrap w:val="0"/>
            <w:vAlign w:val="center"/>
          </w:tcPr>
          <w:p w14:paraId="295F091A">
            <w:pPr>
              <w:kinsoku w:val="0"/>
              <w:autoSpaceDE w:val="0"/>
              <w:autoSpaceDN w:val="0"/>
              <w:spacing w:line="360" w:lineRule="auto"/>
              <w:textAlignment w:val="center"/>
              <w:rPr>
                <w:rFonts w:ascii="宋体" w:hAnsi="宋体" w:cs="宋体"/>
                <w:bCs/>
                <w:snapToGrid w:val="0"/>
                <w:sz w:val="24"/>
                <w:szCs w:val="24"/>
              </w:rPr>
            </w:pPr>
            <w:r>
              <w:rPr>
                <w:rFonts w:hint="eastAsia" w:ascii="宋体" w:hAnsi="宋体" w:cs="宋体"/>
                <w:bCs/>
                <w:snapToGrid w:val="0"/>
                <w:sz w:val="24"/>
                <w:szCs w:val="24"/>
              </w:rPr>
              <w:t>数量</w:t>
            </w:r>
          </w:p>
        </w:tc>
        <w:tc>
          <w:tcPr>
            <w:tcW w:w="761" w:type="dxa"/>
            <w:noWrap w:val="0"/>
            <w:vAlign w:val="center"/>
          </w:tcPr>
          <w:p w14:paraId="05F52ABF">
            <w:pPr>
              <w:kinsoku w:val="0"/>
              <w:autoSpaceDE w:val="0"/>
              <w:autoSpaceDN w:val="0"/>
              <w:spacing w:line="360" w:lineRule="auto"/>
              <w:textAlignment w:val="center"/>
              <w:rPr>
                <w:rFonts w:ascii="宋体" w:hAnsi="宋体" w:cs="宋体"/>
                <w:bCs/>
                <w:snapToGrid w:val="0"/>
                <w:sz w:val="24"/>
                <w:szCs w:val="24"/>
              </w:rPr>
            </w:pPr>
            <w:r>
              <w:rPr>
                <w:rFonts w:hint="eastAsia" w:ascii="宋体" w:hAnsi="宋体" w:cs="宋体"/>
                <w:bCs/>
                <w:snapToGrid w:val="0"/>
                <w:sz w:val="24"/>
                <w:szCs w:val="24"/>
              </w:rPr>
              <w:t>单价</w:t>
            </w:r>
          </w:p>
        </w:tc>
        <w:tc>
          <w:tcPr>
            <w:tcW w:w="1307" w:type="dxa"/>
            <w:noWrap w:val="0"/>
            <w:vAlign w:val="center"/>
          </w:tcPr>
          <w:p w14:paraId="5440C291">
            <w:pPr>
              <w:kinsoku w:val="0"/>
              <w:autoSpaceDE w:val="0"/>
              <w:autoSpaceDN w:val="0"/>
              <w:spacing w:line="360" w:lineRule="auto"/>
              <w:textAlignment w:val="center"/>
              <w:rPr>
                <w:rFonts w:ascii="宋体" w:hAnsi="宋体" w:cs="宋体"/>
                <w:bCs/>
                <w:snapToGrid w:val="0"/>
                <w:sz w:val="24"/>
                <w:szCs w:val="24"/>
              </w:rPr>
            </w:pPr>
            <w:r>
              <w:rPr>
                <w:rFonts w:hint="eastAsia" w:ascii="宋体" w:hAnsi="宋体" w:cs="宋体"/>
                <w:bCs/>
                <w:snapToGrid w:val="0"/>
                <w:sz w:val="24"/>
                <w:szCs w:val="24"/>
              </w:rPr>
              <w:t>金额</w:t>
            </w:r>
          </w:p>
        </w:tc>
      </w:tr>
      <w:tr w14:paraId="437D9D16">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794" w:type="dxa"/>
            <w:noWrap/>
            <w:vAlign w:val="center"/>
          </w:tcPr>
          <w:p w14:paraId="40D1EBFC">
            <w:pPr>
              <w:kinsoku w:val="0"/>
              <w:autoSpaceDE w:val="0"/>
              <w:autoSpaceDN w:val="0"/>
              <w:spacing w:line="360" w:lineRule="auto"/>
              <w:textAlignment w:val="center"/>
              <w:rPr>
                <w:rFonts w:ascii="宋体" w:hAnsi="宋体" w:cs="宋体"/>
                <w:snapToGrid w:val="0"/>
                <w:sz w:val="24"/>
                <w:szCs w:val="24"/>
              </w:rPr>
            </w:pPr>
            <w:r>
              <w:rPr>
                <w:rFonts w:hint="eastAsia" w:ascii="宋体" w:hAnsi="宋体" w:cs="宋体"/>
                <w:snapToGrid w:val="0"/>
                <w:sz w:val="24"/>
                <w:szCs w:val="24"/>
              </w:rPr>
              <w:t>1</w:t>
            </w:r>
          </w:p>
        </w:tc>
        <w:tc>
          <w:tcPr>
            <w:tcW w:w="1418" w:type="dxa"/>
            <w:noWrap/>
            <w:vAlign w:val="center"/>
          </w:tcPr>
          <w:p w14:paraId="1845CFBC">
            <w:pPr>
              <w:kinsoku w:val="0"/>
              <w:autoSpaceDE w:val="0"/>
              <w:autoSpaceDN w:val="0"/>
              <w:spacing w:line="360" w:lineRule="auto"/>
              <w:textAlignment w:val="center"/>
              <w:rPr>
                <w:rFonts w:ascii="宋体" w:hAnsi="宋体" w:cs="宋体"/>
                <w:snapToGrid w:val="0"/>
                <w:sz w:val="24"/>
                <w:szCs w:val="24"/>
              </w:rPr>
            </w:pPr>
          </w:p>
        </w:tc>
        <w:tc>
          <w:tcPr>
            <w:tcW w:w="1276" w:type="dxa"/>
            <w:noWrap/>
            <w:vAlign w:val="center"/>
          </w:tcPr>
          <w:p w14:paraId="01B8AE2D">
            <w:pPr>
              <w:kinsoku w:val="0"/>
              <w:autoSpaceDE w:val="0"/>
              <w:autoSpaceDN w:val="0"/>
              <w:spacing w:line="360" w:lineRule="auto"/>
              <w:textAlignment w:val="center"/>
              <w:rPr>
                <w:rFonts w:ascii="宋体" w:hAnsi="宋体" w:cs="宋体"/>
                <w:snapToGrid w:val="0"/>
                <w:sz w:val="24"/>
                <w:szCs w:val="24"/>
              </w:rPr>
            </w:pPr>
          </w:p>
        </w:tc>
        <w:tc>
          <w:tcPr>
            <w:tcW w:w="1559" w:type="dxa"/>
            <w:noWrap/>
            <w:vAlign w:val="center"/>
          </w:tcPr>
          <w:p w14:paraId="0088CF69">
            <w:pPr>
              <w:kinsoku w:val="0"/>
              <w:autoSpaceDE w:val="0"/>
              <w:autoSpaceDN w:val="0"/>
              <w:spacing w:line="360" w:lineRule="auto"/>
              <w:textAlignment w:val="center"/>
              <w:rPr>
                <w:rFonts w:ascii="宋体" w:hAnsi="宋体" w:cs="宋体"/>
                <w:snapToGrid w:val="0"/>
                <w:sz w:val="24"/>
                <w:szCs w:val="24"/>
              </w:rPr>
            </w:pPr>
          </w:p>
        </w:tc>
        <w:tc>
          <w:tcPr>
            <w:tcW w:w="1203" w:type="dxa"/>
            <w:noWrap/>
            <w:vAlign w:val="center"/>
          </w:tcPr>
          <w:p w14:paraId="062A66F5">
            <w:pPr>
              <w:kinsoku w:val="0"/>
              <w:autoSpaceDE w:val="0"/>
              <w:autoSpaceDN w:val="0"/>
              <w:spacing w:line="360" w:lineRule="auto"/>
              <w:textAlignment w:val="center"/>
              <w:rPr>
                <w:rFonts w:ascii="宋体" w:hAnsi="宋体" w:cs="宋体"/>
                <w:snapToGrid w:val="0"/>
                <w:sz w:val="24"/>
                <w:szCs w:val="24"/>
              </w:rPr>
            </w:pPr>
          </w:p>
        </w:tc>
        <w:tc>
          <w:tcPr>
            <w:tcW w:w="796" w:type="dxa"/>
            <w:noWrap/>
            <w:vAlign w:val="center"/>
          </w:tcPr>
          <w:p w14:paraId="56576C4B">
            <w:pPr>
              <w:kinsoku w:val="0"/>
              <w:autoSpaceDE w:val="0"/>
              <w:autoSpaceDN w:val="0"/>
              <w:spacing w:line="360" w:lineRule="auto"/>
              <w:textAlignment w:val="center"/>
              <w:rPr>
                <w:rFonts w:ascii="宋体" w:hAnsi="宋体" w:cs="宋体"/>
                <w:snapToGrid w:val="0"/>
                <w:sz w:val="24"/>
                <w:szCs w:val="24"/>
              </w:rPr>
            </w:pPr>
          </w:p>
        </w:tc>
        <w:tc>
          <w:tcPr>
            <w:tcW w:w="761" w:type="dxa"/>
            <w:noWrap w:val="0"/>
            <w:vAlign w:val="center"/>
          </w:tcPr>
          <w:p w14:paraId="4BA243C3">
            <w:pPr>
              <w:kinsoku w:val="0"/>
              <w:autoSpaceDE w:val="0"/>
              <w:autoSpaceDN w:val="0"/>
              <w:spacing w:line="360" w:lineRule="auto"/>
              <w:textAlignment w:val="center"/>
              <w:rPr>
                <w:rFonts w:ascii="宋体" w:hAnsi="宋体" w:cs="宋体"/>
                <w:snapToGrid w:val="0"/>
                <w:sz w:val="24"/>
                <w:szCs w:val="24"/>
              </w:rPr>
            </w:pPr>
          </w:p>
        </w:tc>
        <w:tc>
          <w:tcPr>
            <w:tcW w:w="1307" w:type="dxa"/>
            <w:noWrap w:val="0"/>
            <w:vAlign w:val="center"/>
          </w:tcPr>
          <w:p w14:paraId="0CCEDAAF">
            <w:pPr>
              <w:kinsoku w:val="0"/>
              <w:autoSpaceDE w:val="0"/>
              <w:autoSpaceDN w:val="0"/>
              <w:spacing w:line="360" w:lineRule="auto"/>
              <w:textAlignment w:val="center"/>
              <w:rPr>
                <w:rFonts w:ascii="宋体" w:hAnsi="宋体" w:cs="宋体"/>
                <w:snapToGrid w:val="0"/>
                <w:sz w:val="24"/>
                <w:szCs w:val="24"/>
              </w:rPr>
            </w:pPr>
          </w:p>
        </w:tc>
      </w:tr>
      <w:tr w14:paraId="74BF3762">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794" w:type="dxa"/>
            <w:noWrap/>
            <w:vAlign w:val="center"/>
          </w:tcPr>
          <w:p w14:paraId="7715D145">
            <w:pPr>
              <w:kinsoku w:val="0"/>
              <w:autoSpaceDE w:val="0"/>
              <w:autoSpaceDN w:val="0"/>
              <w:spacing w:line="360" w:lineRule="auto"/>
              <w:textAlignment w:val="center"/>
              <w:rPr>
                <w:rFonts w:ascii="宋体" w:hAnsi="宋体" w:cs="宋体"/>
                <w:snapToGrid w:val="0"/>
                <w:sz w:val="24"/>
                <w:szCs w:val="24"/>
              </w:rPr>
            </w:pPr>
            <w:r>
              <w:rPr>
                <w:rFonts w:hint="eastAsia" w:ascii="宋体" w:hAnsi="宋体" w:cs="宋体"/>
                <w:snapToGrid w:val="0"/>
                <w:sz w:val="24"/>
                <w:szCs w:val="24"/>
              </w:rPr>
              <w:t>2</w:t>
            </w:r>
          </w:p>
        </w:tc>
        <w:tc>
          <w:tcPr>
            <w:tcW w:w="1418" w:type="dxa"/>
            <w:noWrap/>
            <w:vAlign w:val="center"/>
          </w:tcPr>
          <w:p w14:paraId="52C16CB3">
            <w:pPr>
              <w:kinsoku w:val="0"/>
              <w:autoSpaceDE w:val="0"/>
              <w:autoSpaceDN w:val="0"/>
              <w:spacing w:line="360" w:lineRule="auto"/>
              <w:textAlignment w:val="center"/>
              <w:rPr>
                <w:rFonts w:ascii="宋体" w:hAnsi="宋体" w:cs="宋体"/>
                <w:snapToGrid w:val="0"/>
                <w:sz w:val="24"/>
                <w:szCs w:val="24"/>
              </w:rPr>
            </w:pPr>
          </w:p>
        </w:tc>
        <w:tc>
          <w:tcPr>
            <w:tcW w:w="1276" w:type="dxa"/>
            <w:noWrap/>
            <w:vAlign w:val="center"/>
          </w:tcPr>
          <w:p w14:paraId="27D85754">
            <w:pPr>
              <w:kinsoku w:val="0"/>
              <w:autoSpaceDE w:val="0"/>
              <w:autoSpaceDN w:val="0"/>
              <w:spacing w:line="360" w:lineRule="auto"/>
              <w:textAlignment w:val="center"/>
              <w:rPr>
                <w:rFonts w:ascii="宋体" w:hAnsi="宋体" w:cs="宋体"/>
                <w:snapToGrid w:val="0"/>
                <w:sz w:val="24"/>
                <w:szCs w:val="24"/>
              </w:rPr>
            </w:pPr>
          </w:p>
        </w:tc>
        <w:tc>
          <w:tcPr>
            <w:tcW w:w="1559" w:type="dxa"/>
            <w:noWrap/>
            <w:vAlign w:val="center"/>
          </w:tcPr>
          <w:p w14:paraId="13FD69D9">
            <w:pPr>
              <w:kinsoku w:val="0"/>
              <w:autoSpaceDE w:val="0"/>
              <w:autoSpaceDN w:val="0"/>
              <w:spacing w:line="360" w:lineRule="auto"/>
              <w:textAlignment w:val="center"/>
              <w:rPr>
                <w:rFonts w:ascii="宋体" w:hAnsi="宋体" w:cs="宋体"/>
                <w:snapToGrid w:val="0"/>
                <w:sz w:val="24"/>
                <w:szCs w:val="24"/>
              </w:rPr>
            </w:pPr>
          </w:p>
        </w:tc>
        <w:tc>
          <w:tcPr>
            <w:tcW w:w="1203" w:type="dxa"/>
            <w:noWrap/>
            <w:vAlign w:val="center"/>
          </w:tcPr>
          <w:p w14:paraId="54AC4771">
            <w:pPr>
              <w:kinsoku w:val="0"/>
              <w:autoSpaceDE w:val="0"/>
              <w:autoSpaceDN w:val="0"/>
              <w:spacing w:line="360" w:lineRule="auto"/>
              <w:textAlignment w:val="center"/>
              <w:rPr>
                <w:rFonts w:ascii="宋体" w:hAnsi="宋体" w:cs="宋体"/>
                <w:snapToGrid w:val="0"/>
                <w:sz w:val="24"/>
                <w:szCs w:val="24"/>
              </w:rPr>
            </w:pPr>
          </w:p>
        </w:tc>
        <w:tc>
          <w:tcPr>
            <w:tcW w:w="796" w:type="dxa"/>
            <w:noWrap/>
            <w:vAlign w:val="center"/>
          </w:tcPr>
          <w:p w14:paraId="61ACD99A">
            <w:pPr>
              <w:kinsoku w:val="0"/>
              <w:autoSpaceDE w:val="0"/>
              <w:autoSpaceDN w:val="0"/>
              <w:spacing w:line="360" w:lineRule="auto"/>
              <w:textAlignment w:val="center"/>
              <w:rPr>
                <w:rFonts w:ascii="宋体" w:hAnsi="宋体" w:cs="宋体"/>
                <w:snapToGrid w:val="0"/>
                <w:sz w:val="24"/>
                <w:szCs w:val="24"/>
              </w:rPr>
            </w:pPr>
          </w:p>
        </w:tc>
        <w:tc>
          <w:tcPr>
            <w:tcW w:w="761" w:type="dxa"/>
            <w:noWrap w:val="0"/>
            <w:vAlign w:val="center"/>
          </w:tcPr>
          <w:p w14:paraId="62806269">
            <w:pPr>
              <w:kinsoku w:val="0"/>
              <w:autoSpaceDE w:val="0"/>
              <w:autoSpaceDN w:val="0"/>
              <w:spacing w:line="360" w:lineRule="auto"/>
              <w:textAlignment w:val="center"/>
              <w:rPr>
                <w:rFonts w:ascii="宋体" w:hAnsi="宋体" w:cs="宋体"/>
                <w:snapToGrid w:val="0"/>
                <w:sz w:val="24"/>
                <w:szCs w:val="24"/>
              </w:rPr>
            </w:pPr>
          </w:p>
        </w:tc>
        <w:tc>
          <w:tcPr>
            <w:tcW w:w="1307" w:type="dxa"/>
            <w:noWrap w:val="0"/>
            <w:vAlign w:val="center"/>
          </w:tcPr>
          <w:p w14:paraId="3396027D">
            <w:pPr>
              <w:kinsoku w:val="0"/>
              <w:autoSpaceDE w:val="0"/>
              <w:autoSpaceDN w:val="0"/>
              <w:spacing w:line="360" w:lineRule="auto"/>
              <w:textAlignment w:val="center"/>
              <w:rPr>
                <w:rFonts w:ascii="宋体" w:hAnsi="宋体" w:cs="宋体"/>
                <w:snapToGrid w:val="0"/>
                <w:sz w:val="24"/>
                <w:szCs w:val="24"/>
              </w:rPr>
            </w:pPr>
          </w:p>
        </w:tc>
      </w:tr>
      <w:tr w14:paraId="451F04DC">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794" w:type="dxa"/>
            <w:noWrap/>
            <w:vAlign w:val="center"/>
          </w:tcPr>
          <w:p w14:paraId="3B7B8E7A">
            <w:pPr>
              <w:kinsoku w:val="0"/>
              <w:autoSpaceDE w:val="0"/>
              <w:autoSpaceDN w:val="0"/>
              <w:spacing w:line="360" w:lineRule="auto"/>
              <w:textAlignment w:val="center"/>
              <w:rPr>
                <w:rFonts w:ascii="宋体" w:hAnsi="宋体" w:cs="宋体"/>
                <w:snapToGrid w:val="0"/>
                <w:sz w:val="24"/>
                <w:szCs w:val="24"/>
              </w:rPr>
            </w:pPr>
            <w:r>
              <w:rPr>
                <w:rFonts w:hint="eastAsia" w:ascii="宋体" w:hAnsi="宋体" w:cs="宋体"/>
                <w:snapToGrid w:val="0"/>
                <w:sz w:val="24"/>
                <w:szCs w:val="24"/>
              </w:rPr>
              <w:t>3</w:t>
            </w:r>
          </w:p>
        </w:tc>
        <w:tc>
          <w:tcPr>
            <w:tcW w:w="1418" w:type="dxa"/>
            <w:noWrap/>
            <w:vAlign w:val="center"/>
          </w:tcPr>
          <w:p w14:paraId="0C021344">
            <w:pPr>
              <w:kinsoku w:val="0"/>
              <w:autoSpaceDE w:val="0"/>
              <w:autoSpaceDN w:val="0"/>
              <w:spacing w:line="360" w:lineRule="auto"/>
              <w:textAlignment w:val="center"/>
              <w:rPr>
                <w:rFonts w:ascii="宋体" w:hAnsi="宋体" w:cs="宋体"/>
                <w:snapToGrid w:val="0"/>
                <w:sz w:val="24"/>
                <w:szCs w:val="24"/>
              </w:rPr>
            </w:pPr>
          </w:p>
        </w:tc>
        <w:tc>
          <w:tcPr>
            <w:tcW w:w="1276" w:type="dxa"/>
            <w:noWrap/>
            <w:vAlign w:val="center"/>
          </w:tcPr>
          <w:p w14:paraId="127F5D1B">
            <w:pPr>
              <w:kinsoku w:val="0"/>
              <w:autoSpaceDE w:val="0"/>
              <w:autoSpaceDN w:val="0"/>
              <w:spacing w:line="360" w:lineRule="auto"/>
              <w:textAlignment w:val="center"/>
              <w:rPr>
                <w:rFonts w:ascii="宋体" w:hAnsi="宋体" w:cs="宋体"/>
                <w:snapToGrid w:val="0"/>
                <w:sz w:val="24"/>
                <w:szCs w:val="24"/>
              </w:rPr>
            </w:pPr>
          </w:p>
        </w:tc>
        <w:tc>
          <w:tcPr>
            <w:tcW w:w="1559" w:type="dxa"/>
            <w:noWrap/>
            <w:vAlign w:val="center"/>
          </w:tcPr>
          <w:p w14:paraId="566674F2">
            <w:pPr>
              <w:kinsoku w:val="0"/>
              <w:autoSpaceDE w:val="0"/>
              <w:autoSpaceDN w:val="0"/>
              <w:spacing w:line="360" w:lineRule="auto"/>
              <w:textAlignment w:val="center"/>
              <w:rPr>
                <w:rFonts w:ascii="宋体" w:hAnsi="宋体" w:cs="宋体"/>
                <w:snapToGrid w:val="0"/>
                <w:sz w:val="24"/>
                <w:szCs w:val="24"/>
              </w:rPr>
            </w:pPr>
          </w:p>
        </w:tc>
        <w:tc>
          <w:tcPr>
            <w:tcW w:w="1203" w:type="dxa"/>
            <w:noWrap/>
            <w:vAlign w:val="center"/>
          </w:tcPr>
          <w:p w14:paraId="6545FBF4">
            <w:pPr>
              <w:kinsoku w:val="0"/>
              <w:autoSpaceDE w:val="0"/>
              <w:autoSpaceDN w:val="0"/>
              <w:spacing w:line="360" w:lineRule="auto"/>
              <w:textAlignment w:val="center"/>
              <w:rPr>
                <w:rFonts w:ascii="宋体" w:hAnsi="宋体" w:cs="宋体"/>
                <w:snapToGrid w:val="0"/>
                <w:sz w:val="24"/>
                <w:szCs w:val="24"/>
              </w:rPr>
            </w:pPr>
          </w:p>
        </w:tc>
        <w:tc>
          <w:tcPr>
            <w:tcW w:w="796" w:type="dxa"/>
            <w:noWrap/>
            <w:vAlign w:val="center"/>
          </w:tcPr>
          <w:p w14:paraId="2868CF91">
            <w:pPr>
              <w:kinsoku w:val="0"/>
              <w:autoSpaceDE w:val="0"/>
              <w:autoSpaceDN w:val="0"/>
              <w:spacing w:line="360" w:lineRule="auto"/>
              <w:textAlignment w:val="center"/>
              <w:rPr>
                <w:rFonts w:ascii="宋体" w:hAnsi="宋体" w:cs="宋体"/>
                <w:snapToGrid w:val="0"/>
                <w:sz w:val="24"/>
                <w:szCs w:val="24"/>
              </w:rPr>
            </w:pPr>
          </w:p>
        </w:tc>
        <w:tc>
          <w:tcPr>
            <w:tcW w:w="761" w:type="dxa"/>
            <w:noWrap w:val="0"/>
            <w:vAlign w:val="center"/>
          </w:tcPr>
          <w:p w14:paraId="52923112">
            <w:pPr>
              <w:kinsoku w:val="0"/>
              <w:autoSpaceDE w:val="0"/>
              <w:autoSpaceDN w:val="0"/>
              <w:spacing w:line="360" w:lineRule="auto"/>
              <w:textAlignment w:val="center"/>
              <w:rPr>
                <w:rFonts w:ascii="宋体" w:hAnsi="宋体" w:cs="宋体"/>
                <w:snapToGrid w:val="0"/>
                <w:sz w:val="24"/>
                <w:szCs w:val="24"/>
              </w:rPr>
            </w:pPr>
          </w:p>
        </w:tc>
        <w:tc>
          <w:tcPr>
            <w:tcW w:w="1307" w:type="dxa"/>
            <w:noWrap w:val="0"/>
            <w:vAlign w:val="center"/>
          </w:tcPr>
          <w:p w14:paraId="17973A5F">
            <w:pPr>
              <w:kinsoku w:val="0"/>
              <w:autoSpaceDE w:val="0"/>
              <w:autoSpaceDN w:val="0"/>
              <w:spacing w:line="360" w:lineRule="auto"/>
              <w:textAlignment w:val="center"/>
              <w:rPr>
                <w:rFonts w:ascii="宋体" w:hAnsi="宋体" w:cs="宋体"/>
                <w:snapToGrid w:val="0"/>
                <w:sz w:val="24"/>
                <w:szCs w:val="24"/>
              </w:rPr>
            </w:pPr>
          </w:p>
        </w:tc>
      </w:tr>
      <w:tr w14:paraId="35880DB7">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928" w:hRule="atLeast"/>
        </w:trPr>
        <w:tc>
          <w:tcPr>
            <w:tcW w:w="5047" w:type="dxa"/>
            <w:gridSpan w:val="4"/>
            <w:noWrap/>
            <w:vAlign w:val="center"/>
          </w:tcPr>
          <w:p w14:paraId="4708C060">
            <w:pPr>
              <w:kinsoku w:val="0"/>
              <w:autoSpaceDE w:val="0"/>
              <w:autoSpaceDN w:val="0"/>
              <w:spacing w:line="360" w:lineRule="auto"/>
              <w:textAlignment w:val="center"/>
              <w:rPr>
                <w:rFonts w:ascii="宋体" w:hAnsi="宋体" w:cs="宋体"/>
                <w:snapToGrid w:val="0"/>
                <w:sz w:val="24"/>
                <w:szCs w:val="24"/>
              </w:rPr>
            </w:pPr>
            <w:r>
              <w:rPr>
                <w:rFonts w:hint="eastAsia" w:ascii="宋体" w:hAnsi="宋体" w:cs="宋体"/>
                <w:snapToGrid w:val="0"/>
                <w:sz w:val="24"/>
                <w:szCs w:val="24"/>
              </w:rPr>
              <w:t>合计</w:t>
            </w:r>
          </w:p>
        </w:tc>
        <w:tc>
          <w:tcPr>
            <w:tcW w:w="4067" w:type="dxa"/>
            <w:gridSpan w:val="4"/>
            <w:noWrap/>
            <w:vAlign w:val="center"/>
          </w:tcPr>
          <w:p w14:paraId="732EA6B3">
            <w:pPr>
              <w:kinsoku w:val="0"/>
              <w:autoSpaceDE w:val="0"/>
              <w:autoSpaceDN w:val="0"/>
              <w:spacing w:line="360" w:lineRule="auto"/>
              <w:textAlignment w:val="baseline"/>
              <w:rPr>
                <w:rFonts w:ascii="宋体" w:hAnsi="宋体" w:cs="宋体"/>
                <w:snapToGrid w:val="0"/>
                <w:sz w:val="24"/>
                <w:szCs w:val="24"/>
              </w:rPr>
            </w:pPr>
            <w:r>
              <w:rPr>
                <w:rFonts w:hint="eastAsia" w:ascii="宋体" w:hAnsi="宋体" w:cs="宋体"/>
                <w:snapToGrid w:val="0"/>
                <w:sz w:val="24"/>
                <w:szCs w:val="24"/>
              </w:rPr>
              <w:t>小写：</w:t>
            </w:r>
          </w:p>
          <w:p w14:paraId="752C26C3">
            <w:pPr>
              <w:kinsoku w:val="0"/>
              <w:autoSpaceDE w:val="0"/>
              <w:autoSpaceDN w:val="0"/>
              <w:spacing w:line="360" w:lineRule="auto"/>
              <w:textAlignment w:val="baseline"/>
              <w:rPr>
                <w:rFonts w:ascii="宋体" w:hAnsi="宋体" w:cs="宋体"/>
                <w:snapToGrid w:val="0"/>
                <w:sz w:val="24"/>
                <w:szCs w:val="24"/>
              </w:rPr>
            </w:pPr>
            <w:r>
              <w:rPr>
                <w:rFonts w:hint="eastAsia" w:ascii="宋体" w:hAnsi="宋体" w:cs="宋体"/>
                <w:snapToGrid w:val="0"/>
                <w:sz w:val="24"/>
                <w:szCs w:val="24"/>
                <w:lang w:val="zh-CN"/>
              </w:rPr>
              <w:t>大写：</w:t>
            </w:r>
          </w:p>
        </w:tc>
      </w:tr>
    </w:tbl>
    <w:p w14:paraId="43814F9F">
      <w:pPr>
        <w:spacing w:line="360" w:lineRule="auto"/>
        <w:ind w:left="105" w:leftChars="50" w:firstLine="480" w:firstLineChars="200"/>
        <w:rPr>
          <w:rFonts w:ascii="宋体" w:hAnsi="宋体" w:cs="宋体"/>
          <w:sz w:val="24"/>
          <w:szCs w:val="24"/>
        </w:rPr>
      </w:pPr>
    </w:p>
    <w:p w14:paraId="3523012B">
      <w:pPr>
        <w:spacing w:line="360" w:lineRule="auto"/>
        <w:rPr>
          <w:rFonts w:ascii="宋体" w:hAnsi="宋体" w:cs="宋体"/>
          <w:b/>
          <w:sz w:val="24"/>
          <w:szCs w:val="24"/>
        </w:rPr>
      </w:pPr>
      <w:r>
        <w:rPr>
          <w:rFonts w:hint="eastAsia" w:ascii="宋体" w:hAnsi="宋体" w:cs="宋体"/>
          <w:b/>
          <w:sz w:val="24"/>
          <w:szCs w:val="24"/>
        </w:rPr>
        <w:t xml:space="preserve">四、合同金额 </w:t>
      </w:r>
    </w:p>
    <w:p w14:paraId="1E905F4F">
      <w:pPr>
        <w:spacing w:line="360" w:lineRule="auto"/>
        <w:ind w:left="1919" w:leftChars="228" w:hanging="1440" w:hangingChars="600"/>
        <w:rPr>
          <w:rFonts w:hint="eastAsia" w:ascii="宋体" w:hAnsi="宋体" w:cs="宋体"/>
          <w:sz w:val="24"/>
          <w:szCs w:val="24"/>
          <w:u w:val="single"/>
          <w:lang w:val="en-US" w:eastAsia="zh-CN"/>
        </w:rPr>
      </w:pPr>
      <w:r>
        <w:rPr>
          <w:rFonts w:hint="eastAsia" w:ascii="宋体" w:hAnsi="宋体" w:cs="宋体"/>
          <w:sz w:val="24"/>
          <w:szCs w:val="24"/>
        </w:rPr>
        <w:t>1、根据上述文件要求，合同金额为人民币</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万元，大写：</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p>
    <w:p w14:paraId="0D932C14">
      <w:pPr>
        <w:spacing w:line="360" w:lineRule="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元整。</w:t>
      </w:r>
    </w:p>
    <w:p w14:paraId="1EDD1B85">
      <w:pPr>
        <w:pStyle w:val="4"/>
        <w:spacing w:line="360" w:lineRule="auto"/>
        <w:rPr>
          <w:rFonts w:ascii="宋体" w:hAnsi="宋体"/>
          <w:sz w:val="24"/>
          <w:szCs w:val="24"/>
        </w:rPr>
      </w:pPr>
      <w:r>
        <w:rPr>
          <w:rFonts w:hint="eastAsia" w:ascii="宋体" w:hAnsi="宋体"/>
          <w:sz w:val="24"/>
          <w:szCs w:val="24"/>
        </w:rPr>
        <w:t xml:space="preserve">    2、本合同总价款已包括乙方为履行本合同义务所发生的一切费用，包括但不限于交通费、运输费、物流费、装卸费、包装费、安装费等。甲方无须另行向乙方支付本合同规定之外的其他任何费用，该价格系固定不变价格，且不随市场价格、通货膨胀等因素的影响而波动。</w:t>
      </w:r>
    </w:p>
    <w:p w14:paraId="22934AFC">
      <w:pPr>
        <w:spacing w:line="360" w:lineRule="auto"/>
        <w:rPr>
          <w:rFonts w:ascii="宋体" w:hAnsi="宋体" w:cs="宋体"/>
          <w:b/>
          <w:sz w:val="24"/>
          <w:szCs w:val="24"/>
        </w:rPr>
      </w:pPr>
      <w:r>
        <w:rPr>
          <w:rFonts w:hint="eastAsia" w:ascii="宋体" w:hAnsi="宋体" w:cs="宋体"/>
          <w:b/>
          <w:sz w:val="24"/>
          <w:szCs w:val="24"/>
        </w:rPr>
        <w:t xml:space="preserve">五、付款方式 </w:t>
      </w:r>
    </w:p>
    <w:p w14:paraId="29C068BC">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 xml:space="preserve">1、  自合同签订后 ，达到付款条件起 30日内，支付合同总金额的 100.00%。 </w:t>
      </w:r>
    </w:p>
    <w:p w14:paraId="54BCCC98">
      <w:pPr>
        <w:pStyle w:val="4"/>
        <w:spacing w:line="360" w:lineRule="auto"/>
        <w:ind w:firstLine="480" w:firstLineChars="200"/>
        <w:rPr>
          <w:rFonts w:ascii="宋体" w:hAnsi="宋体"/>
          <w:sz w:val="24"/>
          <w:szCs w:val="24"/>
        </w:rPr>
      </w:pPr>
      <w:r>
        <w:rPr>
          <w:rFonts w:hint="eastAsia" w:ascii="宋体" w:hAnsi="宋体"/>
          <w:sz w:val="24"/>
          <w:szCs w:val="24"/>
        </w:rPr>
        <w:t>2、付款前，乙方应开具符合国家规定的支付全额发票给甲方，否则甲方有权延迟付款。在履行本合同过程中，若乙方的货款收款账户发生变更，乙方需将变更后的收款账户以书面形式及时通知甲方，甲方按照乙方提供的银行账户支付货款后，因乙方提供账户或者账号相关信息遗漏、错误、更改等原因所产生的后果由乙方自行承担。</w:t>
      </w:r>
    </w:p>
    <w:p w14:paraId="20165901">
      <w:pPr>
        <w:pStyle w:val="4"/>
        <w:spacing w:line="360" w:lineRule="auto"/>
        <w:ind w:firstLine="480" w:firstLineChars="200"/>
        <w:rPr>
          <w:rFonts w:ascii="宋体" w:hAnsi="宋体"/>
          <w:sz w:val="24"/>
          <w:szCs w:val="24"/>
        </w:rPr>
      </w:pPr>
      <w:r>
        <w:rPr>
          <w:rFonts w:hint="eastAsia" w:ascii="宋体" w:hAnsi="宋体"/>
          <w:sz w:val="24"/>
          <w:szCs w:val="24"/>
        </w:rPr>
        <w:t>3、因本项目为政府采购项目，若因相关政策或财务程序等影响，导致甲方不能及时付款，乙方应予以合理宽限，甲方不构成违约。</w:t>
      </w:r>
    </w:p>
    <w:p w14:paraId="102D1414">
      <w:pPr>
        <w:spacing w:line="360" w:lineRule="auto"/>
        <w:rPr>
          <w:rFonts w:ascii="宋体" w:hAnsi="宋体" w:cs="宋体"/>
          <w:b/>
          <w:sz w:val="24"/>
          <w:szCs w:val="24"/>
        </w:rPr>
      </w:pPr>
      <w:r>
        <w:rPr>
          <w:rFonts w:hint="eastAsia" w:ascii="宋体" w:hAnsi="宋体" w:cs="宋体"/>
          <w:b/>
          <w:sz w:val="24"/>
          <w:szCs w:val="24"/>
        </w:rPr>
        <w:t xml:space="preserve">六、交货 </w:t>
      </w:r>
    </w:p>
    <w:p w14:paraId="1A26DAFA">
      <w:pPr>
        <w:spacing w:line="360" w:lineRule="auto"/>
        <w:ind w:firstLine="482" w:firstLineChars="200"/>
        <w:rPr>
          <w:rFonts w:hint="eastAsia" w:ascii="宋体" w:hAnsi="宋体" w:cs="宋体"/>
          <w:b/>
          <w:sz w:val="24"/>
          <w:szCs w:val="24"/>
          <w:highlight w:val="none"/>
          <w:u w:val="single"/>
          <w:lang w:val="en-US" w:eastAsia="zh-CN"/>
        </w:rPr>
      </w:pPr>
      <w:r>
        <w:rPr>
          <w:rFonts w:hint="eastAsia" w:ascii="宋体" w:hAnsi="宋体" w:cs="宋体"/>
          <w:b/>
          <w:sz w:val="24"/>
          <w:szCs w:val="24"/>
          <w:highlight w:val="none"/>
        </w:rPr>
        <w:t>1、交货</w:t>
      </w:r>
      <w:r>
        <w:rPr>
          <w:rFonts w:hint="eastAsia" w:ascii="宋体" w:hAnsi="宋体" w:cs="宋体"/>
          <w:b/>
          <w:sz w:val="24"/>
          <w:szCs w:val="24"/>
          <w:highlight w:val="none"/>
          <w:lang w:val="en-US" w:eastAsia="zh-CN"/>
        </w:rPr>
        <w:t>时间</w:t>
      </w:r>
      <w:r>
        <w:rPr>
          <w:rFonts w:hint="eastAsia" w:ascii="宋体" w:hAnsi="宋体" w:cs="宋体"/>
          <w:b/>
          <w:sz w:val="24"/>
          <w:szCs w:val="24"/>
          <w:highlight w:val="none"/>
        </w:rPr>
        <w:t>：</w:t>
      </w:r>
      <w:r>
        <w:rPr>
          <w:rFonts w:hint="eastAsia" w:ascii="宋体" w:hAnsi="宋体" w:cs="宋体"/>
          <w:b/>
          <w:sz w:val="24"/>
          <w:szCs w:val="24"/>
          <w:highlight w:val="none"/>
          <w:u w:val="single"/>
          <w:lang w:val="en-US" w:eastAsia="zh-CN"/>
        </w:rPr>
        <w:t xml:space="preserve">              </w:t>
      </w:r>
    </w:p>
    <w:p w14:paraId="04D0F9B2">
      <w:pPr>
        <w:spacing w:line="360" w:lineRule="auto"/>
        <w:ind w:firstLine="482" w:firstLineChars="200"/>
        <w:rPr>
          <w:rFonts w:hint="default" w:ascii="宋体" w:hAnsi="宋体" w:cs="宋体"/>
          <w:b/>
          <w:sz w:val="24"/>
          <w:szCs w:val="24"/>
          <w:highlight w:val="none"/>
          <w:lang w:val="en-US"/>
        </w:rPr>
      </w:pPr>
      <w:r>
        <w:rPr>
          <w:rFonts w:hint="eastAsia" w:ascii="宋体" w:hAnsi="宋体" w:cs="宋体"/>
          <w:b/>
          <w:sz w:val="24"/>
          <w:szCs w:val="24"/>
          <w:highlight w:val="none"/>
        </w:rPr>
        <w:t>2、交货地点：</w:t>
      </w:r>
      <w:r>
        <w:rPr>
          <w:rFonts w:hint="eastAsia" w:ascii="宋体" w:hAnsi="宋体" w:cs="宋体"/>
          <w:b/>
          <w:sz w:val="24"/>
          <w:szCs w:val="24"/>
          <w:highlight w:val="none"/>
          <w:u w:val="single"/>
          <w:lang w:val="en-US" w:eastAsia="zh-CN"/>
        </w:rPr>
        <w:t>西安市公安局</w:t>
      </w:r>
    </w:p>
    <w:p w14:paraId="683E7C9B">
      <w:pPr>
        <w:spacing w:line="360" w:lineRule="auto"/>
        <w:ind w:firstLine="480" w:firstLineChars="200"/>
        <w:rPr>
          <w:rFonts w:ascii="宋体" w:hAnsi="宋体" w:cs="宋体"/>
          <w:sz w:val="24"/>
          <w:szCs w:val="24"/>
        </w:rPr>
      </w:pPr>
      <w:r>
        <w:rPr>
          <w:rFonts w:hint="eastAsia" w:ascii="宋体" w:hAnsi="宋体" w:cs="宋体"/>
          <w:sz w:val="24"/>
          <w:szCs w:val="24"/>
        </w:rPr>
        <w:t xml:space="preserve">3、风险负担：货物毁损、灭失的风险在该货物通过甲乙双方联合验收交付前由乙方承担，通过联合验收交付后由甲方承担；因质量问题甲方拒收的，风险由乙方承担。 </w:t>
      </w:r>
    </w:p>
    <w:p w14:paraId="767A1BC8">
      <w:pPr>
        <w:spacing w:line="360" w:lineRule="auto"/>
        <w:rPr>
          <w:rFonts w:ascii="宋体" w:hAnsi="宋体" w:cs="宋体"/>
          <w:b/>
          <w:sz w:val="24"/>
          <w:szCs w:val="24"/>
        </w:rPr>
      </w:pPr>
      <w:r>
        <w:rPr>
          <w:rFonts w:hint="eastAsia" w:ascii="宋体" w:hAnsi="宋体" w:cs="宋体"/>
          <w:b/>
          <w:sz w:val="24"/>
          <w:szCs w:val="24"/>
        </w:rPr>
        <w:t xml:space="preserve">七、质量 </w:t>
      </w:r>
    </w:p>
    <w:p w14:paraId="0483E33C">
      <w:pPr>
        <w:spacing w:line="360" w:lineRule="auto"/>
        <w:ind w:firstLine="480" w:firstLineChars="200"/>
        <w:rPr>
          <w:rFonts w:ascii="宋体" w:hAnsi="宋体" w:cs="宋体"/>
          <w:sz w:val="24"/>
          <w:szCs w:val="24"/>
        </w:rPr>
      </w:pPr>
      <w:r>
        <w:rPr>
          <w:rFonts w:hint="eastAsia" w:ascii="宋体" w:hAnsi="宋体" w:cs="宋体"/>
          <w:sz w:val="24"/>
          <w:szCs w:val="24"/>
        </w:rPr>
        <w:t xml:space="preserve">乙方提供的货物应符合国家相关质量验收标准且为全新、原装、有正规进货渠道的货物，质量、规格、外观等符合警用装备最新行业标准； </w:t>
      </w:r>
    </w:p>
    <w:p w14:paraId="72D78FC8">
      <w:pPr>
        <w:spacing w:line="360" w:lineRule="auto"/>
        <w:rPr>
          <w:rFonts w:ascii="宋体" w:hAnsi="宋体" w:cs="宋体"/>
          <w:b/>
          <w:sz w:val="24"/>
          <w:szCs w:val="24"/>
        </w:rPr>
      </w:pPr>
      <w:r>
        <w:rPr>
          <w:rFonts w:hint="eastAsia" w:ascii="宋体" w:hAnsi="宋体" w:cs="宋体"/>
          <w:b/>
          <w:sz w:val="24"/>
          <w:szCs w:val="24"/>
        </w:rPr>
        <w:t xml:space="preserve">八、运输要求 </w:t>
      </w:r>
    </w:p>
    <w:p w14:paraId="08B39A73">
      <w:pPr>
        <w:spacing w:line="360" w:lineRule="auto"/>
        <w:ind w:firstLine="480" w:firstLineChars="200"/>
        <w:rPr>
          <w:rFonts w:ascii="宋体" w:hAnsi="宋体" w:cs="宋体"/>
          <w:sz w:val="24"/>
          <w:szCs w:val="24"/>
        </w:rPr>
      </w:pPr>
      <w:r>
        <w:rPr>
          <w:rFonts w:hint="eastAsia" w:ascii="宋体" w:hAnsi="宋体" w:cs="宋体"/>
          <w:sz w:val="24"/>
          <w:szCs w:val="24"/>
        </w:rPr>
        <w:t xml:space="preserve">运输及相关费用由乙方承担。 </w:t>
      </w:r>
    </w:p>
    <w:p w14:paraId="60FF06EC">
      <w:pPr>
        <w:spacing w:line="360" w:lineRule="auto"/>
        <w:rPr>
          <w:rFonts w:ascii="宋体" w:hAnsi="宋体" w:cs="宋体"/>
          <w:b/>
          <w:sz w:val="24"/>
          <w:szCs w:val="24"/>
        </w:rPr>
      </w:pPr>
      <w:r>
        <w:rPr>
          <w:rFonts w:hint="eastAsia" w:ascii="宋体" w:hAnsi="宋体" w:cs="宋体"/>
          <w:b/>
          <w:sz w:val="24"/>
          <w:szCs w:val="24"/>
        </w:rPr>
        <w:t xml:space="preserve">九、知识产权 </w:t>
      </w:r>
    </w:p>
    <w:p w14:paraId="7874A4E1">
      <w:pPr>
        <w:spacing w:line="360" w:lineRule="auto"/>
        <w:ind w:firstLine="480" w:firstLineChars="200"/>
        <w:rPr>
          <w:rFonts w:ascii="宋体" w:hAnsi="宋体" w:cs="宋体"/>
          <w:sz w:val="24"/>
          <w:szCs w:val="24"/>
        </w:rPr>
      </w:pPr>
      <w:r>
        <w:rPr>
          <w:rFonts w:hint="eastAsia" w:ascii="宋体" w:hAnsi="宋体" w:cs="宋体"/>
          <w:sz w:val="24"/>
          <w:szCs w:val="24"/>
        </w:rPr>
        <w:t xml:space="preserve">乙方应保证甲方在中国境内使用货物或货物的任何一部分时，免受第三方提出的侵犯其知识产权的诉讼。 </w:t>
      </w:r>
    </w:p>
    <w:p w14:paraId="487797E8">
      <w:pPr>
        <w:spacing w:line="360" w:lineRule="auto"/>
        <w:rPr>
          <w:rFonts w:ascii="宋体" w:hAnsi="宋体" w:cs="宋体"/>
          <w:b/>
          <w:sz w:val="24"/>
          <w:szCs w:val="24"/>
        </w:rPr>
      </w:pPr>
      <w:r>
        <w:rPr>
          <w:rFonts w:hint="eastAsia" w:ascii="宋体" w:hAnsi="宋体" w:cs="宋体"/>
          <w:b/>
          <w:sz w:val="24"/>
          <w:szCs w:val="24"/>
        </w:rPr>
        <w:t xml:space="preserve">十、验收 </w:t>
      </w:r>
    </w:p>
    <w:p w14:paraId="7F6CD561">
      <w:pPr>
        <w:spacing w:line="360" w:lineRule="auto"/>
        <w:ind w:firstLine="480" w:firstLineChars="200"/>
        <w:rPr>
          <w:rFonts w:ascii="宋体" w:hAnsi="宋体" w:cs="宋体"/>
          <w:sz w:val="24"/>
          <w:szCs w:val="24"/>
        </w:rPr>
      </w:pPr>
      <w:r>
        <w:rPr>
          <w:rFonts w:hint="eastAsia" w:ascii="宋体" w:hAnsi="宋体" w:cs="宋体"/>
          <w:sz w:val="24"/>
          <w:szCs w:val="24"/>
        </w:rPr>
        <w:t xml:space="preserve">1、货物运达甲方指定的交货地点后，由甲乙双方共同对货物数量、外观、质量等进行验收，验收合格共同签字确认。经验收合格并不免除乙方在之后的质量责任。 </w:t>
      </w:r>
    </w:p>
    <w:p w14:paraId="6EE0D704">
      <w:pPr>
        <w:spacing w:line="360" w:lineRule="auto"/>
        <w:ind w:firstLine="480" w:firstLineChars="200"/>
        <w:rPr>
          <w:rFonts w:ascii="宋体" w:hAnsi="宋体" w:cs="宋体"/>
          <w:sz w:val="24"/>
          <w:szCs w:val="24"/>
        </w:rPr>
      </w:pPr>
      <w:r>
        <w:rPr>
          <w:rFonts w:hint="eastAsia" w:ascii="宋体" w:hAnsi="宋体" w:cs="宋体"/>
          <w:sz w:val="24"/>
          <w:szCs w:val="24"/>
        </w:rPr>
        <w:t>2、对货物的质量问题，甲方应在发现后向乙方提出书面异议，乙方在接到书面异议后，应当在</w:t>
      </w:r>
      <w:r>
        <w:rPr>
          <w:rFonts w:hint="eastAsia" w:ascii="宋体" w:hAnsi="宋体" w:cs="宋体"/>
          <w:sz w:val="24"/>
          <w:szCs w:val="24"/>
          <w:u w:val="single"/>
        </w:rPr>
        <w:t>5</w:t>
      </w:r>
      <w:r>
        <w:rPr>
          <w:rFonts w:hint="eastAsia" w:ascii="宋体" w:hAnsi="宋体" w:cs="宋体"/>
          <w:sz w:val="24"/>
          <w:szCs w:val="24"/>
        </w:rPr>
        <w:t>日内负责处理。如果乙方在</w:t>
      </w:r>
      <w:r>
        <w:rPr>
          <w:rFonts w:hint="eastAsia" w:ascii="宋体" w:hAnsi="宋体" w:cs="宋体"/>
          <w:sz w:val="24"/>
          <w:szCs w:val="24"/>
          <w:lang w:eastAsia="zh-CN"/>
        </w:rPr>
        <w:t>响应文件</w:t>
      </w:r>
      <w:r>
        <w:rPr>
          <w:rFonts w:hint="eastAsia" w:ascii="宋体" w:hAnsi="宋体" w:cs="宋体"/>
          <w:sz w:val="24"/>
          <w:szCs w:val="24"/>
        </w:rPr>
        <w:t>及谈判过程中做出的书面说明及承诺中，有明确质量保证期的，适用质量保证期。</w:t>
      </w:r>
    </w:p>
    <w:p w14:paraId="6838FF64">
      <w:pPr>
        <w:spacing w:line="360" w:lineRule="auto"/>
        <w:ind w:firstLine="480" w:firstLineChars="200"/>
        <w:rPr>
          <w:rFonts w:ascii="宋体" w:hAnsi="宋体" w:cs="宋体"/>
          <w:sz w:val="24"/>
          <w:szCs w:val="24"/>
        </w:rPr>
      </w:pPr>
      <w:r>
        <w:rPr>
          <w:rFonts w:hint="eastAsia" w:ascii="宋体" w:hAnsi="宋体" w:cs="宋体"/>
          <w:sz w:val="24"/>
          <w:szCs w:val="24"/>
        </w:rPr>
        <w:t>3、经双方共同验收，若货物达不到合同约定的数量、规格或质量要求的，甲方有权拒绝验收，乙方应在</w:t>
      </w:r>
      <w:r>
        <w:rPr>
          <w:rFonts w:hint="eastAsia" w:ascii="宋体" w:hAnsi="宋体" w:cs="宋体"/>
          <w:sz w:val="24"/>
          <w:szCs w:val="24"/>
          <w:u w:val="single"/>
        </w:rPr>
        <w:t>5</w:t>
      </w:r>
      <w:r>
        <w:rPr>
          <w:rFonts w:hint="eastAsia" w:ascii="宋体" w:hAnsi="宋体" w:cs="宋体"/>
          <w:sz w:val="24"/>
          <w:szCs w:val="24"/>
        </w:rPr>
        <w:t xml:space="preserve">日内补齐或更换，乙方在期限内补齐或更换的，甲方予以验收合格，若乙方到期仍未补齐、更换或货物质量达不到合同约定标准的，甲方有权解除合同，不再支付货款，乙方应承担合同总价20%的违约金。 </w:t>
      </w:r>
    </w:p>
    <w:p w14:paraId="32A16550">
      <w:pPr>
        <w:spacing w:line="360" w:lineRule="auto"/>
        <w:rPr>
          <w:rFonts w:ascii="宋体" w:hAnsi="宋体" w:cs="宋体"/>
          <w:b/>
          <w:sz w:val="24"/>
          <w:szCs w:val="24"/>
        </w:rPr>
      </w:pPr>
      <w:r>
        <w:rPr>
          <w:rFonts w:hint="eastAsia" w:ascii="宋体" w:hAnsi="宋体" w:cs="宋体"/>
          <w:b/>
          <w:sz w:val="24"/>
          <w:szCs w:val="24"/>
        </w:rPr>
        <w:t>十一、售后服务</w:t>
      </w:r>
    </w:p>
    <w:p w14:paraId="0577D8E4">
      <w:pPr>
        <w:pStyle w:val="3"/>
        <w:spacing w:line="360" w:lineRule="auto"/>
        <w:ind w:firstLine="482" w:firstLineChars="200"/>
        <w:jc w:val="both"/>
        <w:rPr>
          <w:rFonts w:ascii="宋体" w:hAnsi="宋体" w:cs="宋体"/>
          <w:sz w:val="24"/>
          <w:szCs w:val="24"/>
        </w:rPr>
      </w:pPr>
      <w:r>
        <w:rPr>
          <w:rFonts w:hint="eastAsia" w:ascii="宋体" w:hAnsi="宋体" w:cs="宋体"/>
          <w:sz w:val="24"/>
          <w:szCs w:val="24"/>
        </w:rPr>
        <w:t>乙方应按照</w:t>
      </w:r>
      <w:r>
        <w:rPr>
          <w:rFonts w:hint="eastAsia" w:ascii="宋体" w:hAnsi="宋体" w:cs="宋体"/>
          <w:sz w:val="24"/>
          <w:szCs w:val="24"/>
          <w:lang w:eastAsia="zh-CN"/>
        </w:rPr>
        <w:t>采购文件</w:t>
      </w:r>
      <w:r>
        <w:rPr>
          <w:rFonts w:hint="eastAsia" w:ascii="宋体" w:hAnsi="宋体" w:cs="宋体"/>
          <w:sz w:val="24"/>
          <w:szCs w:val="24"/>
        </w:rPr>
        <w:t>、</w:t>
      </w:r>
      <w:r>
        <w:rPr>
          <w:rFonts w:hint="eastAsia" w:ascii="宋体" w:hAnsi="宋体" w:cs="宋体"/>
          <w:sz w:val="24"/>
          <w:szCs w:val="24"/>
          <w:lang w:eastAsia="zh-CN"/>
        </w:rPr>
        <w:t>响应文件</w:t>
      </w:r>
      <w:r>
        <w:rPr>
          <w:rFonts w:hint="eastAsia" w:ascii="宋体" w:hAnsi="宋体" w:cs="宋体"/>
          <w:sz w:val="24"/>
          <w:szCs w:val="24"/>
        </w:rPr>
        <w:t>及乙方做出的书面说明或承诺提供及时、快速、优质的售后服务。质保期内，产品出现非人为质量问题，乙方免费提供质保服务，负责免费维修或更换，修理不好或者无法更换的，甲方有权要求乙方退货并返还相应货款；质保期过后，乙方提供终身维修，只收取相应的零配件成本费用，免收人工费、上门费。</w:t>
      </w:r>
    </w:p>
    <w:p w14:paraId="11349597">
      <w:pPr>
        <w:spacing w:line="360" w:lineRule="auto"/>
        <w:rPr>
          <w:rFonts w:ascii="宋体" w:hAnsi="宋体" w:cs="宋体"/>
          <w:b/>
          <w:sz w:val="24"/>
          <w:szCs w:val="24"/>
        </w:rPr>
      </w:pPr>
      <w:r>
        <w:rPr>
          <w:rFonts w:hint="eastAsia" w:ascii="宋体" w:hAnsi="宋体" w:cs="宋体"/>
          <w:b/>
          <w:sz w:val="24"/>
          <w:szCs w:val="24"/>
        </w:rPr>
        <w:t xml:space="preserve">十二、违约条款 </w:t>
      </w:r>
    </w:p>
    <w:p w14:paraId="11258C71">
      <w:pPr>
        <w:spacing w:line="360" w:lineRule="auto"/>
        <w:ind w:firstLine="480" w:firstLineChars="200"/>
        <w:rPr>
          <w:rFonts w:ascii="宋体" w:hAnsi="宋体" w:cs="宋体"/>
          <w:sz w:val="24"/>
          <w:szCs w:val="24"/>
        </w:rPr>
      </w:pPr>
      <w:r>
        <w:rPr>
          <w:rFonts w:hint="eastAsia" w:ascii="宋体" w:hAnsi="宋体" w:cs="宋体"/>
          <w:sz w:val="24"/>
          <w:szCs w:val="24"/>
        </w:rPr>
        <w:t>1、乙方延迟交货，每延迟</w:t>
      </w:r>
      <w:r>
        <w:rPr>
          <w:rFonts w:hint="eastAsia" w:ascii="宋体" w:hAnsi="宋体" w:cs="宋体"/>
          <w:sz w:val="24"/>
          <w:szCs w:val="24"/>
          <w:u w:val="single"/>
        </w:rPr>
        <w:t xml:space="preserve"> 1 </w:t>
      </w:r>
      <w:r>
        <w:rPr>
          <w:rFonts w:hint="eastAsia" w:ascii="宋体" w:hAnsi="宋体" w:cs="宋体"/>
          <w:sz w:val="24"/>
          <w:szCs w:val="24"/>
        </w:rPr>
        <w:t>日，按应交付货物总额的</w:t>
      </w:r>
      <w:r>
        <w:rPr>
          <w:rFonts w:hint="eastAsia" w:ascii="宋体" w:hAnsi="宋体" w:cs="宋体"/>
          <w:sz w:val="24"/>
          <w:szCs w:val="24"/>
          <w:u w:val="single"/>
        </w:rPr>
        <w:t>千分之三每日</w:t>
      </w:r>
      <w:r>
        <w:rPr>
          <w:rFonts w:hint="eastAsia" w:ascii="宋体" w:hAnsi="宋体" w:cs="宋体"/>
          <w:sz w:val="24"/>
          <w:szCs w:val="24"/>
        </w:rPr>
        <w:t>支付违约金，由甲方直接从应付货款中扣除，延迟</w:t>
      </w:r>
      <w:r>
        <w:rPr>
          <w:rFonts w:hint="eastAsia" w:ascii="宋体" w:hAnsi="宋体" w:cs="宋体"/>
          <w:sz w:val="24"/>
          <w:szCs w:val="24"/>
          <w:u w:val="single"/>
        </w:rPr>
        <w:t>15</w:t>
      </w:r>
      <w:r>
        <w:rPr>
          <w:rFonts w:hint="eastAsia" w:ascii="宋体" w:hAnsi="宋体" w:cs="宋体"/>
          <w:sz w:val="24"/>
          <w:szCs w:val="24"/>
        </w:rPr>
        <w:t>日的，甲方有权解除合同，不再支付货款，乙方应承担合同总价20%的违约金。</w:t>
      </w:r>
    </w:p>
    <w:p w14:paraId="052E98EA">
      <w:pPr>
        <w:spacing w:line="360" w:lineRule="auto"/>
        <w:ind w:firstLine="480" w:firstLineChars="200"/>
        <w:rPr>
          <w:rFonts w:ascii="宋体" w:hAnsi="宋体" w:cs="宋体"/>
          <w:sz w:val="24"/>
          <w:szCs w:val="24"/>
        </w:rPr>
      </w:pPr>
      <w:r>
        <w:rPr>
          <w:rFonts w:hint="eastAsia" w:ascii="宋体" w:hAnsi="宋体" w:cs="宋体"/>
          <w:sz w:val="24"/>
          <w:szCs w:val="24"/>
        </w:rPr>
        <w:t>2、乙方履行合同不符合规定（如提供假冒伪劣产品、产品质量、性能和技术指标等未达合同约定标准等），除应按合同约定及时调换外，在调换货物期间，应按调换货物金额的</w:t>
      </w:r>
      <w:r>
        <w:rPr>
          <w:rFonts w:hint="eastAsia" w:ascii="宋体" w:hAnsi="宋体" w:cs="宋体"/>
          <w:sz w:val="24"/>
          <w:szCs w:val="24"/>
          <w:u w:val="single"/>
        </w:rPr>
        <w:t>千分之三每日</w:t>
      </w:r>
      <w:r>
        <w:rPr>
          <w:rFonts w:hint="eastAsia" w:ascii="宋体" w:hAnsi="宋体" w:cs="宋体"/>
          <w:sz w:val="24"/>
          <w:szCs w:val="24"/>
        </w:rPr>
        <w:t xml:space="preserve">向甲方支付违约金。 </w:t>
      </w:r>
    </w:p>
    <w:p w14:paraId="3088F654">
      <w:pPr>
        <w:pStyle w:val="4"/>
        <w:spacing w:line="360" w:lineRule="auto"/>
        <w:ind w:firstLine="480" w:firstLineChars="200"/>
        <w:rPr>
          <w:rFonts w:ascii="宋体" w:hAnsi="宋体"/>
          <w:sz w:val="24"/>
          <w:szCs w:val="24"/>
        </w:rPr>
      </w:pPr>
      <w:r>
        <w:rPr>
          <w:rFonts w:hint="eastAsia" w:ascii="宋体" w:hAnsi="宋体"/>
          <w:sz w:val="24"/>
          <w:szCs w:val="24"/>
        </w:rPr>
        <w:t>3、乙方拒不交货或不能交货的，甲方有权单方解除本合同，并按照合同总额的20%要求乙方支付违约金。</w:t>
      </w:r>
    </w:p>
    <w:p w14:paraId="1EEFE4E0">
      <w:pPr>
        <w:pStyle w:val="4"/>
        <w:spacing w:line="360" w:lineRule="auto"/>
        <w:ind w:firstLine="480" w:firstLineChars="200"/>
        <w:rPr>
          <w:rFonts w:ascii="宋体" w:hAnsi="宋体"/>
          <w:sz w:val="24"/>
          <w:szCs w:val="24"/>
        </w:rPr>
      </w:pPr>
      <w:r>
        <w:rPr>
          <w:rFonts w:hint="eastAsia" w:ascii="宋体" w:hAnsi="宋体"/>
          <w:sz w:val="24"/>
          <w:szCs w:val="24"/>
        </w:rPr>
        <w:t>4、在乙方承诺的质量保证期内，如经乙方两次更换，货物仍不能达到合同约定的质量标准，甲方有权退货，乙方应退回全部货款并赔偿甲方因此遭受的损失。</w:t>
      </w:r>
    </w:p>
    <w:p w14:paraId="3AE0B8B0">
      <w:pPr>
        <w:pStyle w:val="4"/>
        <w:spacing w:line="360" w:lineRule="auto"/>
        <w:ind w:firstLine="480" w:firstLineChars="200"/>
        <w:rPr>
          <w:rFonts w:ascii="宋体" w:hAnsi="宋体"/>
          <w:sz w:val="24"/>
          <w:szCs w:val="24"/>
        </w:rPr>
      </w:pPr>
      <w:r>
        <w:rPr>
          <w:rFonts w:hint="eastAsia" w:ascii="宋体" w:hAnsi="宋体"/>
          <w:sz w:val="24"/>
          <w:szCs w:val="24"/>
        </w:rPr>
        <w:t>5、乙方未履行本合同项下关于售后服务相关承诺的，甲方有权另行委托第三人履行，由此产生的一切费用均由乙方承担。同时，乙方应承担相当于合同总价款5%的违约金。</w:t>
      </w:r>
    </w:p>
    <w:p w14:paraId="467C65FF">
      <w:pPr>
        <w:pStyle w:val="4"/>
        <w:spacing w:line="360" w:lineRule="auto"/>
        <w:ind w:firstLine="480" w:firstLineChars="200"/>
        <w:rPr>
          <w:rFonts w:ascii="宋体" w:hAnsi="宋体"/>
          <w:sz w:val="24"/>
          <w:szCs w:val="24"/>
        </w:rPr>
      </w:pPr>
      <w:r>
        <w:rPr>
          <w:rFonts w:hint="eastAsia" w:ascii="宋体" w:hAnsi="宋体"/>
          <w:sz w:val="24"/>
          <w:szCs w:val="24"/>
        </w:rPr>
        <w:t>6、未经甲方书面同意，乙方不得将本合同项下全部或部分义务转让给任何第三人，否则甲方有权解除合同并要求乙方在返还所有已付价款的同时承担相当于合同总价款20%的违约金。</w:t>
      </w:r>
    </w:p>
    <w:p w14:paraId="4199B665">
      <w:pPr>
        <w:pStyle w:val="4"/>
        <w:spacing w:line="360" w:lineRule="auto"/>
        <w:ind w:firstLine="480" w:firstLineChars="200"/>
        <w:rPr>
          <w:rFonts w:ascii="宋体" w:hAnsi="宋体"/>
          <w:sz w:val="24"/>
          <w:szCs w:val="24"/>
        </w:rPr>
      </w:pPr>
      <w:r>
        <w:rPr>
          <w:rFonts w:hint="eastAsia" w:ascii="宋体" w:hAnsi="宋体"/>
          <w:sz w:val="24"/>
          <w:szCs w:val="24"/>
        </w:rPr>
        <w:t>7、因乙方交付的标的物存在质量问题，导致甲方或者第三方受到损害的，由乙方承担赔偿责任，甲方因此遭受第三方索赔的，有权向乙方追偿。</w:t>
      </w:r>
    </w:p>
    <w:p w14:paraId="108F0B8C">
      <w:pPr>
        <w:spacing w:line="360" w:lineRule="auto"/>
        <w:ind w:firstLine="480" w:firstLineChars="200"/>
        <w:rPr>
          <w:rFonts w:ascii="宋体" w:hAnsi="宋体" w:cs="宋体"/>
          <w:sz w:val="24"/>
          <w:szCs w:val="24"/>
        </w:rPr>
      </w:pPr>
      <w:r>
        <w:rPr>
          <w:rFonts w:hint="eastAsia" w:ascii="宋体" w:hAnsi="宋体" w:cs="宋体"/>
          <w:sz w:val="24"/>
          <w:szCs w:val="24"/>
        </w:rPr>
        <w:t>8、如因一方违约而引起诉讼，违约方除承担违约责任外，还应承担因诉讼或仲裁所支付的律师代理费等相关费用。</w:t>
      </w:r>
    </w:p>
    <w:p w14:paraId="620B48FB">
      <w:pPr>
        <w:spacing w:line="360" w:lineRule="auto"/>
        <w:ind w:firstLine="480" w:firstLineChars="200"/>
        <w:rPr>
          <w:rFonts w:ascii="宋体" w:hAnsi="宋体" w:cs="宋体"/>
          <w:sz w:val="24"/>
          <w:szCs w:val="24"/>
        </w:rPr>
      </w:pPr>
      <w:r>
        <w:rPr>
          <w:rFonts w:hint="eastAsia" w:ascii="宋体" w:hAnsi="宋体" w:cs="宋体"/>
          <w:sz w:val="24"/>
          <w:szCs w:val="24"/>
        </w:rPr>
        <w:t xml:space="preserve">9、其它应承担的违约责任，以《中华人民共和国民法典》和其它有关法律、法规规定为准，无相关规定的，双方协商解决。 </w:t>
      </w:r>
    </w:p>
    <w:p w14:paraId="104A0ECD">
      <w:pPr>
        <w:spacing w:line="360" w:lineRule="auto"/>
        <w:ind w:firstLine="480" w:firstLineChars="200"/>
        <w:rPr>
          <w:rFonts w:ascii="宋体" w:hAnsi="宋体" w:cs="宋体"/>
          <w:sz w:val="24"/>
          <w:szCs w:val="24"/>
        </w:rPr>
      </w:pPr>
      <w:r>
        <w:rPr>
          <w:rFonts w:hint="eastAsia" w:ascii="宋体" w:hAnsi="宋体" w:cs="宋体"/>
          <w:sz w:val="24"/>
          <w:szCs w:val="24"/>
        </w:rPr>
        <w:t>10、按照本合同规定应该偿付的违约金、赔偿金等，应当在明确责任后</w:t>
      </w:r>
      <w:r>
        <w:rPr>
          <w:rFonts w:hint="eastAsia" w:ascii="宋体" w:hAnsi="宋体" w:cs="宋体"/>
          <w:sz w:val="24"/>
          <w:szCs w:val="24"/>
          <w:u w:val="single"/>
        </w:rPr>
        <w:t xml:space="preserve"> 15 </w:t>
      </w:r>
      <w:r>
        <w:rPr>
          <w:rFonts w:hint="eastAsia" w:ascii="宋体" w:hAnsi="宋体" w:cs="宋体"/>
          <w:sz w:val="24"/>
          <w:szCs w:val="24"/>
        </w:rPr>
        <w:t xml:space="preserve">日内，按银行规定或双方商定的结算办法付清，否则按逾期付款处理。 </w:t>
      </w:r>
    </w:p>
    <w:p w14:paraId="52F51B7A">
      <w:pPr>
        <w:spacing w:line="360" w:lineRule="auto"/>
        <w:rPr>
          <w:rFonts w:ascii="宋体" w:hAnsi="宋体" w:cs="宋体"/>
          <w:b/>
          <w:sz w:val="24"/>
          <w:szCs w:val="24"/>
        </w:rPr>
      </w:pPr>
      <w:r>
        <w:rPr>
          <w:rFonts w:hint="eastAsia" w:ascii="宋体" w:hAnsi="宋体" w:cs="宋体"/>
          <w:b/>
          <w:sz w:val="24"/>
          <w:szCs w:val="24"/>
        </w:rPr>
        <w:t xml:space="preserve">十三、不可抗力条款 </w:t>
      </w:r>
    </w:p>
    <w:p w14:paraId="0FD8A5A4">
      <w:pPr>
        <w:spacing w:line="360" w:lineRule="auto"/>
        <w:ind w:firstLine="480" w:firstLineChars="200"/>
        <w:rPr>
          <w:rFonts w:ascii="宋体" w:hAnsi="宋体" w:cs="宋体"/>
          <w:sz w:val="24"/>
          <w:szCs w:val="24"/>
        </w:rPr>
      </w:pPr>
      <w:r>
        <w:rPr>
          <w:rFonts w:hint="eastAsia" w:ascii="宋体" w:hAnsi="宋体" w:cs="宋体"/>
          <w:sz w:val="24"/>
          <w:szCs w:val="24"/>
        </w:rPr>
        <w:t>因不可抗力致使一方不能及时或完全履行合同的，应及时通知招标代理机构及另一方，双方互不承担责任，并在</w:t>
      </w:r>
      <w:r>
        <w:rPr>
          <w:rFonts w:hint="eastAsia" w:ascii="宋体" w:hAnsi="宋体" w:cs="宋体"/>
          <w:sz w:val="24"/>
          <w:szCs w:val="24"/>
          <w:u w:val="single"/>
        </w:rPr>
        <w:t xml:space="preserve"> 5 </w:t>
      </w:r>
      <w:r>
        <w:rPr>
          <w:rFonts w:hint="eastAsia" w:ascii="宋体" w:hAnsi="宋体" w:cs="宋体"/>
          <w:sz w:val="24"/>
          <w:szCs w:val="24"/>
        </w:rPr>
        <w:t xml:space="preserve">天内提供有关不可抗力的相应证明。合同未履行部分是否继续履行、如何履行等问题，可由双方协商解决。 </w:t>
      </w:r>
    </w:p>
    <w:p w14:paraId="7AB5096D">
      <w:pPr>
        <w:spacing w:line="360" w:lineRule="auto"/>
        <w:rPr>
          <w:rFonts w:ascii="宋体" w:hAnsi="宋体" w:cs="宋体"/>
          <w:b/>
          <w:sz w:val="24"/>
          <w:szCs w:val="24"/>
        </w:rPr>
      </w:pPr>
      <w:r>
        <w:rPr>
          <w:rFonts w:hint="eastAsia" w:ascii="宋体" w:hAnsi="宋体" w:cs="宋体"/>
          <w:b/>
          <w:sz w:val="24"/>
          <w:szCs w:val="24"/>
        </w:rPr>
        <w:t>十四、保密条款</w:t>
      </w:r>
    </w:p>
    <w:p w14:paraId="4459A520">
      <w:pPr>
        <w:pStyle w:val="4"/>
        <w:spacing w:line="360" w:lineRule="auto"/>
        <w:rPr>
          <w:rFonts w:ascii="宋体" w:hAnsi="宋体"/>
          <w:sz w:val="24"/>
          <w:szCs w:val="24"/>
        </w:rPr>
      </w:pPr>
      <w:r>
        <w:rPr>
          <w:rFonts w:hint="eastAsia" w:ascii="宋体" w:hAnsi="宋体"/>
          <w:sz w:val="24"/>
          <w:szCs w:val="24"/>
        </w:rPr>
        <w:t xml:space="preserve">    对于本合同内容，对于因履行本合同所知悉、接触或取得的有关对方的信息、文件及资料（包括商业秘密、财务信息、技术信息、产品信息、人事信息、用户资料及其他标明保密的文件或信息等相关数据），甲乙双方均应履行并应要求己方工作人员履行保密义务，禁止任何与本合同项下服务项目实施无关的人员接触前述保密内容，任何一方未经对方书面同意不得向第三方透露或进行不当使用，否则守约方有权要求违约方依法承担责任。</w:t>
      </w:r>
    </w:p>
    <w:p w14:paraId="0C0FECD4">
      <w:pPr>
        <w:spacing w:line="360" w:lineRule="auto"/>
        <w:rPr>
          <w:rFonts w:ascii="宋体" w:hAnsi="宋体" w:cs="宋体"/>
          <w:b/>
          <w:sz w:val="24"/>
          <w:szCs w:val="24"/>
        </w:rPr>
      </w:pPr>
      <w:r>
        <w:rPr>
          <w:rFonts w:hint="eastAsia" w:ascii="宋体" w:hAnsi="宋体" w:cs="宋体"/>
          <w:b/>
          <w:sz w:val="24"/>
          <w:szCs w:val="24"/>
        </w:rPr>
        <w:t xml:space="preserve">十五、争议的解决方式 </w:t>
      </w:r>
    </w:p>
    <w:p w14:paraId="771A2C04">
      <w:pPr>
        <w:spacing w:line="360" w:lineRule="auto"/>
        <w:ind w:firstLine="480" w:firstLineChars="200"/>
        <w:rPr>
          <w:rFonts w:ascii="宋体" w:hAnsi="宋体" w:cs="宋体"/>
          <w:sz w:val="24"/>
          <w:szCs w:val="24"/>
        </w:rPr>
      </w:pPr>
      <w:r>
        <w:rPr>
          <w:rFonts w:hint="eastAsia" w:ascii="宋体" w:hAnsi="宋体" w:cs="宋体"/>
          <w:sz w:val="24"/>
          <w:szCs w:val="24"/>
        </w:rPr>
        <w:t>合同发生纠纷时，双方应协商解决，协商不成可以向</w:t>
      </w:r>
      <w:r>
        <w:rPr>
          <w:rFonts w:hint="eastAsia" w:ascii="宋体" w:hAnsi="宋体" w:cs="宋体"/>
          <w:sz w:val="24"/>
          <w:szCs w:val="24"/>
          <w:u w:val="single"/>
        </w:rPr>
        <w:t>甲方</w:t>
      </w:r>
      <w:r>
        <w:rPr>
          <w:rFonts w:hint="eastAsia" w:ascii="宋体" w:hAnsi="宋体" w:cs="宋体"/>
          <w:sz w:val="24"/>
          <w:szCs w:val="24"/>
        </w:rPr>
        <w:t>所在地人民法院提起诉讼。</w:t>
      </w:r>
    </w:p>
    <w:p w14:paraId="3F4B7D1B">
      <w:pPr>
        <w:spacing w:line="360" w:lineRule="auto"/>
        <w:rPr>
          <w:rFonts w:ascii="宋体" w:hAnsi="宋体" w:cs="宋体"/>
          <w:b/>
          <w:sz w:val="24"/>
          <w:szCs w:val="24"/>
        </w:rPr>
      </w:pPr>
      <w:r>
        <w:rPr>
          <w:rFonts w:hint="eastAsia" w:ascii="宋体" w:hAnsi="宋体" w:cs="宋体"/>
          <w:b/>
          <w:sz w:val="24"/>
          <w:szCs w:val="24"/>
        </w:rPr>
        <w:t xml:space="preserve">十六、补充协议 </w:t>
      </w:r>
    </w:p>
    <w:p w14:paraId="3510362D">
      <w:pPr>
        <w:spacing w:line="360" w:lineRule="auto"/>
        <w:ind w:firstLine="480" w:firstLineChars="200"/>
        <w:rPr>
          <w:rFonts w:ascii="宋体" w:hAnsi="宋体" w:cs="宋体"/>
          <w:sz w:val="24"/>
          <w:szCs w:val="24"/>
        </w:rPr>
      </w:pPr>
      <w:r>
        <w:rPr>
          <w:rFonts w:hint="eastAsia" w:ascii="宋体" w:hAnsi="宋体" w:cs="宋体"/>
          <w:sz w:val="24"/>
          <w:szCs w:val="24"/>
        </w:rPr>
        <w:t>合同未尽事宜，经双方协商可签订补充协议，所签订的补充协议与本合同具有同等的法律效力，补充协议的生效应符合本合同的有关规定。合同补充条款应同时报同级财政部门备案。</w:t>
      </w:r>
    </w:p>
    <w:p w14:paraId="1EF360A1">
      <w:pPr>
        <w:spacing w:line="360" w:lineRule="auto"/>
        <w:rPr>
          <w:rFonts w:ascii="宋体" w:hAnsi="宋体" w:cs="宋体"/>
          <w:sz w:val="24"/>
          <w:szCs w:val="24"/>
        </w:rPr>
      </w:pPr>
      <w:r>
        <w:rPr>
          <w:rFonts w:ascii="宋体" w:hAnsi="宋体"/>
          <w:b/>
          <w:sz w:val="24"/>
          <w:szCs w:val="24"/>
        </w:rPr>
        <w:t>十</w:t>
      </w:r>
      <w:r>
        <w:rPr>
          <w:rFonts w:hint="eastAsia" w:ascii="宋体" w:hAnsi="宋体"/>
          <w:b/>
          <w:sz w:val="24"/>
          <w:szCs w:val="24"/>
        </w:rPr>
        <w:t>七</w:t>
      </w:r>
      <w:r>
        <w:rPr>
          <w:rFonts w:ascii="宋体" w:hAnsi="宋体"/>
          <w:b/>
          <w:sz w:val="24"/>
          <w:szCs w:val="24"/>
        </w:rPr>
        <w:t>、</w:t>
      </w:r>
      <w:r>
        <w:rPr>
          <w:rFonts w:ascii="宋体" w:hAnsi="宋体" w:cs="宋体"/>
          <w:b/>
          <w:sz w:val="24"/>
          <w:szCs w:val="24"/>
        </w:rPr>
        <w:t>合同保存</w:t>
      </w:r>
    </w:p>
    <w:p w14:paraId="095DD1B2">
      <w:pPr>
        <w:pStyle w:val="2"/>
        <w:tabs>
          <w:tab w:val="left" w:pos="9062"/>
        </w:tabs>
        <w:spacing w:line="360" w:lineRule="auto"/>
        <w:ind w:left="125" w:right="102" w:firstLine="480" w:firstLineChars="200"/>
        <w:jc w:val="both"/>
        <w:rPr>
          <w:rFonts w:ascii="宋体" w:hAnsi="宋体"/>
          <w:sz w:val="24"/>
          <w:szCs w:val="24"/>
        </w:rPr>
      </w:pPr>
      <w:r>
        <w:rPr>
          <w:rFonts w:ascii="宋体" w:hAnsi="宋体"/>
          <w:sz w:val="24"/>
          <w:szCs w:val="24"/>
        </w:rPr>
        <w:t>本合同一式</w:t>
      </w:r>
      <w:r>
        <w:rPr>
          <w:rFonts w:hint="eastAsia" w:ascii="宋体" w:hAnsi="宋体"/>
          <w:sz w:val="24"/>
          <w:szCs w:val="24"/>
          <w:u w:val="single"/>
        </w:rPr>
        <w:t xml:space="preserve"> 陆 </w:t>
      </w:r>
      <w:r>
        <w:rPr>
          <w:rFonts w:ascii="宋体" w:hAnsi="宋体"/>
          <w:sz w:val="24"/>
          <w:szCs w:val="24"/>
        </w:rPr>
        <w:t>份，甲方</w:t>
      </w:r>
      <w:r>
        <w:rPr>
          <w:rFonts w:hint="eastAsia" w:ascii="宋体" w:hAnsi="宋体"/>
          <w:sz w:val="24"/>
          <w:szCs w:val="24"/>
          <w:u w:val="single"/>
        </w:rPr>
        <w:t xml:space="preserve"> 肆 </w:t>
      </w:r>
      <w:r>
        <w:rPr>
          <w:rFonts w:ascii="宋体" w:hAnsi="宋体"/>
          <w:sz w:val="24"/>
          <w:szCs w:val="24"/>
        </w:rPr>
        <w:t>份，乙方</w:t>
      </w:r>
      <w:r>
        <w:rPr>
          <w:rFonts w:hint="eastAsia" w:ascii="宋体" w:hAnsi="宋体"/>
          <w:sz w:val="24"/>
          <w:szCs w:val="24"/>
          <w:u w:val="single"/>
        </w:rPr>
        <w:t xml:space="preserve"> 贰 </w:t>
      </w:r>
      <w:r>
        <w:rPr>
          <w:rFonts w:ascii="宋体" w:hAnsi="宋体"/>
          <w:sz w:val="24"/>
          <w:szCs w:val="24"/>
        </w:rPr>
        <w:t>份。</w:t>
      </w:r>
    </w:p>
    <w:tbl>
      <w:tblPr>
        <w:tblStyle w:val="5"/>
        <w:tblW w:w="8774" w:type="dxa"/>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00"/>
        <w:gridCol w:w="4574"/>
      </w:tblGrid>
      <w:tr w14:paraId="13755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noWrap w:val="0"/>
            <w:vAlign w:val="top"/>
          </w:tcPr>
          <w:p w14:paraId="1C9DA617">
            <w:pPr>
              <w:pStyle w:val="2"/>
              <w:tabs>
                <w:tab w:val="left" w:pos="9062"/>
              </w:tabs>
              <w:spacing w:line="360" w:lineRule="auto"/>
              <w:ind w:right="100"/>
              <w:jc w:val="both"/>
              <w:rPr>
                <w:rFonts w:ascii="宋体" w:hAnsi="宋体"/>
                <w:sz w:val="24"/>
                <w:szCs w:val="24"/>
              </w:rPr>
            </w:pPr>
            <w:r>
              <w:rPr>
                <w:rFonts w:ascii="宋体" w:hAnsi="宋体"/>
                <w:sz w:val="24"/>
                <w:szCs w:val="24"/>
              </w:rPr>
              <w:t>甲方：</w:t>
            </w:r>
          </w:p>
        </w:tc>
        <w:tc>
          <w:tcPr>
            <w:tcW w:w="4574" w:type="dxa"/>
            <w:noWrap w:val="0"/>
            <w:vAlign w:val="top"/>
          </w:tcPr>
          <w:p w14:paraId="6AD8C5C5">
            <w:pPr>
              <w:pStyle w:val="2"/>
              <w:tabs>
                <w:tab w:val="left" w:pos="9062"/>
              </w:tabs>
              <w:spacing w:line="360" w:lineRule="auto"/>
              <w:ind w:right="100"/>
              <w:jc w:val="both"/>
              <w:rPr>
                <w:rFonts w:ascii="宋体" w:hAnsi="宋体"/>
                <w:sz w:val="24"/>
                <w:szCs w:val="24"/>
              </w:rPr>
            </w:pPr>
            <w:r>
              <w:rPr>
                <w:rFonts w:ascii="宋体" w:hAnsi="宋体"/>
                <w:sz w:val="24"/>
                <w:szCs w:val="24"/>
              </w:rPr>
              <w:t xml:space="preserve">乙方： </w:t>
            </w:r>
          </w:p>
        </w:tc>
      </w:tr>
      <w:tr w14:paraId="38ABE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noWrap w:val="0"/>
            <w:vAlign w:val="top"/>
          </w:tcPr>
          <w:p w14:paraId="22B40653">
            <w:pPr>
              <w:pStyle w:val="2"/>
              <w:tabs>
                <w:tab w:val="left" w:pos="9062"/>
              </w:tabs>
              <w:spacing w:line="360" w:lineRule="auto"/>
              <w:ind w:right="100"/>
              <w:jc w:val="both"/>
              <w:rPr>
                <w:rFonts w:ascii="宋体" w:hAnsi="宋体"/>
                <w:sz w:val="24"/>
                <w:szCs w:val="24"/>
              </w:rPr>
            </w:pPr>
            <w:r>
              <w:rPr>
                <w:rFonts w:ascii="宋体" w:hAnsi="宋体"/>
                <w:sz w:val="24"/>
                <w:szCs w:val="24"/>
              </w:rPr>
              <w:t>名称(公章)</w:t>
            </w:r>
            <w:r>
              <w:rPr>
                <w:rFonts w:hint="eastAsia" w:ascii="宋体" w:hAnsi="宋体"/>
                <w:sz w:val="24"/>
                <w:szCs w:val="24"/>
              </w:rPr>
              <w:t>:</w:t>
            </w:r>
            <w:r>
              <w:rPr>
                <w:rFonts w:ascii="宋体" w:hAnsi="宋体" w:cs="宋体"/>
                <w:sz w:val="24"/>
                <w:szCs w:val="24"/>
              </w:rPr>
              <w:t xml:space="preserve"> 西安市公安局</w:t>
            </w:r>
          </w:p>
        </w:tc>
        <w:tc>
          <w:tcPr>
            <w:tcW w:w="4574" w:type="dxa"/>
            <w:noWrap w:val="0"/>
            <w:vAlign w:val="top"/>
          </w:tcPr>
          <w:p w14:paraId="7C70B3C8">
            <w:pPr>
              <w:pStyle w:val="2"/>
              <w:tabs>
                <w:tab w:val="left" w:pos="9062"/>
              </w:tabs>
              <w:spacing w:line="360" w:lineRule="auto"/>
              <w:ind w:right="100"/>
              <w:jc w:val="both"/>
              <w:rPr>
                <w:rFonts w:ascii="宋体" w:hAnsi="宋体"/>
                <w:sz w:val="24"/>
                <w:szCs w:val="24"/>
              </w:rPr>
            </w:pPr>
            <w:r>
              <w:rPr>
                <w:rFonts w:ascii="宋体" w:hAnsi="宋体"/>
                <w:sz w:val="24"/>
                <w:szCs w:val="24"/>
              </w:rPr>
              <w:t>名称(公章)</w:t>
            </w:r>
            <w:r>
              <w:rPr>
                <w:rFonts w:hint="eastAsia" w:ascii="宋体" w:hAnsi="宋体"/>
                <w:sz w:val="24"/>
                <w:szCs w:val="24"/>
              </w:rPr>
              <w:t xml:space="preserve">: </w:t>
            </w:r>
          </w:p>
        </w:tc>
      </w:tr>
      <w:tr w14:paraId="72CC0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noWrap w:val="0"/>
            <w:vAlign w:val="top"/>
          </w:tcPr>
          <w:p w14:paraId="3DE225CD">
            <w:pPr>
              <w:pStyle w:val="2"/>
              <w:tabs>
                <w:tab w:val="left" w:pos="9062"/>
              </w:tabs>
              <w:spacing w:line="360" w:lineRule="auto"/>
              <w:ind w:right="100"/>
              <w:jc w:val="both"/>
              <w:rPr>
                <w:rFonts w:ascii="宋体" w:hAnsi="宋体"/>
                <w:sz w:val="24"/>
                <w:szCs w:val="24"/>
              </w:rPr>
            </w:pPr>
            <w:r>
              <w:rPr>
                <w:rFonts w:ascii="宋体" w:hAnsi="宋体"/>
                <w:sz w:val="24"/>
                <w:szCs w:val="24"/>
              </w:rPr>
              <w:t>法定代表人或其授权代表（签字）：</w:t>
            </w:r>
          </w:p>
        </w:tc>
        <w:tc>
          <w:tcPr>
            <w:tcW w:w="4574" w:type="dxa"/>
            <w:noWrap w:val="0"/>
            <w:vAlign w:val="top"/>
          </w:tcPr>
          <w:p w14:paraId="0CBBB2AF">
            <w:pPr>
              <w:pStyle w:val="2"/>
              <w:tabs>
                <w:tab w:val="left" w:pos="9062"/>
              </w:tabs>
              <w:spacing w:line="360" w:lineRule="auto"/>
              <w:ind w:right="100"/>
              <w:jc w:val="both"/>
              <w:rPr>
                <w:rFonts w:ascii="宋体" w:hAnsi="宋体"/>
                <w:sz w:val="24"/>
                <w:szCs w:val="24"/>
              </w:rPr>
            </w:pPr>
            <w:r>
              <w:rPr>
                <w:rFonts w:ascii="宋体" w:hAnsi="宋体"/>
                <w:sz w:val="24"/>
                <w:szCs w:val="24"/>
              </w:rPr>
              <w:t>法定代表人或其授权代表（签字）：</w:t>
            </w:r>
          </w:p>
          <w:p w14:paraId="5BA3A199">
            <w:pPr>
              <w:pStyle w:val="2"/>
              <w:tabs>
                <w:tab w:val="left" w:pos="9062"/>
              </w:tabs>
              <w:spacing w:line="360" w:lineRule="auto"/>
              <w:ind w:right="100"/>
              <w:jc w:val="both"/>
              <w:rPr>
                <w:rFonts w:ascii="宋体" w:hAnsi="宋体"/>
                <w:sz w:val="24"/>
                <w:szCs w:val="24"/>
              </w:rPr>
            </w:pPr>
          </w:p>
        </w:tc>
      </w:tr>
      <w:tr w14:paraId="78ACD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noWrap w:val="0"/>
            <w:vAlign w:val="top"/>
          </w:tcPr>
          <w:p w14:paraId="10F9B84F">
            <w:pPr>
              <w:pStyle w:val="2"/>
              <w:tabs>
                <w:tab w:val="left" w:pos="9062"/>
              </w:tabs>
              <w:spacing w:line="360" w:lineRule="auto"/>
              <w:ind w:right="100"/>
              <w:jc w:val="both"/>
              <w:rPr>
                <w:rFonts w:ascii="宋体" w:hAnsi="宋体"/>
                <w:sz w:val="24"/>
                <w:szCs w:val="24"/>
              </w:rPr>
            </w:pPr>
            <w:r>
              <w:rPr>
                <w:rFonts w:ascii="宋体" w:hAnsi="宋体"/>
                <w:sz w:val="24"/>
                <w:szCs w:val="24"/>
              </w:rPr>
              <w:t>开户银行：</w:t>
            </w:r>
          </w:p>
        </w:tc>
        <w:tc>
          <w:tcPr>
            <w:tcW w:w="4574" w:type="dxa"/>
            <w:noWrap w:val="0"/>
            <w:vAlign w:val="top"/>
          </w:tcPr>
          <w:p w14:paraId="5F39187D">
            <w:pPr>
              <w:pStyle w:val="2"/>
              <w:tabs>
                <w:tab w:val="left" w:pos="9062"/>
              </w:tabs>
              <w:spacing w:line="360" w:lineRule="auto"/>
              <w:ind w:right="100"/>
              <w:jc w:val="both"/>
              <w:rPr>
                <w:rFonts w:ascii="宋体" w:hAnsi="宋体"/>
                <w:sz w:val="24"/>
                <w:szCs w:val="24"/>
              </w:rPr>
            </w:pPr>
            <w:r>
              <w:rPr>
                <w:rFonts w:ascii="宋体" w:hAnsi="宋体"/>
                <w:sz w:val="24"/>
                <w:szCs w:val="24"/>
              </w:rPr>
              <w:t>开户银行：</w:t>
            </w:r>
          </w:p>
        </w:tc>
      </w:tr>
      <w:tr w14:paraId="3EB1D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noWrap w:val="0"/>
            <w:vAlign w:val="top"/>
          </w:tcPr>
          <w:p w14:paraId="649852CB">
            <w:pPr>
              <w:pStyle w:val="2"/>
              <w:tabs>
                <w:tab w:val="left" w:pos="9062"/>
              </w:tabs>
              <w:spacing w:line="360" w:lineRule="auto"/>
              <w:ind w:right="100"/>
              <w:jc w:val="both"/>
              <w:rPr>
                <w:rFonts w:ascii="宋体" w:hAnsi="宋体"/>
                <w:sz w:val="24"/>
                <w:szCs w:val="24"/>
              </w:rPr>
            </w:pPr>
            <w:r>
              <w:rPr>
                <w:rFonts w:ascii="宋体" w:hAnsi="宋体"/>
                <w:sz w:val="24"/>
                <w:szCs w:val="24"/>
              </w:rPr>
              <w:t>账号：</w:t>
            </w:r>
          </w:p>
        </w:tc>
        <w:tc>
          <w:tcPr>
            <w:tcW w:w="4574" w:type="dxa"/>
            <w:noWrap w:val="0"/>
            <w:vAlign w:val="top"/>
          </w:tcPr>
          <w:p w14:paraId="32FC2D46">
            <w:pPr>
              <w:pStyle w:val="2"/>
              <w:tabs>
                <w:tab w:val="left" w:pos="9062"/>
              </w:tabs>
              <w:spacing w:line="360" w:lineRule="auto"/>
              <w:ind w:right="100"/>
              <w:jc w:val="both"/>
              <w:rPr>
                <w:rFonts w:ascii="宋体" w:hAnsi="宋体"/>
                <w:sz w:val="24"/>
                <w:szCs w:val="24"/>
              </w:rPr>
            </w:pPr>
            <w:r>
              <w:rPr>
                <w:rFonts w:ascii="宋体" w:hAnsi="宋体"/>
                <w:sz w:val="24"/>
                <w:szCs w:val="24"/>
              </w:rPr>
              <w:t>账号：</w:t>
            </w:r>
          </w:p>
        </w:tc>
      </w:tr>
      <w:tr w14:paraId="393DD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noWrap w:val="0"/>
            <w:vAlign w:val="top"/>
          </w:tcPr>
          <w:p w14:paraId="31689B2E">
            <w:pPr>
              <w:pStyle w:val="2"/>
              <w:tabs>
                <w:tab w:val="left" w:pos="9062"/>
              </w:tabs>
              <w:spacing w:line="360" w:lineRule="auto"/>
              <w:ind w:right="100"/>
              <w:jc w:val="both"/>
              <w:rPr>
                <w:rFonts w:ascii="宋体" w:hAnsi="宋体"/>
                <w:sz w:val="24"/>
                <w:szCs w:val="24"/>
              </w:rPr>
            </w:pPr>
            <w:r>
              <w:rPr>
                <w:rFonts w:ascii="宋体" w:hAnsi="宋体"/>
                <w:sz w:val="24"/>
                <w:szCs w:val="24"/>
              </w:rPr>
              <w:t>联系电话：</w:t>
            </w:r>
          </w:p>
        </w:tc>
        <w:tc>
          <w:tcPr>
            <w:tcW w:w="4574" w:type="dxa"/>
            <w:noWrap w:val="0"/>
            <w:vAlign w:val="top"/>
          </w:tcPr>
          <w:p w14:paraId="7D9AB4D5">
            <w:pPr>
              <w:pStyle w:val="2"/>
              <w:tabs>
                <w:tab w:val="left" w:pos="9062"/>
              </w:tabs>
              <w:spacing w:line="360" w:lineRule="auto"/>
              <w:ind w:right="100"/>
              <w:jc w:val="both"/>
              <w:rPr>
                <w:rFonts w:ascii="宋体" w:hAnsi="宋体"/>
                <w:sz w:val="24"/>
                <w:szCs w:val="24"/>
              </w:rPr>
            </w:pPr>
            <w:r>
              <w:rPr>
                <w:rFonts w:ascii="宋体" w:hAnsi="宋体"/>
                <w:sz w:val="24"/>
                <w:szCs w:val="24"/>
              </w:rPr>
              <w:t>联系电话：</w:t>
            </w:r>
          </w:p>
        </w:tc>
      </w:tr>
      <w:tr w14:paraId="05DB8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noWrap w:val="0"/>
            <w:vAlign w:val="top"/>
          </w:tcPr>
          <w:p w14:paraId="595BEAE6">
            <w:pPr>
              <w:pStyle w:val="2"/>
              <w:tabs>
                <w:tab w:val="left" w:pos="9062"/>
              </w:tabs>
              <w:spacing w:line="360" w:lineRule="auto"/>
              <w:ind w:right="100"/>
              <w:jc w:val="both"/>
              <w:rPr>
                <w:rFonts w:ascii="宋体" w:hAnsi="宋体"/>
                <w:sz w:val="24"/>
                <w:szCs w:val="24"/>
              </w:rPr>
            </w:pPr>
            <w:r>
              <w:rPr>
                <w:rFonts w:hint="eastAsia" w:ascii="宋体" w:hAnsi="宋体"/>
                <w:sz w:val="24"/>
                <w:szCs w:val="24"/>
              </w:rPr>
              <w:t>签订日期</w:t>
            </w:r>
            <w:r>
              <w:rPr>
                <w:rFonts w:ascii="宋体" w:hAnsi="宋体"/>
                <w:sz w:val="24"/>
                <w:szCs w:val="24"/>
              </w:rPr>
              <w:t>：</w:t>
            </w:r>
          </w:p>
        </w:tc>
        <w:tc>
          <w:tcPr>
            <w:tcW w:w="4574" w:type="dxa"/>
            <w:noWrap w:val="0"/>
            <w:vAlign w:val="top"/>
          </w:tcPr>
          <w:p w14:paraId="3620E2B0">
            <w:pPr>
              <w:pStyle w:val="2"/>
              <w:tabs>
                <w:tab w:val="left" w:pos="9062"/>
              </w:tabs>
              <w:spacing w:line="360" w:lineRule="auto"/>
              <w:ind w:right="100"/>
              <w:jc w:val="both"/>
              <w:rPr>
                <w:rFonts w:ascii="宋体" w:hAnsi="宋体"/>
                <w:sz w:val="24"/>
                <w:szCs w:val="24"/>
              </w:rPr>
            </w:pPr>
            <w:r>
              <w:rPr>
                <w:rFonts w:hint="eastAsia" w:ascii="宋体" w:hAnsi="宋体"/>
                <w:sz w:val="24"/>
                <w:szCs w:val="24"/>
              </w:rPr>
              <w:t>签订日期</w:t>
            </w:r>
            <w:r>
              <w:rPr>
                <w:rFonts w:ascii="宋体" w:hAnsi="宋体"/>
                <w:sz w:val="24"/>
                <w:szCs w:val="24"/>
              </w:rPr>
              <w:t>：</w:t>
            </w:r>
          </w:p>
        </w:tc>
      </w:tr>
    </w:tbl>
    <w:p w14:paraId="38BFBC41">
      <w:pPr>
        <w:pStyle w:val="7"/>
        <w:rPr>
          <w:rFonts w:hint="eastAsia"/>
          <w:lang w:val="en-US" w:eastAsia="zh-Hans"/>
        </w:rPr>
      </w:pPr>
      <w:r>
        <w:rPr>
          <w:rFonts w:ascii="仿宋_GB2312" w:hAnsi="仿宋_GB2312" w:eastAsia="仿宋_GB2312" w:cs="仿宋_GB2312"/>
        </w:rPr>
        <w:t xml:space="preserve"> </w:t>
      </w:r>
      <w:r>
        <w:rPr>
          <w:rFonts w:ascii="仿宋_GB2312" w:hAnsi="仿宋_GB2312" w:eastAsia="仿宋_GB2312" w:cs="仿宋_GB2312"/>
        </w:rPr>
        <w:br w:type="textWrapping"/>
      </w:r>
    </w:p>
    <w:p w14:paraId="0D9EBD4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F71DAF"/>
    <w:rsid w:val="1B181D19"/>
    <w:rsid w:val="3BEC0EE5"/>
    <w:rsid w:val="42306E60"/>
    <w:rsid w:val="529F1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spacing w:before="135"/>
      <w:ind w:left="490"/>
    </w:pPr>
    <w:rPr>
      <w:rFonts w:ascii="宋体" w:hAnsi="宋体" w:eastAsia="宋体"/>
      <w:sz w:val="19"/>
      <w:szCs w:val="19"/>
    </w:rPr>
  </w:style>
  <w:style w:type="paragraph" w:styleId="3">
    <w:name w:val="toc 1"/>
    <w:basedOn w:val="1"/>
    <w:next w:val="1"/>
    <w:qFormat/>
    <w:uiPriority w:val="39"/>
    <w:pPr>
      <w:widowControl/>
      <w:jc w:val="left"/>
    </w:pPr>
    <w:rPr>
      <w:b/>
      <w:kern w:val="0"/>
      <w:sz w:val="30"/>
    </w:rPr>
  </w:style>
  <w:style w:type="paragraph" w:styleId="4">
    <w:name w:val="Body Text 2"/>
    <w:basedOn w:val="1"/>
    <w:qFormat/>
    <w:uiPriority w:val="0"/>
    <w:rPr>
      <w:sz w:val="3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2122</Words>
  <Characters>2154</Characters>
  <Lines>0</Lines>
  <Paragraphs>0</Paragraphs>
  <TotalTime>0</TotalTime>
  <ScaleCrop>false</ScaleCrop>
  <LinksUpToDate>false</LinksUpToDate>
  <CharactersWithSpaces>2199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2025-08-26T11:55:00Z</dcterms:created>
  <dc:creator>Administrator</dc:creator>
  <cp:lastModifiedBy>大十三哥</cp:lastModifiedBy>
  <dcterms:modified xsi:type="dcterms:W3CDTF">2025-09-01T01:36:22Z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eyJoZGlkIjoiNWFmYmQxMTQ4MjhmNDU4Yzg2YWNmNDc0ZjIxMWUxYTkiLCJ1c2VySWQiOiIzMDYwNzg5NjUifQ==</vt:lpwstr>
  </property>
  <property fmtid="{D5CDD505-2E9C-101B-9397-08002B2CF9AE}" pid="4" name="ICV">
    <vt:lpwstr>3BB72DCF48894FE691D45D58BE0560B5_12</vt:lpwstr>
  </property>
</Properties>
</file>