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版本号：0617-2512FZ235120250829002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新高考、新教材、新课程教师体系建设项目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0617-2512FZ2351</w:t>
      </w:r>
      <w:r>
        <w:br/>
      </w:r>
      <w:r>
        <w:br/>
      </w:r>
      <w:r>
        <w:br/>
      </w:r>
    </w:p>
    <w:p>
      <w:pPr>
        <w:pStyle w:val="null3"/>
        <w:jc w:val="center"/>
        <w:outlineLvl w:val="2"/>
      </w:pPr>
      <w:r>
        <w:rPr>
          <w:rFonts w:ascii="仿宋_GB2312" w:hAnsi="仿宋_GB2312" w:cs="仿宋_GB2312" w:eastAsia="仿宋_GB2312"/>
          <w:sz w:val="28"/>
          <w:b/>
        </w:rPr>
        <w:t>西安市创新港中学（创新港西安交通大学附属中学）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委托，拟对</w:t>
      </w:r>
      <w:r>
        <w:rPr>
          <w:rFonts w:ascii="仿宋_GB2312" w:hAnsi="仿宋_GB2312" w:cs="仿宋_GB2312" w:eastAsia="仿宋_GB2312"/>
        </w:rPr>
        <w:t>新高考、新教材、新课程教师体系建设项目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0617-2512FZ2351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新高考、新教材、新课程教师体系建设项目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教师培训是教师职业生涯中不可或缺的一环，它对于教师的个人成长、教学质量的提升以及教育创新具有深远意义。通过培训，教师不断更新教育观念，提升专业素养，掌握新的教学技能和方法，从而更好地适应教育改革的需求，促进教育教学工作的创新和发展，助力我校教育教学质量稳步提高。 随着新高考政策的推进和新教材的全面使用，高中教学面临前所未有的挑战和机遇。为了适应这些变化，提升教师的专业素养和教育教学能力成为当务之急。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西安市创新港中学（创新港西安交通大学附属中学）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西咸新区沣西新城南洋环东路创新港中学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西安市创新港中学（创新港西安交通大学附属中学）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88960399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张越、张鑫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采购代理机构参照国家计委关于印发《招标代理服务收费管理暂行办法》的通知（计价格〔2002〕1980号）、《国家发展和改革委员会办公厅关于招标代理服务收费有关问题的通知》（发改办价格〔2003〕857号）规定标准向中标（成交）供应商收取代理服务费。 2.缴费时间：确定中标人后3日内，由中标人向招标代理机构一次付清招标代理服务费。 3.银行信息： 户名：西北（陕西）国际招标有限公司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师培训是教师职业生涯中不可或缺的一环，它对于教师的个人成长、教学质量的提升以及教育创新具有深远意义。通过培训，教师不断更新教育观念，提升专业素养，掌握新的教学技能和方法，从而更好地适应教育改革的需求，促进教育教学工作的创新和发展，助力我校教育教学质量稳步提高。 随着新高考政策的推进和新教材的全面使用，高中教学面临前所未有的挑战和机遇。为了适应这些变化，提升教师的专业素养和教育教学能力成为当务之急。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教学服务一批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标的名称：教学服务一批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教师培训是教师职业生涯中不可或缺的一环，它对于教师的个人成长、教学质量的提升以及教育创新具有深远意义。通过培训，教师不断更新教育观念，提升专业素养，掌握新的教学技能和方法</w:t>
            </w:r>
            <w:r>
              <w:rPr>
                <w:rFonts w:ascii="仿宋_GB2312" w:hAnsi="仿宋_GB2312" w:cs="仿宋_GB2312" w:eastAsia="仿宋_GB2312"/>
                <w:sz w:val="24"/>
              </w:rPr>
              <w:t>，</w:t>
            </w:r>
            <w:r>
              <w:rPr>
                <w:rFonts w:ascii="仿宋_GB2312" w:hAnsi="仿宋_GB2312" w:cs="仿宋_GB2312" w:eastAsia="仿宋_GB2312"/>
                <w:sz w:val="24"/>
              </w:rPr>
              <w:t>从而更好地适应教育改革的需求，</w:t>
            </w:r>
            <w:r>
              <w:rPr>
                <w:rFonts w:ascii="仿宋_GB2312" w:hAnsi="仿宋_GB2312" w:cs="仿宋_GB2312" w:eastAsia="仿宋_GB2312"/>
                <w:sz w:val="24"/>
              </w:rPr>
              <w:t>促进</w:t>
            </w:r>
            <w:r>
              <w:rPr>
                <w:rFonts w:ascii="仿宋_GB2312" w:hAnsi="仿宋_GB2312" w:cs="仿宋_GB2312" w:eastAsia="仿宋_GB2312"/>
                <w:sz w:val="24"/>
              </w:rPr>
              <w:t>教育教学工作的创新和发展</w:t>
            </w:r>
            <w:r>
              <w:rPr>
                <w:rFonts w:ascii="仿宋_GB2312" w:hAnsi="仿宋_GB2312" w:cs="仿宋_GB2312" w:eastAsia="仿宋_GB2312"/>
                <w:sz w:val="24"/>
              </w:rPr>
              <w:t>，</w:t>
            </w:r>
            <w:r>
              <w:rPr>
                <w:rFonts w:ascii="仿宋_GB2312" w:hAnsi="仿宋_GB2312" w:cs="仿宋_GB2312" w:eastAsia="仿宋_GB2312"/>
                <w:sz w:val="24"/>
              </w:rPr>
              <w:t>助力我校教育教学质量稳步提高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随着新高考政策的推进和新教材的全面使用，高中教学面临前所未有的挑战和机遇。为了适应这些变化，提升教师的专业素养和教育教学能力成为当务之急。</w:t>
            </w:r>
          </w:p>
          <w:p>
            <w:pPr>
              <w:pStyle w:val="null3"/>
              <w:jc w:val="both"/>
              <w:outlineLvl w:val="1"/>
            </w:pPr>
            <w:r>
              <w:rPr>
                <w:rFonts w:ascii="仿宋_GB2312" w:hAnsi="仿宋_GB2312" w:cs="仿宋_GB2312" w:eastAsia="仿宋_GB2312"/>
                <w:sz w:val="24"/>
                <w:b/>
              </w:rPr>
              <w:t>二、服务内容及要求</w:t>
            </w:r>
          </w:p>
          <w:p>
            <w:pPr>
              <w:pStyle w:val="null3"/>
              <w:ind w:firstLine="482"/>
            </w:pPr>
            <w:r>
              <w:rPr>
                <w:rFonts w:ascii="仿宋_GB2312" w:hAnsi="仿宋_GB2312" w:cs="仿宋_GB2312" w:eastAsia="仿宋_GB2312"/>
                <w:sz w:val="24"/>
                <w:b/>
              </w:rPr>
              <w:t>（一）培训目标</w:t>
            </w:r>
          </w:p>
          <w:p>
            <w:pPr>
              <w:pStyle w:val="null3"/>
              <w:ind w:firstLine="480"/>
            </w:pPr>
            <w:r>
              <w:rPr>
                <w:rFonts w:ascii="仿宋_GB2312" w:hAnsi="仿宋_GB2312" w:cs="仿宋_GB2312" w:eastAsia="仿宋_GB2312"/>
                <w:sz w:val="24"/>
              </w:rPr>
              <w:t>1.提升教师专业素养</w:t>
            </w:r>
          </w:p>
          <w:p>
            <w:pPr>
              <w:pStyle w:val="null3"/>
              <w:ind w:firstLine="480"/>
            </w:pPr>
            <w:r>
              <w:rPr>
                <w:rFonts w:ascii="仿宋_GB2312" w:hAnsi="仿宋_GB2312" w:cs="仿宋_GB2312" w:eastAsia="仿宋_GB2312"/>
                <w:sz w:val="24"/>
              </w:rPr>
              <w:t>2.促进学校教学质量提升</w:t>
            </w:r>
          </w:p>
          <w:p>
            <w:pPr>
              <w:pStyle w:val="null3"/>
              <w:ind w:firstLine="480"/>
            </w:pPr>
            <w:r>
              <w:rPr>
                <w:rFonts w:ascii="仿宋_GB2312" w:hAnsi="仿宋_GB2312" w:cs="仿宋_GB2312" w:eastAsia="仿宋_GB2312"/>
                <w:sz w:val="24"/>
              </w:rPr>
              <w:t>3．满足学生个性化发展需求</w:t>
            </w:r>
          </w:p>
          <w:p>
            <w:pPr>
              <w:pStyle w:val="null3"/>
              <w:ind w:firstLine="482"/>
              <w:jc w:val="both"/>
            </w:pPr>
            <w:r>
              <w:rPr>
                <w:rFonts w:ascii="仿宋_GB2312" w:hAnsi="仿宋_GB2312" w:cs="仿宋_GB2312" w:eastAsia="仿宋_GB2312"/>
                <w:sz w:val="24"/>
                <w:b/>
              </w:rPr>
              <w:t>（二）培训形式</w:t>
            </w:r>
          </w:p>
          <w:p>
            <w:pPr>
              <w:pStyle w:val="null3"/>
              <w:ind w:firstLine="480"/>
              <w:jc w:val="both"/>
            </w:pPr>
            <w:r>
              <w:rPr>
                <w:rFonts w:ascii="仿宋_GB2312" w:hAnsi="仿宋_GB2312" w:cs="仿宋_GB2312" w:eastAsia="仿宋_GB2312"/>
                <w:sz w:val="24"/>
              </w:rPr>
              <w:t>1.请进来+走出去相结合</w:t>
            </w:r>
          </w:p>
          <w:p>
            <w:pPr>
              <w:pStyle w:val="null3"/>
              <w:ind w:firstLine="480"/>
              <w:jc w:val="both"/>
            </w:pPr>
            <w:r>
              <w:rPr>
                <w:rFonts w:ascii="仿宋_GB2312" w:hAnsi="仿宋_GB2312" w:cs="仿宋_GB2312" w:eastAsia="仿宋_GB2312"/>
                <w:sz w:val="24"/>
              </w:rPr>
              <w:t>2.培训计划：请进来：20场。走出去：100人。</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b/>
              </w:rPr>
              <w:t>商务要求</w:t>
            </w:r>
          </w:p>
          <w:p>
            <w:pPr>
              <w:pStyle w:val="null3"/>
              <w:ind w:firstLine="480"/>
            </w:pPr>
            <w:r>
              <w:rPr>
                <w:rFonts w:ascii="仿宋_GB2312" w:hAnsi="仿宋_GB2312" w:cs="仿宋_GB2312" w:eastAsia="仿宋_GB2312"/>
                <w:sz w:val="24"/>
              </w:rPr>
              <w:t>*1．服务期：</w:t>
            </w:r>
            <w:r>
              <w:rPr>
                <w:rFonts w:ascii="仿宋_GB2312" w:hAnsi="仿宋_GB2312" w:cs="仿宋_GB2312" w:eastAsia="仿宋_GB2312"/>
                <w:sz w:val="24"/>
              </w:rPr>
              <w:t>一年</w:t>
            </w:r>
            <w:r>
              <w:rPr>
                <w:rFonts w:ascii="仿宋_GB2312" w:hAnsi="仿宋_GB2312" w:cs="仿宋_GB2312" w:eastAsia="仿宋_GB2312"/>
                <w:sz w:val="24"/>
              </w:rPr>
              <w:t>（考核不合格可终止合同）。</w:t>
            </w:r>
          </w:p>
          <w:p>
            <w:pPr>
              <w:pStyle w:val="null3"/>
              <w:ind w:firstLine="480"/>
            </w:pPr>
            <w:r>
              <w:rPr>
                <w:rFonts w:ascii="仿宋_GB2312" w:hAnsi="仿宋_GB2312" w:cs="仿宋_GB2312" w:eastAsia="仿宋_GB2312"/>
                <w:sz w:val="24"/>
              </w:rPr>
              <w:t>*2．付款方式：按具体合同条款支付。</w:t>
            </w:r>
          </w:p>
          <w:p>
            <w:pPr>
              <w:pStyle w:val="null3"/>
              <w:ind w:firstLine="480"/>
            </w:pPr>
            <w:r>
              <w:rPr>
                <w:rFonts w:ascii="仿宋_GB2312" w:hAnsi="仿宋_GB2312" w:cs="仿宋_GB2312" w:eastAsia="仿宋_GB2312"/>
                <w:sz w:val="24"/>
              </w:rPr>
              <w:t>*3．违约责任：未达服务标准按合同扣款，重大失误终止合作并追责。</w:t>
            </w:r>
          </w:p>
          <w:p>
            <w:pPr>
              <w:pStyle w:val="null3"/>
              <w:jc w:val="both"/>
            </w:pPr>
            <w:r>
              <w:rPr>
                <w:rFonts w:ascii="仿宋_GB2312" w:hAnsi="仿宋_GB2312" w:cs="仿宋_GB2312" w:eastAsia="仿宋_GB2312"/>
                <w:sz w:val="24"/>
              </w:rPr>
              <w:t>注：本章以“*”号标记的条款为不允许偏离的实质性要求，供应商必须完全响应否则视为无效响应。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一年（考核不合格可终止合同）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西安市创新港中学（创新港西安交通大学附属中学）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打分合格后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提供经审计的2024年度财务报告（包括四表一注，即资产负债表、利润表、现金流量表、所有者权益变动表及其附注），且无反对意见；事业法人提供部门决算报告； /或在磋商日期前六个月内其基本开户银行出具的资信证明（附《基本存款账户信息》或《银行开户许可证》复印件）； /或财政部门认可的政府采购专业担保机构出具的磋商担保函； /或表明具有良好的商业信誉和健全的财务会计制度的诚信声明； 以上四种形式的资料提供任何一种即可。 （三）具有履行合同所必需的设备和专业技术能力。 提供声明文件原件。 （四）具有依法缴纳税收的良好记录。 提供缴费所属日期为磋商截止时间前6个月内任一月份（磋商文件响应文件提交截止时间当月不计入）的增值税（或所得税）缴费凭据或税务机关出具的完税证明/在法规范围内不需提供的应出具书面说明和证明文件； /或具有依法缴纳税收的诚信声明； 以上二种形式的资料提供任何一种即可。 （五）具有依法缴纳社会保障资金的良好记录。 提供缴费所属日期为磋商截止时间前6个月内任一月份（磋商文件响应文件提交截止时间当月不计入）的缴费凭据或社保机关出具的缴费证明/在法规范围内不需提供的应出具书面说明和证明文件； /或具有依法缴纳社会保障资金的缴纳记录的诚信声明； 以上二种形式的资料提供任何一种即可。 （六）参加政府采购活动前3年内在经营活动中没有重大违法记录的书面声明（原件）。 （七）法人代表授权书（原件）及被授权人递交文件截止时间前6个月内任一月份的社保缴纳证明。</w:t>
            </w:r>
          </w:p>
        </w:tc>
        <w:tc>
          <w:tcPr>
            <w:tcW w:type="dxa" w:w="1661"/>
          </w:tcPr>
          <w:p>
            <w:pPr>
              <w:pStyle w:val="null3"/>
            </w:pPr>
            <w:r>
              <w:rPr>
                <w:rFonts w:ascii="仿宋_GB2312" w:hAnsi="仿宋_GB2312" w:cs="仿宋_GB2312" w:eastAsia="仿宋_GB2312"/>
              </w:rPr>
              <w:t>法人代表授权书 供应商应提交的相关资格证明材料 供应商无重大违法记录的书面声明格式 陕西省政府采购供应商拒绝政府采购领域商业贿赂承诺书 响应函 诚信声明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磋商响应文件是否按照磋商文件要求的格式编写；磋商报价内容是否有重大缺漏项。</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磋商报价是否超过采购预算或最高限价；磋商报价有效期是否符合磋商文件的要求；响应文件内容是否符合国家法律法规，没有重大偏离；对磋商文件中规定的要求是否做出了实质性响应。</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针对本项目的服务方案</w:t>
            </w:r>
          </w:p>
        </w:tc>
        <w:tc>
          <w:tcPr>
            <w:tcW w:type="dxa" w:w="2492"/>
          </w:tcPr>
          <w:p>
            <w:pPr>
              <w:pStyle w:val="null3"/>
            </w:pPr>
            <w:r>
              <w:rPr>
                <w:rFonts w:ascii="仿宋_GB2312" w:hAnsi="仿宋_GB2312" w:cs="仿宋_GB2312" w:eastAsia="仿宋_GB2312"/>
              </w:rPr>
              <w:t>包括服务目标、实施方案与考核办法等，方案完整、服务高效、配合度高，质量标准明确。 对整体项目理解透彻，方案内容全面详细，针对性强，符合采购人实际需求的得20分，每一项内容存在一处漏洞或缺陷扣0.5分，最多2分； 对整体项目理解不够详细、简单粗略、描述含糊，方案内容较全面详细，针对性较强，符合采购人实际需求的得18分，每一项内容存在一处漏洞或缺陷扣0.5分，最多2分； 对整体项目理解不够详细、简单粗略、描述含糊，方案内容不够全面有遗漏、有缺失，针对性不强，符合采购人实际需求的得16分，每一项内容存在一处漏洞或缺陷扣0.5分，最多2分； 对整体项目理解不够详细、简单粗略、描述含糊，方案内容不够全面有遗漏、有缺失，针对性不够合理、不贴合项目实际情况，部分符合采购人实际需求的得14分，每一项内容存在一处漏洞或缺陷扣0.5分，最多2分； 对整体项目理解不够详细、简单粗略、描述含糊，方案内容不够全面有遗漏、有缺失，针对性不够合理、不贴合项目实际情况，内容存在逻辑错误、表述存在漏洞的得12分每一项内容存在一处漏洞或缺陷扣0.5分，最多2分； 未提供不得分。 此处缺陷和漏洞是指包括但不限于：①有内容但不够全面，有遗漏、有缺失；②有内容但不够详细，简单粗略，描述含糊；③内容不够合理，不贴合项目实际情况；④内容未针对本项目，明显不符；⑤内容存在逻辑错误，表述存在漏洞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服务管理体系完善、有保障，服务管理制度，服务操作规程齐全。 方案全面具体针对性强，管理责任清晰，服务质量标准明确，具有优秀的可操作性及可行性的得15分，每一项内容存在一处漏洞或缺陷扣0.5分，最多2分； 方案不够全面有遗漏、有缺失，管理责任较清晰，服务质量标准较明确，具有良好的可操作性及可行性的得13分，每一项内容存在一处漏洞或缺陷扣0.5分，最多2分； 方案不够全面有遗漏、有缺失，管理责任不够详细、简单粗略、描述含糊，服务质量标准较明确，具有可操作性及可行性的得11分，每一项内容存在一处漏洞或缺陷扣0.5分，最多2分； 方案不够全面有遗漏、有缺失，管理责任不够详细、简单粗略、描述含糊，服务质量标准不够合理、不贴合项目实际情况，部分具有可操作性及可行性的得9分，每一项内容存在一处漏洞或缺陷扣0.5分，最多2分； 方案不够全面有遗漏、有缺失，管理责任清晰，服务质量标准不够合理、不贴合项目实际情况，可操作性及可行性存在逻辑错误、表述存在漏洞的得7分，每一项内容存在一处漏洞或缺陷扣0.5分，最多2分； 未提供不得分。 此处缺陷和漏洞是指包括但不限于：①有内容但不够全面，有遗漏、有缺失；②有内容但不够详细，简单粗略，描述含糊；③内容不够合理，不贴合项目实际情况；④内容未针对本项目，明显不符；⑤内容存在逻辑错误，表述存在漏洞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对参训教师及工作人员在培训期间的健康和人生安全的保障措施。 保障方案科学有效，能考虑各种在新高考新课程新教材教师队伍体系培训过程中可能出现的安全隐患，并提出解决方案的得14分，每一项内容存在一处漏洞或缺陷扣0.5分，最多2分； 保障方案科学有效，能考虑大多数在新高考新课程新教材教师队伍体系培训过程中可能出现的安全隐患，并提出解决方案的得12分，每一项内容存在一处漏洞或缺陷扣0.5分，最多2分； 保障方案科学有效，未能考虑全部在新高考新课程新教材教师队伍体系培训过程中可能出现的安全隐患，并提出解决方案的得10分，每一项内容存在一处漏洞或缺陷扣0.5分，最多2分； 未提供不得分。 此处缺陷和漏洞是指包括但不限于：①有内容但不够全面，有遗漏、有缺失；②有内容但不够详细，简单粗略，描述含糊；③内容不够合理，不贴合项目实际情况；④内容未针对本项目，明显不符；⑤内容存在逻辑错误，表述存在漏洞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时间安排</w:t>
            </w:r>
          </w:p>
        </w:tc>
        <w:tc>
          <w:tcPr>
            <w:tcW w:type="dxa" w:w="2492"/>
          </w:tcPr>
          <w:p>
            <w:pPr>
              <w:pStyle w:val="null3"/>
            </w:pPr>
            <w:r>
              <w:rPr>
                <w:rFonts w:ascii="仿宋_GB2312" w:hAnsi="仿宋_GB2312" w:cs="仿宋_GB2312" w:eastAsia="仿宋_GB2312"/>
              </w:rPr>
              <w:t>供应商针对本项目所要求的培训计划进行时间安排。 时间安排合理，计划详细的得10分，每一项内容存在一处漏洞或缺陷扣0.5分，最多2分； 时间安排合理，计划粗略的得8分，每一项内容存在一处漏洞或缺陷扣0.5分，最多2分； 时间安排不合理，计划粗略的得6分，每一项内容存在一处漏洞或缺陷扣0.5分，最多2分； 未提供不得分。 此处缺陷和漏洞是指包括但不限于：①有内容但不够全面，有遗漏、有缺失；②有内容但不够详细，简单粗略，描述含糊；③内容不够合理，不贴合项目实际情况；④内容未针对本项目，明显不符；⑤内容存在逻辑错误，表述存在漏洞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w:t>
            </w:r>
          </w:p>
        </w:tc>
        <w:tc>
          <w:tcPr>
            <w:tcW w:type="dxa" w:w="2492"/>
          </w:tcPr>
          <w:p>
            <w:pPr>
              <w:pStyle w:val="null3"/>
            </w:pPr>
            <w:r>
              <w:rPr>
                <w:rFonts w:ascii="仿宋_GB2312" w:hAnsi="仿宋_GB2312" w:cs="仿宋_GB2312" w:eastAsia="仿宋_GB2312"/>
              </w:rPr>
              <w:t>培训是否能达到预期，对相关人员的考核方案。 培训能完全达成学校预期，有对学员、授课专家与项目实施质量进行考核方案的得10分，每一项内容存在一处漏洞或缺陷扣0.5分，最多2分； 培训能基本达成学校预期，有对学员、授课专家与项目实施质量进行考核方案的得8分，每一项内容存在一处漏洞或缺陷扣0.5分，最多2分； 培训能基本达成学校预期，对学员、授课专家与项目实施质量进行考核方案不全的得6分，每一项内容存在一处漏洞或缺陷扣0.5分，最多2分； 未提供不得分。 此处缺陷和漏洞是指包括但不限于：①有内容但不够全面，有遗漏、有缺失；②有内容但不够详细，简单粗略，描述含糊；③内容不够合理，不贴合项目实际情况；④内容未针对本项目，明显不符；⑤内容存在逻辑错误，表述存在漏洞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针对本项目配备的人员，对本项目各项服务的承诺。 提供各项服务承诺，科学、合理的得6分，每一项内容存在一处漏洞或缺陷扣0.5分，最多2分； 提供各项服务承诺，较科学、较合理的得4分，每一项内容存在一处漏洞或缺陷扣0.5分，最多2分； 提供各项服务承诺，一般的得2分，每一项内容存在一处漏洞或缺陷扣0.5分，最多2分； 未提供不得分。 此处缺陷和漏洞是指包括但不限于：①有内容但不够全面，有遗漏、有缺失；②有内容但不够详细，简单粗略，描述含糊；③内容不够合理，不贴合项目实际情况；④内容未针对本项目，明显不符；⑤内容存在逻辑错误，表述存在漏洞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供应商2022年1月1日至今具有类似项目业绩，响应文件中附有其合同证明文件，每提供一个业绩证明计1分，满分5分，不提供计0分。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1.满足采购文件要求且价格最低的报价为评审基准价，其价格分为满分。 2.其他供应商的价格分统一按照（评审基准价/评审价×20）的公式计算价格得分。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详见附件：诚信声明</w:t>
      </w:r>
    </w:p>
    <w:p>
      <w:pPr>
        <w:pStyle w:val="null3"/>
        <w:ind w:firstLine="960"/>
      </w:pPr>
      <w:r>
        <w:rPr>
          <w:rFonts w:ascii="仿宋_GB2312" w:hAnsi="仿宋_GB2312" w:cs="仿宋_GB2312" w:eastAsia="仿宋_GB2312"/>
        </w:rPr>
        <w:t>详见附件：法人代表授权书</w:t>
      </w:r>
    </w:p>
    <w:p>
      <w:pPr>
        <w:pStyle w:val="null3"/>
        <w:ind w:firstLine="960"/>
      </w:pPr>
      <w:r>
        <w:rPr>
          <w:rFonts w:ascii="仿宋_GB2312" w:hAnsi="仿宋_GB2312" w:cs="仿宋_GB2312" w:eastAsia="仿宋_GB2312"/>
        </w:rPr>
        <w:t>详见附件：供应商无重大违法记录的书面声明格式</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