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EA815">
      <w:pPr>
        <w:pStyle w:val="5"/>
        <w:ind w:firstLine="964"/>
        <w:rPr>
          <w:rFonts w:hint="eastAsia" w:ascii="宋体" w:hAnsi="宋体" w:eastAsia="宋体" w:cs="宋体"/>
          <w:b/>
          <w:bCs/>
          <w:sz w:val="48"/>
          <w:szCs w:val="48"/>
          <w:highlight w:val="none"/>
          <w:lang w:val="zh-CN" w:eastAsia="zh-CN"/>
        </w:rPr>
      </w:pPr>
    </w:p>
    <w:p w14:paraId="06464BBB">
      <w:pPr>
        <w:pStyle w:val="5"/>
        <w:ind w:firstLine="964"/>
        <w:rPr>
          <w:rFonts w:hint="eastAsia" w:ascii="宋体" w:hAnsi="宋体" w:eastAsia="宋体" w:cs="宋体"/>
          <w:b/>
          <w:bCs/>
          <w:sz w:val="48"/>
          <w:szCs w:val="48"/>
          <w:highlight w:val="none"/>
          <w:lang w:val="zh-CN" w:eastAsia="zh-CN"/>
        </w:rPr>
      </w:pPr>
    </w:p>
    <w:p w14:paraId="2E0B0AF6">
      <w:pPr>
        <w:pStyle w:val="5"/>
        <w:ind w:left="0" w:leftChars="0" w:firstLine="0" w:firstLineChars="0"/>
        <w:rPr>
          <w:rFonts w:hint="default" w:ascii="宋体" w:hAnsi="宋体" w:eastAsia="宋体" w:cs="宋体"/>
          <w:b/>
          <w:bCs/>
          <w:sz w:val="48"/>
          <w:szCs w:val="48"/>
          <w:highlight w:val="none"/>
          <w:lang w:val="en-US" w:eastAsia="zh-CN"/>
        </w:rPr>
      </w:pPr>
    </w:p>
    <w:p w14:paraId="3A4EF482">
      <w:pPr>
        <w:pStyle w:val="5"/>
        <w:ind w:firstLine="964"/>
        <w:rPr>
          <w:rFonts w:hint="eastAsia" w:ascii="宋体" w:hAnsi="宋体" w:eastAsia="宋体" w:cs="宋体"/>
          <w:b/>
          <w:bCs/>
          <w:sz w:val="48"/>
          <w:szCs w:val="48"/>
          <w:highlight w:val="none"/>
          <w:lang w:val="zh-CN" w:eastAsia="zh-CN"/>
        </w:rPr>
      </w:pPr>
    </w:p>
    <w:p w14:paraId="1444D080">
      <w:pPr>
        <w:pStyle w:val="5"/>
        <w:ind w:firstLine="964"/>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val="zh-CN" w:eastAsia="zh-CN"/>
        </w:rPr>
        <w:t>警察体能综合训练设备采购项目</w:t>
      </w:r>
    </w:p>
    <w:p w14:paraId="210A623B">
      <w:pPr>
        <w:pStyle w:val="5"/>
        <w:ind w:firstLine="964"/>
        <w:rPr>
          <w:rFonts w:hint="eastAsia" w:ascii="宋体" w:hAnsi="宋体" w:eastAsia="宋体" w:cs="宋体"/>
          <w:b/>
          <w:bCs/>
          <w:sz w:val="48"/>
          <w:szCs w:val="48"/>
          <w:highlight w:val="none"/>
          <w:lang w:eastAsia="zh-CN"/>
        </w:rPr>
      </w:pPr>
    </w:p>
    <w:p w14:paraId="77A2F76D">
      <w:pPr>
        <w:pStyle w:val="5"/>
        <w:ind w:firstLine="964"/>
        <w:rPr>
          <w:rFonts w:hint="eastAsia" w:ascii="宋体" w:hAnsi="宋体" w:eastAsia="宋体" w:cs="宋体"/>
          <w:b/>
          <w:bCs/>
          <w:sz w:val="48"/>
          <w:szCs w:val="48"/>
          <w:highlight w:val="none"/>
          <w:lang w:eastAsia="zh-CN"/>
        </w:rPr>
      </w:pPr>
    </w:p>
    <w:p w14:paraId="6D921C32">
      <w:pPr>
        <w:pStyle w:val="5"/>
        <w:ind w:firstLine="964"/>
        <w:rPr>
          <w:rFonts w:hint="eastAsia" w:ascii="宋体" w:hAnsi="宋体" w:eastAsia="宋体" w:cs="宋体"/>
          <w:b/>
          <w:bCs/>
          <w:sz w:val="48"/>
          <w:szCs w:val="48"/>
          <w:highlight w:val="none"/>
          <w:lang w:eastAsia="zh-CN"/>
        </w:rPr>
      </w:pPr>
    </w:p>
    <w:p w14:paraId="3A6E1680">
      <w:pPr>
        <w:pStyle w:val="5"/>
        <w:ind w:firstLine="964"/>
        <w:rPr>
          <w:rFonts w:hint="eastAsia" w:ascii="宋体" w:hAnsi="宋体" w:eastAsia="宋体" w:cs="宋体"/>
          <w:b/>
          <w:bCs/>
          <w:sz w:val="48"/>
          <w:szCs w:val="48"/>
          <w:highlight w:val="none"/>
          <w:lang w:eastAsia="zh-CN"/>
        </w:rPr>
      </w:pPr>
    </w:p>
    <w:p w14:paraId="28452C3C">
      <w:pPr>
        <w:pStyle w:val="5"/>
        <w:ind w:firstLine="964"/>
        <w:rPr>
          <w:rFonts w:hint="eastAsia" w:ascii="宋体" w:hAnsi="宋体" w:eastAsia="宋体" w:cs="宋体"/>
          <w:b/>
          <w:bCs/>
          <w:sz w:val="48"/>
          <w:szCs w:val="48"/>
          <w:highlight w:val="none"/>
          <w:lang w:eastAsia="zh-CN"/>
        </w:rPr>
      </w:pPr>
    </w:p>
    <w:p w14:paraId="63DBE770">
      <w:pPr>
        <w:pStyle w:val="5"/>
        <w:ind w:firstLine="964"/>
        <w:rPr>
          <w:rFonts w:hint="eastAsia" w:ascii="宋体" w:hAnsi="宋体" w:eastAsia="宋体" w:cs="宋体"/>
          <w:b/>
          <w:bCs/>
          <w:sz w:val="48"/>
          <w:szCs w:val="48"/>
          <w:highlight w:val="none"/>
          <w:lang w:eastAsia="zh-CN"/>
        </w:rPr>
      </w:pPr>
    </w:p>
    <w:p w14:paraId="3BBC5652">
      <w:pPr>
        <w:pStyle w:val="5"/>
        <w:ind w:firstLine="964"/>
        <w:rPr>
          <w:rFonts w:hint="eastAsia" w:ascii="宋体" w:hAnsi="宋体" w:eastAsia="宋体" w:cs="宋体"/>
          <w:b/>
          <w:bCs/>
          <w:sz w:val="48"/>
          <w:szCs w:val="48"/>
          <w:highlight w:val="none"/>
          <w:lang w:eastAsia="zh-CN"/>
        </w:rPr>
      </w:pPr>
    </w:p>
    <w:p w14:paraId="12730821">
      <w:pPr>
        <w:pStyle w:val="5"/>
        <w:ind w:firstLine="964"/>
        <w:rPr>
          <w:rFonts w:hint="eastAsia" w:ascii="宋体" w:hAnsi="宋体" w:eastAsia="宋体" w:cs="宋体"/>
          <w:b/>
          <w:bCs/>
          <w:sz w:val="48"/>
          <w:szCs w:val="48"/>
          <w:highlight w:val="none"/>
          <w:lang w:eastAsia="zh-CN"/>
        </w:rPr>
      </w:pPr>
    </w:p>
    <w:p w14:paraId="14F4B492">
      <w:pPr>
        <w:pStyle w:val="5"/>
        <w:ind w:firstLine="964"/>
        <w:rPr>
          <w:rFonts w:hint="eastAsia" w:ascii="宋体" w:hAnsi="宋体" w:eastAsia="宋体" w:cs="宋体"/>
          <w:b/>
          <w:bCs/>
          <w:sz w:val="48"/>
          <w:szCs w:val="48"/>
          <w:highlight w:val="none"/>
          <w:lang w:eastAsia="zh-CN"/>
        </w:rPr>
      </w:pPr>
    </w:p>
    <w:p w14:paraId="010D1167">
      <w:pPr>
        <w:spacing w:line="480" w:lineRule="auto"/>
        <w:ind w:left="1063" w:leftChars="506" w:firstLine="562" w:firstLineChars="200"/>
        <w:rPr>
          <w:rFonts w:hint="eastAsia" w:ascii="宋体" w:hAnsi="宋体" w:eastAsia="宋体" w:cs="宋体"/>
          <w:b/>
          <w:bCs/>
          <w:sz w:val="28"/>
          <w:szCs w:val="22"/>
          <w:highlight w:val="none"/>
          <w:u w:val="single"/>
        </w:rPr>
      </w:pPr>
      <w:r>
        <w:rPr>
          <w:rFonts w:hint="eastAsia" w:ascii="宋体" w:hAnsi="宋体" w:eastAsia="宋体" w:cs="宋体"/>
          <w:b/>
          <w:bCs/>
          <w:sz w:val="28"/>
          <w:szCs w:val="22"/>
          <w:highlight w:val="none"/>
        </w:rPr>
        <w:t>甲方：</w:t>
      </w:r>
      <w:r>
        <w:rPr>
          <w:rFonts w:hint="eastAsia" w:ascii="宋体" w:hAnsi="宋体" w:eastAsia="宋体" w:cs="宋体"/>
          <w:b/>
          <w:bCs/>
          <w:sz w:val="28"/>
          <w:szCs w:val="22"/>
          <w:highlight w:val="none"/>
          <w:u w:val="single"/>
        </w:rPr>
        <w:t xml:space="preserve">                            </w:t>
      </w:r>
    </w:p>
    <w:p w14:paraId="7F92AC3C">
      <w:pPr>
        <w:spacing w:line="480" w:lineRule="auto"/>
        <w:ind w:left="1063" w:leftChars="506" w:firstLine="562" w:firstLineChars="200"/>
        <w:rPr>
          <w:rFonts w:hint="eastAsia" w:ascii="宋体" w:hAnsi="宋体" w:eastAsia="宋体" w:cs="宋体"/>
          <w:b/>
          <w:bCs/>
          <w:sz w:val="28"/>
          <w:highlight w:val="none"/>
        </w:rPr>
      </w:pPr>
      <w:r>
        <w:rPr>
          <w:rFonts w:hint="eastAsia" w:ascii="宋体" w:hAnsi="宋体" w:eastAsia="宋体" w:cs="宋体"/>
          <w:b/>
          <w:bCs/>
          <w:sz w:val="28"/>
          <w:szCs w:val="22"/>
          <w:highlight w:val="none"/>
        </w:rPr>
        <w:t>乙方：</w:t>
      </w:r>
      <w:r>
        <w:rPr>
          <w:rFonts w:hint="eastAsia" w:ascii="宋体" w:hAnsi="宋体" w:eastAsia="宋体" w:cs="宋体"/>
          <w:b/>
          <w:bCs/>
          <w:sz w:val="28"/>
          <w:szCs w:val="22"/>
          <w:highlight w:val="none"/>
          <w:u w:val="single"/>
        </w:rPr>
        <w:t xml:space="preserve">                            </w:t>
      </w:r>
      <w:r>
        <w:rPr>
          <w:rFonts w:hint="eastAsia" w:ascii="宋体" w:hAnsi="宋体" w:eastAsia="宋体" w:cs="宋体"/>
          <w:b/>
          <w:bCs/>
          <w:sz w:val="28"/>
          <w:highlight w:val="none"/>
        </w:rPr>
        <w:t xml:space="preserve">  </w:t>
      </w:r>
    </w:p>
    <w:p w14:paraId="7599EBC7">
      <w:pPr>
        <w:jc w:val="center"/>
        <w:rPr>
          <w:rFonts w:hint="eastAsia" w:ascii="宋体" w:hAnsi="宋体" w:eastAsia="宋体" w:cs="宋体"/>
          <w:b/>
          <w:bCs/>
          <w:sz w:val="28"/>
          <w:highlight w:val="none"/>
        </w:rPr>
      </w:pPr>
    </w:p>
    <w:p w14:paraId="220E632D">
      <w:pPr>
        <w:jc w:val="center"/>
        <w:rPr>
          <w:rFonts w:hint="eastAsia" w:ascii="宋体" w:hAnsi="宋体" w:eastAsia="宋体" w:cs="宋体"/>
          <w:b/>
          <w:bCs/>
          <w:sz w:val="28"/>
          <w:highlight w:val="none"/>
        </w:rPr>
      </w:pPr>
    </w:p>
    <w:p w14:paraId="3C24D961">
      <w:pPr>
        <w:jc w:val="center"/>
        <w:rPr>
          <w:rFonts w:hint="eastAsia" w:ascii="宋体" w:hAnsi="宋体" w:eastAsia="宋体" w:cs="宋体"/>
          <w:b/>
          <w:bCs/>
          <w:sz w:val="28"/>
          <w:highlight w:val="none"/>
        </w:rPr>
      </w:pPr>
    </w:p>
    <w:p w14:paraId="286584FA">
      <w:pPr>
        <w:jc w:val="center"/>
        <w:rPr>
          <w:rFonts w:hint="eastAsia" w:ascii="宋体" w:hAnsi="宋体" w:eastAsia="宋体" w:cs="宋体"/>
          <w:b/>
          <w:bCs/>
          <w:sz w:val="28"/>
          <w:highlight w:val="none"/>
        </w:rPr>
      </w:pPr>
    </w:p>
    <w:p w14:paraId="5483A122">
      <w:pPr>
        <w:jc w:val="center"/>
        <w:rPr>
          <w:rFonts w:hint="eastAsia" w:ascii="宋体" w:hAnsi="宋体" w:eastAsia="宋体" w:cs="宋体"/>
          <w:b/>
          <w:bCs/>
          <w:sz w:val="20"/>
          <w:highlight w:val="none"/>
        </w:rPr>
      </w:pPr>
      <w:r>
        <w:rPr>
          <w:rFonts w:hint="eastAsia" w:ascii="宋体" w:hAnsi="宋体" w:eastAsia="宋体" w:cs="宋体"/>
          <w:b/>
          <w:bCs/>
          <w:sz w:val="28"/>
          <w:highlight w:val="none"/>
        </w:rPr>
        <w:t xml:space="preserve">  二〇二</w:t>
      </w:r>
      <w:r>
        <w:rPr>
          <w:rFonts w:hint="eastAsia" w:ascii="宋体" w:hAnsi="宋体" w:eastAsia="宋体" w:cs="宋体"/>
          <w:b/>
          <w:bCs/>
          <w:sz w:val="28"/>
          <w:highlight w:val="none"/>
          <w:lang w:val="en-US" w:eastAsia="zh-CN"/>
        </w:rPr>
        <w:t>五</w:t>
      </w:r>
      <w:r>
        <w:rPr>
          <w:rFonts w:hint="eastAsia" w:ascii="宋体" w:hAnsi="宋体" w:eastAsia="宋体" w:cs="宋体"/>
          <w:b/>
          <w:bCs/>
          <w:sz w:val="28"/>
          <w:highlight w:val="none"/>
        </w:rPr>
        <w:t>年</w:t>
      </w:r>
      <w:r>
        <w:rPr>
          <w:rFonts w:hint="eastAsia" w:ascii="宋体" w:hAnsi="宋体" w:eastAsia="宋体" w:cs="宋体"/>
          <w:b/>
          <w:bCs/>
          <w:sz w:val="28"/>
          <w:highlight w:val="none"/>
          <w:lang w:val="en-US" w:eastAsia="zh-CN"/>
        </w:rPr>
        <w:t xml:space="preserve">  </w:t>
      </w:r>
      <w:r>
        <w:rPr>
          <w:rFonts w:hint="eastAsia" w:ascii="宋体" w:hAnsi="宋体" w:eastAsia="宋体" w:cs="宋体"/>
          <w:b/>
          <w:bCs/>
          <w:sz w:val="28"/>
          <w:highlight w:val="none"/>
        </w:rPr>
        <w:t>月</w:t>
      </w:r>
    </w:p>
    <w:p w14:paraId="67C76893">
      <w:pPr>
        <w:ind w:firstLine="400" w:firstLineChars="200"/>
        <w:rPr>
          <w:rFonts w:hint="eastAsia" w:ascii="宋体" w:hAnsi="宋体" w:eastAsia="宋体" w:cs="宋体"/>
          <w:sz w:val="20"/>
          <w:highlight w:val="none"/>
        </w:rPr>
        <w:sectPr>
          <w:footerReference r:id="rId3" w:type="default"/>
          <w:pgSz w:w="11906" w:h="16838"/>
          <w:pgMar w:top="1440" w:right="1800" w:bottom="1440" w:left="1800" w:header="851" w:footer="868" w:gutter="0"/>
          <w:pgNumType w:fmt="decimal"/>
          <w:cols w:space="720" w:num="1"/>
          <w:docGrid w:type="lines" w:linePitch="312" w:charSpace="0"/>
        </w:sectPr>
      </w:pPr>
    </w:p>
    <w:p w14:paraId="420DCA52">
      <w:pPr>
        <w:snapToGrid w:val="0"/>
        <w:spacing w:line="360" w:lineRule="auto"/>
        <w:jc w:val="center"/>
        <w:rPr>
          <w:rFonts w:hint="eastAsia" w:ascii="宋体" w:hAnsi="宋体" w:eastAsia="宋体" w:cs="宋体"/>
          <w:b/>
          <w:color w:val="000000"/>
          <w:sz w:val="48"/>
          <w:szCs w:val="48"/>
          <w:highlight w:val="none"/>
        </w:rPr>
      </w:pPr>
      <w:r>
        <w:rPr>
          <w:rFonts w:hint="eastAsia" w:ascii="宋体" w:hAnsi="宋体" w:eastAsia="宋体" w:cs="宋体"/>
          <w:b/>
          <w:color w:val="000000"/>
          <w:sz w:val="48"/>
          <w:szCs w:val="48"/>
          <w:highlight w:val="none"/>
        </w:rPr>
        <w:t>供 货 合 同</w:t>
      </w:r>
    </w:p>
    <w:p w14:paraId="2B74A291">
      <w:pPr>
        <w:snapToGrid w:val="0"/>
        <w:spacing w:line="49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zh-CN"/>
        </w:rPr>
        <w:t>甲方（采购方）：</w:t>
      </w:r>
      <w:r>
        <w:rPr>
          <w:rFonts w:hint="eastAsia" w:ascii="宋体" w:hAnsi="宋体" w:eastAsia="宋体" w:cs="宋体"/>
          <w:color w:val="000000"/>
          <w:sz w:val="21"/>
          <w:szCs w:val="21"/>
          <w:highlight w:val="none"/>
          <w:u w:val="single"/>
          <w:lang w:val="zh-CN"/>
        </w:rPr>
        <w:t>西安市公安局警察训练支队</w:t>
      </w:r>
      <w:r>
        <w:rPr>
          <w:rFonts w:hint="eastAsia" w:ascii="宋体" w:hAnsi="宋体" w:eastAsia="宋体" w:cs="宋体"/>
          <w:color w:val="000000"/>
          <w:sz w:val="21"/>
          <w:szCs w:val="21"/>
          <w:highlight w:val="none"/>
        </w:rPr>
        <w:t xml:space="preserve">           </w:t>
      </w:r>
    </w:p>
    <w:p w14:paraId="15F6C593">
      <w:pPr>
        <w:snapToGrid w:val="0"/>
        <w:spacing w:line="490" w:lineRule="exact"/>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zh-CN"/>
        </w:rPr>
        <w:t>法定代表人:</w:t>
      </w:r>
      <w:r>
        <w:rPr>
          <w:rFonts w:hint="eastAsia" w:ascii="宋体" w:hAnsi="宋体" w:eastAsia="宋体" w:cs="宋体"/>
          <w:color w:val="000000"/>
          <w:sz w:val="21"/>
          <w:szCs w:val="21"/>
          <w:highlight w:val="none"/>
          <w:u w:val="single"/>
          <w:lang w:val="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zh-CN"/>
        </w:rPr>
        <w:t>住所地：</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p>
    <w:p w14:paraId="073378CE">
      <w:pPr>
        <w:snapToGrid w:val="0"/>
        <w:spacing w:line="490" w:lineRule="exact"/>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乙方（供货方）：</w:t>
      </w:r>
      <w:r>
        <w:rPr>
          <w:rFonts w:hint="eastAsia" w:ascii="宋体" w:hAnsi="宋体" w:eastAsia="宋体" w:cs="宋体"/>
          <w:color w:val="000000"/>
          <w:sz w:val="21"/>
          <w:szCs w:val="21"/>
          <w:highlight w:val="none"/>
          <w:u w:val="single"/>
          <w:lang w:val="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39D4B72A">
      <w:pPr>
        <w:snapToGrid w:val="0"/>
        <w:spacing w:line="49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zh-CN"/>
        </w:rPr>
        <w:t>法定代表人:</w:t>
      </w:r>
      <w:r>
        <w:rPr>
          <w:rFonts w:hint="eastAsia" w:ascii="宋体" w:hAnsi="宋体" w:eastAsia="宋体" w:cs="宋体"/>
          <w:color w:val="000000"/>
          <w:sz w:val="21"/>
          <w:szCs w:val="21"/>
          <w:highlight w:val="none"/>
          <w:u w:val="single"/>
          <w:lang w:val="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zh-CN"/>
        </w:rPr>
        <w:t>住所地：</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p>
    <w:p w14:paraId="4D4783E6">
      <w:pPr>
        <w:snapToGrid w:val="0"/>
        <w:spacing w:line="49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none"/>
          <w:lang w:val="zh-CN"/>
        </w:rPr>
        <w:t>西安市公安局警察训练支队</w:t>
      </w:r>
      <w:r>
        <w:rPr>
          <w:rFonts w:hint="eastAsia" w:ascii="宋体" w:hAnsi="宋体" w:eastAsia="宋体" w:cs="宋体"/>
          <w:color w:val="000000"/>
          <w:sz w:val="21"/>
          <w:szCs w:val="21"/>
          <w:highlight w:val="none"/>
          <w:u w:val="single"/>
          <w:lang w:val="zh-CN"/>
        </w:rPr>
        <w:t xml:space="preserve">                </w:t>
      </w:r>
      <w:r>
        <w:rPr>
          <w:rFonts w:hint="eastAsia" w:ascii="宋体" w:hAnsi="宋体" w:eastAsia="宋体" w:cs="宋体"/>
          <w:color w:val="000000"/>
          <w:sz w:val="21"/>
          <w:szCs w:val="21"/>
          <w:highlight w:val="none"/>
          <w:lang w:val="zh-CN"/>
        </w:rPr>
        <w:t>采购项目</w:t>
      </w:r>
      <w:r>
        <w:rPr>
          <w:rFonts w:hint="eastAsia" w:ascii="宋体" w:hAnsi="宋体" w:eastAsia="宋体" w:cs="宋体"/>
          <w:color w:val="000000"/>
          <w:sz w:val="21"/>
          <w:szCs w:val="21"/>
          <w:highlight w:val="none"/>
        </w:rPr>
        <w:t>，由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组织</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招标，选定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公司为中标单位。经</w:t>
      </w:r>
      <w:r>
        <w:rPr>
          <w:rFonts w:hint="eastAsia" w:ascii="宋体" w:hAnsi="宋体" w:eastAsia="宋体" w:cs="宋体"/>
          <w:color w:val="000000"/>
          <w:sz w:val="21"/>
          <w:szCs w:val="21"/>
          <w:highlight w:val="none"/>
          <w:u w:val="none"/>
          <w:lang w:val="zh-CN"/>
        </w:rPr>
        <w:t>西安市公安局警察训练支队</w:t>
      </w:r>
      <w:r>
        <w:rPr>
          <w:rFonts w:hint="eastAsia" w:ascii="宋体" w:hAnsi="宋体" w:eastAsia="宋体" w:cs="宋体"/>
          <w:color w:val="000000"/>
          <w:sz w:val="21"/>
          <w:szCs w:val="21"/>
          <w:highlight w:val="none"/>
        </w:rPr>
        <w:t>（以下简称甲方）与</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公司（以下简称乙方）共同协商，达成如下合同条款。</w:t>
      </w:r>
    </w:p>
    <w:p w14:paraId="7F579AC9">
      <w:pPr>
        <w:snapToGrid w:val="0"/>
        <w:spacing w:line="490" w:lineRule="exact"/>
        <w:ind w:firstLine="422" w:firstLineChars="200"/>
        <w:jc w:val="left"/>
        <w:rPr>
          <w:rFonts w:hint="eastAsia" w:ascii="宋体" w:hAnsi="宋体" w:eastAsia="宋体" w:cs="宋体"/>
          <w:color w:val="000000"/>
          <w:sz w:val="21"/>
          <w:szCs w:val="21"/>
          <w:highlight w:val="none"/>
        </w:rPr>
      </w:pPr>
      <w:r>
        <w:rPr>
          <w:rFonts w:hint="eastAsia" w:ascii="宋体" w:hAnsi="宋体" w:eastAsia="宋体" w:cs="宋体"/>
          <w:b/>
          <w:color w:val="000000"/>
          <w:sz w:val="21"/>
          <w:szCs w:val="21"/>
          <w:highlight w:val="none"/>
        </w:rPr>
        <w:t xml:space="preserve"> 第一条  合同内容（技术指标见附件）</w:t>
      </w:r>
    </w:p>
    <w:p w14:paraId="549BEE3D">
      <w:pPr>
        <w:snapToGrid w:val="0"/>
        <w:spacing w:line="49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7EFFEAD2">
      <w:pPr>
        <w:snapToGrid w:val="0"/>
        <w:spacing w:line="49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（二）招标文件、乙方的投标文件及评标过程中的澄清、承诺内容均作为本合同的组成部分，具有同等法律效力。</w:t>
      </w:r>
    </w:p>
    <w:p w14:paraId="7CBA6331">
      <w:pPr>
        <w:snapToGrid w:val="0"/>
        <w:spacing w:line="490" w:lineRule="exact"/>
        <w:ind w:firstLine="422" w:firstLineChars="200"/>
        <w:rPr>
          <w:rFonts w:hint="eastAsia" w:ascii="宋体" w:hAnsi="宋体" w:eastAsia="宋体" w:cs="宋体"/>
          <w:color w:val="000000"/>
          <w:sz w:val="21"/>
          <w:szCs w:val="21"/>
          <w:highlight w:val="none"/>
        </w:rPr>
      </w:pPr>
      <w:r>
        <w:rPr>
          <w:rFonts w:hint="eastAsia" w:ascii="宋体" w:hAnsi="宋体" w:eastAsia="宋体" w:cs="宋体"/>
          <w:b/>
          <w:color w:val="000000"/>
          <w:sz w:val="21"/>
          <w:szCs w:val="21"/>
          <w:highlight w:val="none"/>
        </w:rPr>
        <w:t>第二条  合同价款</w:t>
      </w:r>
      <w:r>
        <w:rPr>
          <w:rFonts w:hint="eastAsia" w:ascii="宋体" w:hAnsi="宋体" w:eastAsia="宋体" w:cs="宋体"/>
          <w:color w:val="000000"/>
          <w:sz w:val="21"/>
          <w:szCs w:val="21"/>
          <w:highlight w:val="none"/>
        </w:rPr>
        <w:t>(币种：                 单位：万元)</w:t>
      </w:r>
    </w:p>
    <w:p w14:paraId="32251365">
      <w:pPr>
        <w:snapToGrid w:val="0"/>
        <w:spacing w:line="49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（一）中标设备品牌、规格、产地、数量、单价及合同总价：</w:t>
      </w:r>
    </w:p>
    <w:tbl>
      <w:tblPr>
        <w:tblStyle w:val="3"/>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954"/>
        <w:gridCol w:w="934"/>
        <w:gridCol w:w="1237"/>
        <w:gridCol w:w="180"/>
        <w:gridCol w:w="654"/>
        <w:gridCol w:w="537"/>
        <w:gridCol w:w="254"/>
        <w:gridCol w:w="1110"/>
        <w:gridCol w:w="1167"/>
        <w:gridCol w:w="1377"/>
      </w:tblGrid>
      <w:tr w14:paraId="38A8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36" w:type="dxa"/>
            <w:gridSpan w:val="2"/>
            <w:tcBorders>
              <w:top w:val="single" w:color="auto" w:sz="4" w:space="0"/>
              <w:left w:val="single" w:color="auto" w:sz="4" w:space="0"/>
              <w:bottom w:val="single" w:color="auto" w:sz="4" w:space="0"/>
              <w:right w:val="single" w:color="auto" w:sz="4" w:space="0"/>
            </w:tcBorders>
            <w:vAlign w:val="center"/>
          </w:tcPr>
          <w:p w14:paraId="3136DBAD">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设备名称</w:t>
            </w:r>
          </w:p>
        </w:tc>
        <w:tc>
          <w:tcPr>
            <w:tcW w:w="934" w:type="dxa"/>
            <w:tcBorders>
              <w:top w:val="single" w:color="auto" w:sz="4" w:space="0"/>
              <w:left w:val="single" w:color="auto" w:sz="4" w:space="0"/>
              <w:bottom w:val="single" w:color="auto" w:sz="4" w:space="0"/>
              <w:right w:val="single" w:color="auto" w:sz="4" w:space="0"/>
            </w:tcBorders>
            <w:vAlign w:val="center"/>
          </w:tcPr>
          <w:p w14:paraId="6F41A983">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品牌</w:t>
            </w:r>
          </w:p>
        </w:tc>
        <w:tc>
          <w:tcPr>
            <w:tcW w:w="1237" w:type="dxa"/>
            <w:tcBorders>
              <w:top w:val="single" w:color="auto" w:sz="4" w:space="0"/>
              <w:left w:val="single" w:color="auto" w:sz="4" w:space="0"/>
              <w:bottom w:val="single" w:color="auto" w:sz="4" w:space="0"/>
              <w:right w:val="single" w:color="auto" w:sz="4" w:space="0"/>
            </w:tcBorders>
            <w:vAlign w:val="center"/>
          </w:tcPr>
          <w:p w14:paraId="19B358C0">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规格型号</w:t>
            </w:r>
          </w:p>
        </w:tc>
        <w:tc>
          <w:tcPr>
            <w:tcW w:w="834" w:type="dxa"/>
            <w:gridSpan w:val="2"/>
            <w:tcBorders>
              <w:top w:val="single" w:color="auto" w:sz="4" w:space="0"/>
              <w:left w:val="single" w:color="auto" w:sz="4" w:space="0"/>
              <w:bottom w:val="single" w:color="auto" w:sz="4" w:space="0"/>
              <w:right w:val="single" w:color="auto" w:sz="4" w:space="0"/>
            </w:tcBorders>
            <w:vAlign w:val="center"/>
          </w:tcPr>
          <w:p w14:paraId="1B0C0EC8">
            <w:pPr>
              <w:snapToGrid w:val="0"/>
              <w:spacing w:line="40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数量</w:t>
            </w:r>
          </w:p>
        </w:tc>
        <w:tc>
          <w:tcPr>
            <w:tcW w:w="791" w:type="dxa"/>
            <w:gridSpan w:val="2"/>
            <w:tcBorders>
              <w:top w:val="single" w:color="auto" w:sz="4" w:space="0"/>
              <w:left w:val="single" w:color="auto" w:sz="4" w:space="0"/>
              <w:bottom w:val="single" w:color="auto" w:sz="4" w:space="0"/>
              <w:right w:val="single" w:color="auto" w:sz="4" w:space="0"/>
            </w:tcBorders>
            <w:vAlign w:val="center"/>
          </w:tcPr>
          <w:p w14:paraId="47268872">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1110" w:type="dxa"/>
            <w:tcBorders>
              <w:top w:val="single" w:color="auto" w:sz="4" w:space="0"/>
              <w:left w:val="single" w:color="auto" w:sz="4" w:space="0"/>
              <w:bottom w:val="single" w:color="auto" w:sz="4" w:space="0"/>
              <w:right w:val="single" w:color="auto" w:sz="4" w:space="0"/>
            </w:tcBorders>
            <w:vAlign w:val="center"/>
          </w:tcPr>
          <w:p w14:paraId="0BCE80FD">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w:t>
            </w:r>
          </w:p>
        </w:tc>
        <w:tc>
          <w:tcPr>
            <w:tcW w:w="1167" w:type="dxa"/>
            <w:tcBorders>
              <w:top w:val="single" w:color="auto" w:sz="4" w:space="0"/>
              <w:left w:val="single" w:color="auto" w:sz="4" w:space="0"/>
              <w:bottom w:val="single" w:color="auto" w:sz="4" w:space="0"/>
              <w:right w:val="single" w:color="auto" w:sz="4" w:space="0"/>
            </w:tcBorders>
            <w:vAlign w:val="center"/>
          </w:tcPr>
          <w:p w14:paraId="4EB46429">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合计</w:t>
            </w:r>
          </w:p>
        </w:tc>
        <w:tc>
          <w:tcPr>
            <w:tcW w:w="1377" w:type="dxa"/>
            <w:tcBorders>
              <w:top w:val="single" w:color="auto" w:sz="4" w:space="0"/>
              <w:left w:val="single" w:color="auto" w:sz="4" w:space="0"/>
              <w:bottom w:val="single" w:color="auto" w:sz="4" w:space="0"/>
              <w:right w:val="single" w:color="auto" w:sz="4" w:space="0"/>
            </w:tcBorders>
            <w:vAlign w:val="center"/>
          </w:tcPr>
          <w:p w14:paraId="75E60D04">
            <w:pPr>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质保期（月）</w:t>
            </w:r>
          </w:p>
        </w:tc>
      </w:tr>
      <w:tr w14:paraId="0964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736" w:type="dxa"/>
            <w:gridSpan w:val="2"/>
            <w:tcBorders>
              <w:top w:val="single" w:color="auto" w:sz="4" w:space="0"/>
              <w:left w:val="single" w:color="auto" w:sz="4" w:space="0"/>
              <w:bottom w:val="single" w:color="auto" w:sz="4" w:space="0"/>
              <w:right w:val="single" w:color="auto" w:sz="4" w:space="0"/>
            </w:tcBorders>
            <w:vAlign w:val="center"/>
          </w:tcPr>
          <w:p w14:paraId="4BBBE2F8">
            <w:pPr>
              <w:snapToGrid w:val="0"/>
              <w:spacing w:line="400" w:lineRule="exact"/>
              <w:rPr>
                <w:rFonts w:hint="eastAsia" w:ascii="宋体" w:hAnsi="宋体" w:eastAsia="宋体" w:cs="宋体"/>
                <w:color w:val="000000"/>
                <w:sz w:val="21"/>
                <w:szCs w:val="21"/>
                <w:highlight w:val="none"/>
              </w:rPr>
            </w:pPr>
          </w:p>
          <w:p w14:paraId="0864EA91">
            <w:pPr>
              <w:snapToGrid w:val="0"/>
              <w:spacing w:line="400" w:lineRule="exact"/>
              <w:rPr>
                <w:rFonts w:hint="eastAsia" w:ascii="宋体" w:hAnsi="宋体" w:eastAsia="宋体" w:cs="宋体"/>
                <w:color w:val="000000"/>
                <w:sz w:val="21"/>
                <w:szCs w:val="21"/>
                <w:highlight w:val="none"/>
              </w:rPr>
            </w:pPr>
          </w:p>
        </w:tc>
        <w:tc>
          <w:tcPr>
            <w:tcW w:w="934" w:type="dxa"/>
            <w:tcBorders>
              <w:top w:val="single" w:color="auto" w:sz="4" w:space="0"/>
              <w:left w:val="single" w:color="auto" w:sz="4" w:space="0"/>
              <w:bottom w:val="single" w:color="auto" w:sz="4" w:space="0"/>
              <w:right w:val="single" w:color="auto" w:sz="4" w:space="0"/>
            </w:tcBorders>
            <w:vAlign w:val="center"/>
          </w:tcPr>
          <w:p w14:paraId="2ED5C5CF">
            <w:pPr>
              <w:snapToGrid w:val="0"/>
              <w:spacing w:line="400" w:lineRule="exact"/>
              <w:jc w:val="center"/>
              <w:rPr>
                <w:rFonts w:hint="eastAsia" w:ascii="宋体" w:hAnsi="宋体" w:eastAsia="宋体" w:cs="宋体"/>
                <w:color w:val="000000"/>
                <w:sz w:val="21"/>
                <w:szCs w:val="21"/>
                <w:highlight w:val="none"/>
              </w:rPr>
            </w:pPr>
          </w:p>
        </w:tc>
        <w:tc>
          <w:tcPr>
            <w:tcW w:w="1237" w:type="dxa"/>
            <w:tcBorders>
              <w:top w:val="single" w:color="auto" w:sz="4" w:space="0"/>
              <w:left w:val="single" w:color="auto" w:sz="4" w:space="0"/>
              <w:bottom w:val="single" w:color="auto" w:sz="4" w:space="0"/>
              <w:right w:val="single" w:color="auto" w:sz="4" w:space="0"/>
            </w:tcBorders>
            <w:vAlign w:val="center"/>
          </w:tcPr>
          <w:p w14:paraId="7754EC53">
            <w:pPr>
              <w:snapToGrid w:val="0"/>
              <w:spacing w:line="400" w:lineRule="exact"/>
              <w:rPr>
                <w:rFonts w:hint="eastAsia" w:ascii="宋体" w:hAnsi="宋体" w:eastAsia="宋体" w:cs="宋体"/>
                <w:color w:val="000000"/>
                <w:sz w:val="21"/>
                <w:szCs w:val="21"/>
                <w:highlight w:val="none"/>
              </w:rPr>
            </w:pPr>
          </w:p>
        </w:tc>
        <w:tc>
          <w:tcPr>
            <w:tcW w:w="834" w:type="dxa"/>
            <w:gridSpan w:val="2"/>
            <w:tcBorders>
              <w:top w:val="single" w:color="auto" w:sz="4" w:space="0"/>
              <w:left w:val="single" w:color="auto" w:sz="4" w:space="0"/>
              <w:bottom w:val="single" w:color="auto" w:sz="4" w:space="0"/>
              <w:right w:val="single" w:color="auto" w:sz="4" w:space="0"/>
            </w:tcBorders>
            <w:vAlign w:val="center"/>
          </w:tcPr>
          <w:p w14:paraId="6704F1BF">
            <w:pPr>
              <w:snapToGrid w:val="0"/>
              <w:spacing w:line="400" w:lineRule="exact"/>
              <w:jc w:val="center"/>
              <w:rPr>
                <w:rFonts w:hint="eastAsia" w:ascii="宋体" w:hAnsi="宋体" w:eastAsia="宋体" w:cs="宋体"/>
                <w:color w:val="000000"/>
                <w:sz w:val="21"/>
                <w:szCs w:val="21"/>
                <w:highlight w:val="none"/>
              </w:rPr>
            </w:pPr>
          </w:p>
        </w:tc>
        <w:tc>
          <w:tcPr>
            <w:tcW w:w="791" w:type="dxa"/>
            <w:gridSpan w:val="2"/>
            <w:tcBorders>
              <w:top w:val="single" w:color="auto" w:sz="4" w:space="0"/>
              <w:left w:val="single" w:color="auto" w:sz="4" w:space="0"/>
              <w:bottom w:val="single" w:color="auto" w:sz="4" w:space="0"/>
              <w:right w:val="single" w:color="auto" w:sz="4" w:space="0"/>
            </w:tcBorders>
            <w:vAlign w:val="center"/>
          </w:tcPr>
          <w:p w14:paraId="617980CD">
            <w:pPr>
              <w:snapToGrid w:val="0"/>
              <w:spacing w:line="400" w:lineRule="exact"/>
              <w:jc w:val="center"/>
              <w:rPr>
                <w:rFonts w:hint="eastAsia" w:ascii="宋体" w:hAnsi="宋体" w:eastAsia="宋体" w:cs="宋体"/>
                <w:color w:val="000000"/>
                <w:sz w:val="21"/>
                <w:szCs w:val="21"/>
                <w:highlight w:val="none"/>
              </w:rPr>
            </w:pPr>
          </w:p>
        </w:tc>
        <w:tc>
          <w:tcPr>
            <w:tcW w:w="1110" w:type="dxa"/>
            <w:tcBorders>
              <w:top w:val="single" w:color="auto" w:sz="4" w:space="0"/>
              <w:left w:val="single" w:color="auto" w:sz="4" w:space="0"/>
              <w:bottom w:val="single" w:color="auto" w:sz="4" w:space="0"/>
              <w:right w:val="single" w:color="auto" w:sz="4" w:space="0"/>
            </w:tcBorders>
            <w:vAlign w:val="center"/>
          </w:tcPr>
          <w:p w14:paraId="24EBB515">
            <w:pPr>
              <w:snapToGrid w:val="0"/>
              <w:spacing w:line="400" w:lineRule="exact"/>
              <w:jc w:val="center"/>
              <w:rPr>
                <w:rFonts w:hint="eastAsia" w:ascii="宋体" w:hAnsi="宋体" w:eastAsia="宋体" w:cs="宋体"/>
                <w:color w:val="000000"/>
                <w:sz w:val="21"/>
                <w:szCs w:val="21"/>
                <w:highlight w:val="none"/>
              </w:rPr>
            </w:pPr>
          </w:p>
        </w:tc>
        <w:tc>
          <w:tcPr>
            <w:tcW w:w="1167" w:type="dxa"/>
            <w:tcBorders>
              <w:top w:val="single" w:color="auto" w:sz="4" w:space="0"/>
              <w:left w:val="single" w:color="auto" w:sz="4" w:space="0"/>
              <w:bottom w:val="single" w:color="auto" w:sz="4" w:space="0"/>
              <w:right w:val="single" w:color="auto" w:sz="4" w:space="0"/>
            </w:tcBorders>
            <w:vAlign w:val="center"/>
          </w:tcPr>
          <w:p w14:paraId="7AE3FDB7">
            <w:pPr>
              <w:snapToGrid w:val="0"/>
              <w:spacing w:line="400" w:lineRule="exact"/>
              <w:jc w:val="center"/>
              <w:rPr>
                <w:rFonts w:hint="eastAsia" w:ascii="宋体" w:hAnsi="宋体" w:eastAsia="宋体" w:cs="宋体"/>
                <w:color w:val="000000"/>
                <w:sz w:val="21"/>
                <w:szCs w:val="21"/>
                <w:highlight w:val="none"/>
              </w:rPr>
            </w:pPr>
          </w:p>
        </w:tc>
        <w:tc>
          <w:tcPr>
            <w:tcW w:w="1377" w:type="dxa"/>
            <w:tcBorders>
              <w:top w:val="single" w:color="auto" w:sz="4" w:space="0"/>
              <w:left w:val="single" w:color="auto" w:sz="4" w:space="0"/>
              <w:bottom w:val="single" w:color="auto" w:sz="4" w:space="0"/>
              <w:right w:val="single" w:color="auto" w:sz="4" w:space="0"/>
            </w:tcBorders>
            <w:vAlign w:val="center"/>
          </w:tcPr>
          <w:p w14:paraId="6B39A9CB">
            <w:pPr>
              <w:snapToGrid w:val="0"/>
              <w:spacing w:line="400" w:lineRule="exact"/>
              <w:jc w:val="left"/>
              <w:rPr>
                <w:rFonts w:hint="eastAsia" w:ascii="宋体" w:hAnsi="宋体" w:eastAsia="宋体" w:cs="宋体"/>
                <w:color w:val="000000"/>
                <w:sz w:val="21"/>
                <w:szCs w:val="21"/>
                <w:highlight w:val="none"/>
              </w:rPr>
            </w:pPr>
          </w:p>
        </w:tc>
      </w:tr>
      <w:tr w14:paraId="6ABB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9186" w:type="dxa"/>
            <w:gridSpan w:val="11"/>
            <w:tcBorders>
              <w:top w:val="single" w:color="auto" w:sz="4" w:space="0"/>
              <w:left w:val="single" w:color="auto" w:sz="4" w:space="0"/>
              <w:bottom w:val="single" w:color="auto" w:sz="4" w:space="0"/>
              <w:right w:val="single" w:color="auto" w:sz="4" w:space="0"/>
            </w:tcBorders>
            <w:vAlign w:val="center"/>
          </w:tcPr>
          <w:p w14:paraId="1CA5271B">
            <w:pPr>
              <w:snapToGrid w:val="0"/>
              <w:spacing w:line="40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总计:(大写)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元整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r>
              <w:rPr>
                <w:rFonts w:hint="eastAsia" w:ascii="宋体" w:hAnsi="宋体" w:eastAsia="宋体" w:cs="宋体"/>
                <w:color w:val="000000"/>
                <w:kern w:val="0"/>
                <w:sz w:val="21"/>
                <w:szCs w:val="21"/>
                <w:highlight w:val="none"/>
              </w:rPr>
              <w:t>（含税）</w:t>
            </w:r>
          </w:p>
        </w:tc>
      </w:tr>
      <w:tr w14:paraId="67A3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5F3B4ED9">
            <w:pPr>
              <w:snapToGrid w:val="0"/>
              <w:spacing w:line="40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产地</w:t>
            </w:r>
          </w:p>
        </w:tc>
        <w:tc>
          <w:tcPr>
            <w:tcW w:w="3305" w:type="dxa"/>
            <w:gridSpan w:val="4"/>
            <w:tcBorders>
              <w:top w:val="single" w:color="auto" w:sz="4" w:space="0"/>
              <w:left w:val="single" w:color="auto" w:sz="4" w:space="0"/>
              <w:bottom w:val="single" w:color="auto" w:sz="4" w:space="0"/>
              <w:right w:val="single" w:color="auto" w:sz="4" w:space="0"/>
            </w:tcBorders>
            <w:vAlign w:val="center"/>
          </w:tcPr>
          <w:p w14:paraId="5F614056">
            <w:pPr>
              <w:snapToGrid w:val="0"/>
              <w:spacing w:line="400" w:lineRule="exact"/>
              <w:rPr>
                <w:rFonts w:hint="eastAsia" w:ascii="宋体" w:hAnsi="宋体" w:eastAsia="宋体" w:cs="宋体"/>
                <w:color w:val="000000"/>
                <w:sz w:val="21"/>
                <w:szCs w:val="21"/>
                <w:highlight w:val="none"/>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14:paraId="099A751D">
            <w:pPr>
              <w:snapToGrid w:val="0"/>
              <w:spacing w:line="40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生产厂商</w:t>
            </w:r>
          </w:p>
        </w:tc>
        <w:tc>
          <w:tcPr>
            <w:tcW w:w="3908" w:type="dxa"/>
            <w:gridSpan w:val="4"/>
            <w:tcBorders>
              <w:top w:val="single" w:color="auto" w:sz="4" w:space="0"/>
              <w:left w:val="single" w:color="auto" w:sz="4" w:space="0"/>
              <w:bottom w:val="single" w:color="auto" w:sz="4" w:space="0"/>
              <w:right w:val="single" w:color="auto" w:sz="4" w:space="0"/>
            </w:tcBorders>
            <w:vAlign w:val="center"/>
          </w:tcPr>
          <w:p w14:paraId="2E21002F">
            <w:pPr>
              <w:snapToGrid w:val="0"/>
              <w:spacing w:line="400" w:lineRule="exact"/>
              <w:rPr>
                <w:rFonts w:hint="eastAsia" w:ascii="宋体" w:hAnsi="宋体" w:eastAsia="宋体" w:cs="宋体"/>
                <w:color w:val="000000"/>
                <w:sz w:val="21"/>
                <w:szCs w:val="21"/>
                <w:highlight w:val="none"/>
              </w:rPr>
            </w:pPr>
          </w:p>
        </w:tc>
      </w:tr>
    </w:tbl>
    <w:p w14:paraId="3612B92F">
      <w:pPr>
        <w:snapToGrid w:val="0"/>
        <w:spacing w:line="500" w:lineRule="exact"/>
        <w:ind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（二）合同总价包括：设备供应费、运输费（含保险费）、安装调试费、检测验收费应缴纳的全部税款及其它费用。</w:t>
      </w:r>
    </w:p>
    <w:p w14:paraId="1F2ED769">
      <w:pPr>
        <w:snapToGrid w:val="0"/>
        <w:spacing w:line="500" w:lineRule="exact"/>
        <w:ind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（三）合同设备总价一次性包死，不受市场价格变化因素的影响。</w:t>
      </w:r>
    </w:p>
    <w:p w14:paraId="597D9065">
      <w:pPr>
        <w:snapToGrid w:val="0"/>
        <w:spacing w:line="500" w:lineRule="exact"/>
        <w:ind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（四）配置清单见附页：共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页。</w:t>
      </w:r>
    </w:p>
    <w:p w14:paraId="686F7855">
      <w:pPr>
        <w:snapToGrid w:val="0"/>
        <w:spacing w:line="500" w:lineRule="exact"/>
        <w:ind w:left="446"/>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 xml:space="preserve">第三条  </w:t>
      </w:r>
      <w:r>
        <w:rPr>
          <w:rFonts w:hint="eastAsia" w:ascii="宋体" w:hAnsi="宋体" w:eastAsia="宋体" w:cs="宋体"/>
          <w:b/>
          <w:color w:val="000000"/>
          <w:sz w:val="21"/>
          <w:szCs w:val="21"/>
          <w:highlight w:val="none"/>
          <w:lang w:eastAsia="zh-CN"/>
        </w:rPr>
        <w:t>货款支付</w:t>
      </w:r>
    </w:p>
    <w:p w14:paraId="41AD7E5D">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宋体" w:hAnsi="宋体" w:eastAsia="宋体" w:cs="宋体"/>
          <w:color w:val="000000"/>
          <w:sz w:val="21"/>
          <w:szCs w:val="21"/>
          <w:highlight w:val="none"/>
          <w:lang w:val="zh-TW" w:eastAsia="zh-TW"/>
        </w:rPr>
      </w:pPr>
      <w:r>
        <w:rPr>
          <w:rFonts w:hint="eastAsia" w:ascii="宋体" w:hAnsi="宋体" w:eastAsia="宋体" w:cs="宋体"/>
          <w:color w:val="000000"/>
          <w:sz w:val="21"/>
          <w:szCs w:val="21"/>
          <w:highlight w:val="none"/>
          <w:lang w:val="zh-TW" w:eastAsia="zh-TW"/>
        </w:rPr>
        <w:t>（一）在甲方付款前，乙方必须开具全额发票给甲方，如因乙方不能及时提供发票导致甲方付款晚于约定时间的，甲方不构成违约，无需向乙方承担逾期付款责任。</w:t>
      </w:r>
    </w:p>
    <w:p w14:paraId="290E1F26">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宋体" w:hAnsi="宋体" w:eastAsia="宋体" w:cs="宋体"/>
          <w:color w:val="000000"/>
          <w:sz w:val="21"/>
          <w:szCs w:val="21"/>
          <w:highlight w:val="none"/>
          <w:lang w:val="zh-TW" w:eastAsia="zh-TW"/>
        </w:rPr>
      </w:pPr>
      <w:r>
        <w:rPr>
          <w:rFonts w:hint="eastAsia" w:ascii="宋体" w:hAnsi="宋体" w:eastAsia="宋体" w:cs="宋体"/>
          <w:color w:val="000000"/>
          <w:sz w:val="21"/>
          <w:szCs w:val="21"/>
          <w:highlight w:val="none"/>
          <w:lang w:val="zh-TW" w:eastAsia="zh-TW"/>
        </w:rPr>
        <w:t>（二）支付约定：</w:t>
      </w:r>
    </w:p>
    <w:p w14:paraId="356B56F2">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宋体" w:hAnsi="宋体" w:eastAsia="宋体" w:cs="宋体"/>
          <w:strike w:val="0"/>
          <w:dstrike w:val="0"/>
          <w:color w:val="auto"/>
          <w:sz w:val="21"/>
          <w:szCs w:val="21"/>
          <w:highlight w:val="none"/>
          <w:lang w:val="zh-TW" w:eastAsia="zh-TW"/>
        </w:rPr>
      </w:pPr>
      <w:r>
        <w:rPr>
          <w:rFonts w:hint="eastAsia" w:ascii="宋体" w:hAnsi="宋体" w:eastAsia="宋体" w:cs="宋体"/>
          <w:strike w:val="0"/>
          <w:dstrike w:val="0"/>
          <w:color w:val="000000"/>
          <w:sz w:val="21"/>
          <w:szCs w:val="21"/>
          <w:highlight w:val="none"/>
          <w:lang w:val="zh-TW" w:eastAsia="zh-TW"/>
        </w:rPr>
        <w:t>（</w:t>
      </w:r>
      <w:r>
        <w:rPr>
          <w:rFonts w:hint="eastAsia" w:ascii="宋体" w:hAnsi="宋体" w:eastAsia="宋体" w:cs="宋体"/>
          <w:strike w:val="0"/>
          <w:dstrike w:val="0"/>
          <w:color w:val="auto"/>
          <w:sz w:val="21"/>
          <w:szCs w:val="21"/>
          <w:highlight w:val="none"/>
          <w:lang w:val="zh-TW" w:eastAsia="zh-TW"/>
        </w:rPr>
        <w:t>1）合同签订</w:t>
      </w:r>
      <w:r>
        <w:rPr>
          <w:rFonts w:hint="eastAsia" w:ascii="宋体" w:hAnsi="宋体" w:eastAsia="宋体" w:cs="宋体"/>
          <w:strike w:val="0"/>
          <w:dstrike w:val="0"/>
          <w:color w:val="auto"/>
          <w:sz w:val="21"/>
          <w:szCs w:val="21"/>
          <w:highlight w:val="none"/>
          <w:lang w:val="en-US" w:eastAsia="zh-CN"/>
        </w:rPr>
        <w:t>后</w:t>
      </w:r>
      <w:r>
        <w:rPr>
          <w:rFonts w:hint="eastAsia" w:ascii="宋体" w:hAnsi="宋体" w:eastAsia="宋体" w:cs="宋体"/>
          <w:strike w:val="0"/>
          <w:dstrike w:val="0"/>
          <w:color w:val="auto"/>
          <w:sz w:val="21"/>
          <w:szCs w:val="21"/>
          <w:highlight w:val="none"/>
          <w:lang w:val="zh-TW" w:eastAsia="zh-TW"/>
        </w:rPr>
        <w:t>，甲方在</w:t>
      </w:r>
      <w:r>
        <w:rPr>
          <w:rFonts w:hint="eastAsia" w:ascii="宋体" w:hAnsi="宋体" w:eastAsia="宋体" w:cs="宋体"/>
          <w:strike w:val="0"/>
          <w:dstrike w:val="0"/>
          <w:color w:val="auto"/>
          <w:sz w:val="21"/>
          <w:szCs w:val="21"/>
          <w:highlight w:val="none"/>
          <w:lang w:val="en-US" w:eastAsia="zh-CN"/>
        </w:rPr>
        <w:t>10</w:t>
      </w:r>
      <w:r>
        <w:rPr>
          <w:rFonts w:hint="eastAsia" w:ascii="宋体" w:hAnsi="宋体" w:eastAsia="宋体" w:cs="宋体"/>
          <w:strike w:val="0"/>
          <w:dstrike w:val="0"/>
          <w:color w:val="auto"/>
          <w:sz w:val="21"/>
          <w:szCs w:val="21"/>
          <w:highlight w:val="none"/>
          <w:lang w:val="zh-TW" w:eastAsia="zh-TW"/>
        </w:rPr>
        <w:t>日内，向乙方支付合同总金额的</w:t>
      </w:r>
      <w:r>
        <w:rPr>
          <w:rFonts w:hint="eastAsia" w:ascii="宋体" w:hAnsi="宋体" w:eastAsia="宋体" w:cs="宋体"/>
          <w:strike w:val="0"/>
          <w:dstrike w:val="0"/>
          <w:color w:val="auto"/>
          <w:sz w:val="21"/>
          <w:szCs w:val="21"/>
          <w:highlight w:val="none"/>
          <w:lang w:val="en-US" w:eastAsia="zh-CN"/>
        </w:rPr>
        <w:t>55</w:t>
      </w:r>
      <w:r>
        <w:rPr>
          <w:rFonts w:hint="eastAsia" w:ascii="宋体" w:hAnsi="宋体" w:eastAsia="宋体" w:cs="宋体"/>
          <w:strike w:val="0"/>
          <w:dstrike w:val="0"/>
          <w:color w:val="auto"/>
          <w:sz w:val="21"/>
          <w:szCs w:val="21"/>
          <w:highlight w:val="none"/>
          <w:lang w:val="zh-TW" w:eastAsia="zh-TW"/>
        </w:rPr>
        <w:t>%；</w:t>
      </w:r>
    </w:p>
    <w:p w14:paraId="2F3671B5">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宋体" w:hAnsi="宋体" w:eastAsia="宋体" w:cs="宋体"/>
          <w:strike w:val="0"/>
          <w:dstrike w:val="0"/>
          <w:highlight w:val="none"/>
          <w:lang w:val="zh-TW" w:eastAsia="zh-CN"/>
        </w:rPr>
      </w:pPr>
      <w:r>
        <w:rPr>
          <w:rFonts w:hint="eastAsia" w:ascii="宋体" w:hAnsi="宋体" w:eastAsia="宋体" w:cs="宋体"/>
          <w:strike w:val="0"/>
          <w:dstrike w:val="0"/>
          <w:color w:val="auto"/>
          <w:sz w:val="21"/>
          <w:szCs w:val="21"/>
          <w:highlight w:val="none"/>
          <w:lang w:val="zh-TW" w:eastAsia="zh-TW"/>
        </w:rPr>
        <w:t>（2）乙方安装调试完毕，且经甲方最终验收合格后，甲方在30日内，向乙方支付剩余合同总金额的</w:t>
      </w:r>
      <w:r>
        <w:rPr>
          <w:rFonts w:hint="eastAsia" w:ascii="宋体" w:hAnsi="宋体" w:eastAsia="宋体" w:cs="宋体"/>
          <w:strike w:val="0"/>
          <w:dstrike w:val="0"/>
          <w:color w:val="auto"/>
          <w:sz w:val="21"/>
          <w:szCs w:val="21"/>
          <w:highlight w:val="none"/>
          <w:lang w:val="en-US" w:eastAsia="zh-CN"/>
        </w:rPr>
        <w:t>45</w:t>
      </w:r>
      <w:r>
        <w:rPr>
          <w:rFonts w:hint="eastAsia" w:ascii="宋体" w:hAnsi="宋体" w:eastAsia="宋体" w:cs="宋体"/>
          <w:strike w:val="0"/>
          <w:dstrike w:val="0"/>
          <w:color w:val="auto"/>
          <w:sz w:val="21"/>
          <w:szCs w:val="21"/>
          <w:highlight w:val="none"/>
          <w:lang w:val="zh-TW" w:eastAsia="zh-TW"/>
        </w:rPr>
        <w:t>%。</w:t>
      </w:r>
    </w:p>
    <w:p w14:paraId="44153283">
      <w:pPr>
        <w:tabs>
          <w:tab w:val="left" w:pos="840"/>
        </w:tabs>
        <w:kinsoku w:val="0"/>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（三）付款方式：</w:t>
      </w:r>
    </w:p>
    <w:p w14:paraId="4A4D0080">
      <w:pPr>
        <w:tabs>
          <w:tab w:val="left" w:pos="840"/>
        </w:tabs>
        <w:kinsoku w:val="0"/>
        <w:snapToGrid w:val="0"/>
        <w:spacing w:line="500" w:lineRule="exact"/>
        <w:ind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甲方和乙方的付款必须仅按合同中所提供的户名及账户进行银行结算。</w:t>
      </w:r>
    </w:p>
    <w:p w14:paraId="4EE4C8AB">
      <w:pPr>
        <w:tabs>
          <w:tab w:val="left" w:pos="840"/>
        </w:tabs>
        <w:kinsoku w:val="0"/>
        <w:snapToGrid w:val="0"/>
        <w:spacing w:line="500" w:lineRule="exact"/>
        <w:ind w:firstLine="315" w:firstLineChars="15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乙方账户信息：</w:t>
      </w:r>
      <w:r>
        <w:rPr>
          <w:rFonts w:hint="eastAsia" w:ascii="宋体" w:hAnsi="宋体" w:eastAsia="宋体" w:cs="宋体"/>
          <w:color w:val="000000"/>
          <w:sz w:val="21"/>
          <w:szCs w:val="21"/>
          <w:highlight w:val="none"/>
          <w:u w:val="single"/>
        </w:rPr>
        <w:t xml:space="preserve">                                              </w:t>
      </w:r>
    </w:p>
    <w:p w14:paraId="4A725A51">
      <w:pPr>
        <w:tabs>
          <w:tab w:val="left" w:pos="840"/>
        </w:tabs>
        <w:kinsoku w:val="0"/>
        <w:snapToGrid w:val="0"/>
        <w:spacing w:line="500" w:lineRule="exact"/>
        <w:ind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如需更改账户或现金支付时，必须向甲方出具乙方公司授权的证明。 </w:t>
      </w:r>
    </w:p>
    <w:p w14:paraId="72D6C05D">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第四条  双方的权利和义务</w:t>
      </w:r>
    </w:p>
    <w:p w14:paraId="2E2D69B8">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（一）甲方责任</w:t>
      </w:r>
    </w:p>
    <w:p w14:paraId="3ACBF1C0">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697F467B">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（二）乙方责任</w:t>
      </w:r>
    </w:p>
    <w:p w14:paraId="643DBD1C">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015F1A15">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第五条  交货条件</w:t>
      </w:r>
    </w:p>
    <w:p w14:paraId="78674BC9">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（一）交货地点:</w:t>
      </w:r>
      <w:r>
        <w:rPr>
          <w:rFonts w:hint="eastAsia" w:ascii="宋体" w:hAnsi="宋体" w:eastAsia="宋体" w:cs="宋体"/>
          <w:color w:val="000000"/>
          <w:sz w:val="21"/>
          <w:szCs w:val="21"/>
          <w:highlight w:val="none"/>
          <w:lang w:eastAsia="zh-CN"/>
        </w:rPr>
        <w:t>采购人指定的地点</w:t>
      </w:r>
      <w:r>
        <w:rPr>
          <w:rFonts w:hint="eastAsia" w:ascii="宋体" w:hAnsi="宋体" w:eastAsia="宋体" w:cs="宋体"/>
          <w:color w:val="000000"/>
          <w:sz w:val="21"/>
          <w:szCs w:val="21"/>
          <w:highlight w:val="none"/>
        </w:rPr>
        <w:t xml:space="preserve"> </w:t>
      </w:r>
    </w:p>
    <w:p w14:paraId="2F87102C">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乙方应随同货物提供相应的中文技术文件（包括设备合格证明、装箱清单、操作手册、使用说明、维护手册、服务指南等资料），现场安装、调试、试运行技术保障服务。</w:t>
      </w:r>
    </w:p>
    <w:p w14:paraId="49747728">
      <w:pPr>
        <w:snapToGrid w:val="0"/>
        <w:spacing w:line="500" w:lineRule="exact"/>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（二）交货期：乙方应在</w:t>
      </w:r>
      <w:r>
        <w:rPr>
          <w:rFonts w:hint="eastAsia" w:ascii="宋体" w:hAnsi="宋体" w:eastAsia="宋体" w:cs="宋体"/>
          <w:color w:val="000000"/>
          <w:sz w:val="21"/>
          <w:szCs w:val="21"/>
          <w:highlight w:val="none"/>
          <w:lang w:eastAsia="zh-CN"/>
        </w:rPr>
        <w:t>合同签订后</w:t>
      </w:r>
      <w:r>
        <w:rPr>
          <w:rFonts w:hint="eastAsia" w:ascii="宋体" w:hAnsi="宋体" w:eastAsia="宋体" w:cs="宋体"/>
          <w:color w:val="000000"/>
          <w:sz w:val="21"/>
          <w:szCs w:val="21"/>
          <w:highlight w:val="none"/>
          <w:u w:val="single"/>
          <w:lang w:val="en-US" w:eastAsia="zh-CN"/>
        </w:rPr>
        <w:t>120</w:t>
      </w:r>
      <w:r>
        <w:rPr>
          <w:rFonts w:hint="eastAsia" w:ascii="宋体" w:hAnsi="宋体" w:eastAsia="宋体" w:cs="宋体"/>
          <w:color w:val="000000"/>
          <w:sz w:val="21"/>
          <w:szCs w:val="21"/>
          <w:highlight w:val="none"/>
          <w:lang w:eastAsia="zh-CN"/>
        </w:rPr>
        <w:t>日历天内完成产品配送，并经招标人最终验收合格。</w:t>
      </w:r>
      <w:bookmarkStart w:id="0" w:name="_GoBack"/>
      <w:bookmarkEnd w:id="0"/>
    </w:p>
    <w:p w14:paraId="33DB3ED7">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第六条  运输</w:t>
      </w:r>
    </w:p>
    <w:p w14:paraId="7D8CABEE">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（一）运输由乙方负责，运杂费已包含在合同总价内，包括但不限于设备运输所含的运输费、装卸费、仓储费、保险费等；</w:t>
      </w:r>
    </w:p>
    <w:p w14:paraId="0288D0AD">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（二）乙方保证设备安全、按期运输到达甲方指定交货地点，在交付甲方前发生的不可预见的风险均由乙方承担。</w:t>
      </w:r>
    </w:p>
    <w:p w14:paraId="79291117">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第七条  乙方质量保证</w:t>
      </w:r>
    </w:p>
    <w:p w14:paraId="1E70AA3D">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乙方所供设备必须执行下列条款：</w:t>
      </w:r>
    </w:p>
    <w:p w14:paraId="02034FC9">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（一）选用的设备保证技术指标符合要求、质量性能可靠、进货渠道正常，配置合理，全面满足招标文件要求。</w:t>
      </w:r>
    </w:p>
    <w:p w14:paraId="5242A7C9">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（二）设备符合国家有关规范要求，确保整个设备达到最佳运行状态。</w:t>
      </w:r>
    </w:p>
    <w:p w14:paraId="2520763D">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（三）各种设备具有良好的外观，适合安装场所的使用。</w:t>
      </w:r>
    </w:p>
    <w:p w14:paraId="51E6754A">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（四）设备自最终验收合格之日起，免费保修</w:t>
      </w:r>
      <w:r>
        <w:rPr>
          <w:rFonts w:hint="eastAsia" w:ascii="宋体" w:hAnsi="宋体" w:eastAsia="宋体" w:cs="宋体"/>
          <w:color w:val="000000"/>
          <w:sz w:val="21"/>
          <w:szCs w:val="21"/>
          <w:highlight w:val="none"/>
          <w:u w:val="single"/>
          <w:lang w:val="en-US" w:eastAsia="zh-CN"/>
        </w:rPr>
        <w:t>12</w:t>
      </w:r>
      <w:r>
        <w:rPr>
          <w:rFonts w:hint="eastAsia" w:ascii="宋体" w:hAnsi="宋体" w:eastAsia="宋体" w:cs="宋体"/>
          <w:color w:val="000000"/>
          <w:sz w:val="21"/>
          <w:szCs w:val="21"/>
          <w:highlight w:val="none"/>
        </w:rPr>
        <w:t>个月。设备自最终验收合格之日起</w:t>
      </w:r>
    </w:p>
    <w:p w14:paraId="61B55462">
      <w:pPr>
        <w:keepNext w:val="0"/>
        <w:keepLines w:val="0"/>
        <w:pageBreakBefore w:val="0"/>
        <w:widowControl w:val="0"/>
        <w:kinsoku/>
        <w:wordWrap/>
        <w:overflowPunct/>
        <w:topLinePunct w:val="0"/>
        <w:autoSpaceDE/>
        <w:autoSpaceDN/>
        <w:bidi w:val="0"/>
        <w:adjustRightInd/>
        <w:snapToGrid w:val="0"/>
        <w:spacing w:line="500" w:lineRule="exact"/>
        <w:ind w:firstLine="0" w:firstLine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个工作日内，如出现质量问题，甲方可以选择换货或退货。</w:t>
      </w:r>
    </w:p>
    <w:p w14:paraId="7B07CD73">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（五）质保期内，免费维修、免费更换配件及养护。</w:t>
      </w:r>
    </w:p>
    <w:p w14:paraId="33570B96">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第八条  乙方免费提供技术与服务</w:t>
      </w:r>
    </w:p>
    <w:p w14:paraId="7CC4B1F7">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（一）乙方交货时需同时交付的技术资料：</w:t>
      </w:r>
    </w:p>
    <w:p w14:paraId="62B6B104">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1、设备合格证明；</w:t>
      </w:r>
    </w:p>
    <w:p w14:paraId="5F1A5459">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2、设备使用说明书；</w:t>
      </w:r>
    </w:p>
    <w:p w14:paraId="5EBB577C">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3、装箱单；</w:t>
      </w:r>
    </w:p>
    <w:p w14:paraId="3E2AFE5F">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、其它资料。</w:t>
      </w:r>
    </w:p>
    <w:p w14:paraId="7D4833D0">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（二）服务承诺：</w:t>
      </w:r>
    </w:p>
    <w:p w14:paraId="465E0E79">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1、安装调试：   </w:t>
      </w:r>
    </w:p>
    <w:p w14:paraId="7C11B188">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乙方专业人员对甲方购买的设备进行货用现场安装和调试。</w:t>
      </w:r>
    </w:p>
    <w:p w14:paraId="47EA65A6">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2、培训学习：</w:t>
      </w:r>
    </w:p>
    <w:p w14:paraId="3D49F7B2">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（1）安装调试技术人员免费现场操作培训，包括介绍仪器操作、日常保养及维护方法；</w:t>
      </w:r>
    </w:p>
    <w:p w14:paraId="12D8494A">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（2）提供使用说明书及操作手册。</w:t>
      </w:r>
    </w:p>
    <w:p w14:paraId="4DF2FB06">
      <w:pPr>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（3）乙方提供远程的操作、维保咨询指导，质保期内如甲方有需要，乙方应及时进行现场的操作、维保咨询指导。</w:t>
      </w:r>
    </w:p>
    <w:p w14:paraId="40CAADB5">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eastAsia="zh-CN"/>
        </w:rPr>
        <w:t>质保</w:t>
      </w:r>
      <w:r>
        <w:rPr>
          <w:rFonts w:hint="eastAsia" w:ascii="宋体" w:hAnsi="宋体" w:eastAsia="宋体" w:cs="宋体"/>
          <w:color w:val="000000"/>
          <w:sz w:val="21"/>
          <w:szCs w:val="21"/>
          <w:highlight w:val="none"/>
        </w:rPr>
        <w:t>服务：</w:t>
      </w:r>
    </w:p>
    <w:p w14:paraId="2AB93BF4">
      <w:pPr>
        <w:snapToGrid w:val="0"/>
        <w:spacing w:line="500" w:lineRule="exact"/>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乙方提供为期</w:t>
      </w:r>
      <w:r>
        <w:rPr>
          <w:rFonts w:hint="eastAsia" w:ascii="宋体" w:hAnsi="宋体" w:eastAsia="宋体" w:cs="宋体"/>
          <w:b w:val="0"/>
          <w:bCs/>
          <w:color w:val="000000"/>
          <w:sz w:val="21"/>
          <w:szCs w:val="21"/>
          <w:highlight w:val="none"/>
          <w:u w:val="single"/>
          <w:lang w:val="en-US" w:eastAsia="zh-CN"/>
        </w:rPr>
        <w:t>12</w:t>
      </w:r>
      <w:r>
        <w:rPr>
          <w:rFonts w:hint="eastAsia" w:ascii="宋体" w:hAnsi="宋体" w:eastAsia="宋体" w:cs="宋体"/>
          <w:color w:val="000000"/>
          <w:sz w:val="21"/>
          <w:szCs w:val="21"/>
          <w:highlight w:val="none"/>
        </w:rPr>
        <w:t>个月的</w:t>
      </w:r>
      <w:r>
        <w:rPr>
          <w:rFonts w:hint="eastAsia" w:ascii="宋体" w:hAnsi="宋体" w:eastAsia="宋体" w:cs="宋体"/>
          <w:color w:val="000000"/>
          <w:sz w:val="21"/>
          <w:szCs w:val="21"/>
          <w:highlight w:val="none"/>
          <w:lang w:eastAsia="zh-CN"/>
        </w:rPr>
        <w:t>质保</w:t>
      </w:r>
      <w:r>
        <w:rPr>
          <w:rFonts w:hint="eastAsia" w:ascii="宋体" w:hAnsi="宋体" w:eastAsia="宋体" w:cs="宋体"/>
          <w:color w:val="000000"/>
          <w:sz w:val="21"/>
          <w:szCs w:val="21"/>
          <w:highlight w:val="none"/>
        </w:rPr>
        <w:t>服务。质保服务期内乙方免费提供需更换的部件，免维修人工及相关费用。</w:t>
      </w:r>
    </w:p>
    <w:p w14:paraId="2F48EF27">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4、响应时间：</w:t>
      </w:r>
    </w:p>
    <w:p w14:paraId="225B102D">
      <w:pPr>
        <w:snapToGrid w:val="0"/>
        <w:spacing w:line="500" w:lineRule="exact"/>
        <w:ind w:left="0" w:leftChars="0" w:firstLine="732" w:firstLineChars="349"/>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接到甲方质量垂询电话，保证</w:t>
      </w:r>
      <w:r>
        <w:rPr>
          <w:rFonts w:hint="eastAsia" w:ascii="宋体" w:hAnsi="宋体" w:eastAsia="宋体" w:cs="宋体"/>
          <w:color w:val="000000"/>
          <w:sz w:val="21"/>
          <w:szCs w:val="21"/>
          <w:highlight w:val="none"/>
          <w:u w:val="single"/>
          <w:lang w:val="en-US" w:eastAsia="zh-CN"/>
        </w:rPr>
        <w:t>半</w:t>
      </w:r>
      <w:r>
        <w:rPr>
          <w:rFonts w:hint="eastAsia" w:ascii="宋体" w:hAnsi="宋体" w:eastAsia="宋体" w:cs="宋体"/>
          <w:color w:val="000000"/>
          <w:sz w:val="21"/>
          <w:szCs w:val="21"/>
          <w:highlight w:val="none"/>
        </w:rPr>
        <w:t>小时内给予做出电话回应，并提出解决方案；</w:t>
      </w:r>
    </w:p>
    <w:p w14:paraId="7DF28C9C">
      <w:pPr>
        <w:snapToGrid w:val="0"/>
        <w:spacing w:line="500" w:lineRule="exact"/>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lang w:val="en-US" w:eastAsia="zh-CN"/>
        </w:rPr>
        <w:t>12</w:t>
      </w:r>
      <w:r>
        <w:rPr>
          <w:rFonts w:hint="eastAsia" w:ascii="宋体" w:hAnsi="宋体" w:eastAsia="宋体" w:cs="宋体"/>
          <w:color w:val="000000"/>
          <w:sz w:val="21"/>
          <w:szCs w:val="21"/>
          <w:highlight w:val="none"/>
        </w:rPr>
        <w:t>小时之内到达现场，</w:t>
      </w:r>
      <w:r>
        <w:rPr>
          <w:rFonts w:hint="eastAsia" w:ascii="宋体" w:hAnsi="宋体" w:eastAsia="宋体" w:cs="宋体"/>
          <w:color w:val="000000"/>
          <w:sz w:val="21"/>
          <w:szCs w:val="21"/>
          <w:highlight w:val="none"/>
          <w:u w:val="single"/>
          <w:lang w:val="en-US" w:eastAsia="zh-CN"/>
        </w:rPr>
        <w:t>24</w:t>
      </w:r>
      <w:r>
        <w:rPr>
          <w:rFonts w:hint="eastAsia" w:ascii="宋体" w:hAnsi="宋体" w:eastAsia="宋体" w:cs="宋体"/>
          <w:color w:val="000000"/>
          <w:sz w:val="21"/>
          <w:szCs w:val="21"/>
          <w:highlight w:val="none"/>
        </w:rPr>
        <w:t>小时内维修并保证甲方设备尽快恢复使用。为不影响甲方正常工作，乙方在</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rPr>
        <w:t>日内免费提供替代产品，确保正常运行。</w:t>
      </w:r>
      <w:r>
        <w:rPr>
          <w:rFonts w:hint="eastAsia" w:ascii="宋体" w:hAnsi="宋体" w:eastAsia="宋体" w:cs="宋体"/>
          <w:color w:val="000000"/>
          <w:sz w:val="21"/>
          <w:szCs w:val="21"/>
          <w:highlight w:val="none"/>
          <w:lang w:eastAsia="zh-CN"/>
        </w:rPr>
        <w:t>质保期内</w:t>
      </w:r>
      <w:r>
        <w:rPr>
          <w:rFonts w:hint="eastAsia" w:ascii="宋体" w:hAnsi="宋体" w:eastAsia="宋体" w:cs="宋体"/>
          <w:color w:val="000000"/>
          <w:sz w:val="21"/>
          <w:szCs w:val="21"/>
          <w:highlight w:val="none"/>
        </w:rPr>
        <w:t>乙方接到甲方通知后，未在约定时间内答复或者</w:t>
      </w:r>
      <w:r>
        <w:rPr>
          <w:rFonts w:hint="eastAsia" w:ascii="宋体" w:hAnsi="宋体" w:eastAsia="宋体" w:cs="宋体"/>
          <w:color w:val="000000"/>
          <w:sz w:val="21"/>
          <w:szCs w:val="21"/>
          <w:highlight w:val="none"/>
          <w:lang w:eastAsia="zh-CN"/>
        </w:rPr>
        <w:t>提供质保服务</w:t>
      </w:r>
      <w:r>
        <w:rPr>
          <w:rFonts w:hint="eastAsia" w:ascii="宋体" w:hAnsi="宋体" w:eastAsia="宋体" w:cs="宋体"/>
          <w:color w:val="000000"/>
          <w:sz w:val="21"/>
          <w:szCs w:val="21"/>
          <w:highlight w:val="none"/>
        </w:rPr>
        <w:t>的，甲方可自行组织维修，因此产生的费用均由乙方承担。</w:t>
      </w:r>
    </w:p>
    <w:p w14:paraId="76F8E185">
      <w:pPr>
        <w:snapToGrid w:val="0"/>
        <w:spacing w:line="500" w:lineRule="exact"/>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乙方售后服务具体负责人：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联系电话：</w:t>
      </w:r>
      <w:r>
        <w:rPr>
          <w:rFonts w:hint="eastAsia" w:ascii="宋体" w:hAnsi="宋体" w:eastAsia="宋体" w:cs="宋体"/>
          <w:color w:val="000000"/>
          <w:sz w:val="21"/>
          <w:szCs w:val="21"/>
          <w:highlight w:val="none"/>
          <w:u w:val="single"/>
        </w:rPr>
        <w:t xml:space="preserve">              </w:t>
      </w:r>
    </w:p>
    <w:p w14:paraId="745C9578">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5、乙方在装卸货物、调试、安装设备及维修服务过程发生的己方工作人员、雇员人身损害及造成的安全事故、均由乙方承担，与甲方无关。</w:t>
      </w:r>
    </w:p>
    <w:p w14:paraId="1B46DCA8">
      <w:pPr>
        <w:snapToGrid w:val="0"/>
        <w:spacing w:line="500" w:lineRule="exact"/>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注：</w:t>
      </w:r>
    </w:p>
    <w:p w14:paraId="48279405">
      <w:pPr>
        <w:snapToGrid w:val="0"/>
        <w:spacing w:line="50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以下情况不在保修范围以内：</w:t>
      </w:r>
    </w:p>
    <w:p w14:paraId="6CD3A46C">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1.一切人为损坏（例如：甲方自行拆装、故意性破坏操作所引起的仪器故障，均不在保修范围内；</w:t>
      </w:r>
    </w:p>
    <w:p w14:paraId="6FB947E1">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2.耗材不在保修范围内；</w:t>
      </w:r>
    </w:p>
    <w:p w14:paraId="59F485EC">
      <w:pPr>
        <w:snapToGrid w:val="0"/>
        <w:spacing w:line="500" w:lineRule="exact"/>
        <w:ind w:firstLine="420" w:firstLineChars="200"/>
        <w:rPr>
          <w:rFonts w:hint="eastAsia" w:ascii="宋体" w:hAnsi="宋体" w:eastAsia="宋体" w:cs="宋体"/>
          <w:b/>
          <w:bCs/>
          <w:color w:val="000000"/>
          <w:sz w:val="21"/>
          <w:szCs w:val="21"/>
          <w:highlight w:val="none"/>
        </w:rPr>
      </w:pPr>
      <w:r>
        <w:rPr>
          <w:rFonts w:hint="eastAsia" w:ascii="宋体" w:hAnsi="宋体" w:eastAsia="宋体" w:cs="宋体"/>
          <w:color w:val="000000"/>
          <w:sz w:val="21"/>
          <w:szCs w:val="21"/>
          <w:highlight w:val="none"/>
        </w:rPr>
        <w:t>3.其它不可抗拒因素（如：地震、火灾、电网事故等）引起的机器损害。</w:t>
      </w:r>
    </w:p>
    <w:p w14:paraId="167DE009">
      <w:pPr>
        <w:snapToGrid w:val="0"/>
        <w:spacing w:line="500" w:lineRule="exact"/>
        <w:ind w:firstLine="413" w:firstLineChars="196"/>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第九条  其他维修服务约定</w:t>
      </w:r>
    </w:p>
    <w:p w14:paraId="49E90914">
      <w:pPr>
        <w:snapToGrid w:val="0"/>
        <w:spacing w:line="500" w:lineRule="exact"/>
        <w:ind w:firstLine="420" w:firstLineChars="200"/>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本合同免费维修期为</w:t>
      </w:r>
      <w:r>
        <w:rPr>
          <w:rFonts w:hint="eastAsia" w:ascii="宋体" w:hAnsi="宋体" w:eastAsia="宋体" w:cs="宋体"/>
          <w:color w:val="000000"/>
          <w:sz w:val="21"/>
          <w:szCs w:val="21"/>
          <w:highlight w:val="none"/>
          <w:u w:val="single"/>
          <w:lang w:val="en-US" w:eastAsia="zh-CN"/>
        </w:rPr>
        <w:t>12个月</w:t>
      </w:r>
      <w:r>
        <w:rPr>
          <w:rFonts w:hint="eastAsia" w:ascii="宋体" w:hAnsi="宋体" w:eastAsia="宋体" w:cs="宋体"/>
          <w:color w:val="000000"/>
          <w:sz w:val="21"/>
          <w:szCs w:val="21"/>
          <w:highlight w:val="none"/>
        </w:rPr>
        <w:t>，自甲方</w:t>
      </w:r>
      <w:r>
        <w:rPr>
          <w:rFonts w:hint="eastAsia" w:ascii="宋体" w:hAnsi="宋体" w:eastAsia="宋体" w:cs="宋体"/>
          <w:color w:val="000000"/>
          <w:sz w:val="21"/>
          <w:szCs w:val="21"/>
          <w:highlight w:val="none"/>
          <w:lang w:eastAsia="zh-CN"/>
        </w:rPr>
        <w:t>最终</w:t>
      </w:r>
      <w:r>
        <w:rPr>
          <w:rFonts w:hint="eastAsia" w:ascii="宋体" w:hAnsi="宋体" w:eastAsia="宋体" w:cs="宋体"/>
          <w:color w:val="000000"/>
          <w:sz w:val="21"/>
          <w:szCs w:val="21"/>
          <w:highlight w:val="none"/>
        </w:rPr>
        <w:t>验收合格并书面确认之日起计算，免费进行维修，其后为有偿服务，服务内容及收费标准为：</w:t>
      </w:r>
      <w:r>
        <w:rPr>
          <w:rFonts w:hint="eastAsia" w:ascii="宋体" w:hAnsi="宋体" w:eastAsia="宋体" w:cs="宋体"/>
          <w:color w:val="000000"/>
          <w:sz w:val="21"/>
          <w:szCs w:val="21"/>
          <w:highlight w:val="none"/>
          <w:u w:val="single"/>
          <w:lang w:val="en-US" w:eastAsia="zh-CN"/>
        </w:rPr>
        <w:t>1.服务保修期内免费维修2.服务保修期外(1)软件:智慧体能相关软件24个月内免费升级维护(2)硬件:智慧体能相关硬件24个月内质量问题免费维修。</w:t>
      </w:r>
    </w:p>
    <w:p w14:paraId="25FECF6C">
      <w:pPr>
        <w:snapToGrid w:val="0"/>
        <w:spacing w:line="500" w:lineRule="exac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（一）按《民法典》中的相关条款执行。</w:t>
      </w:r>
    </w:p>
    <w:p w14:paraId="0DF28E41">
      <w:pPr>
        <w:snapToGrid w:val="0"/>
        <w:spacing w:line="500" w:lineRule="exac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（二）甲方责任</w:t>
      </w:r>
    </w:p>
    <w:p w14:paraId="3B28BC1F">
      <w:pPr>
        <w:snapToGrid w:val="0"/>
        <w:spacing w:line="500" w:lineRule="exact"/>
        <w:ind w:firstLine="424" w:firstLineChars="20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1、除乙方产品不符合本合同约定的型号、质量、技术要求外，甲方不得中途退换货或者拒绝提货。</w:t>
      </w:r>
    </w:p>
    <w:p w14:paraId="18BD806F">
      <w:pPr>
        <w:snapToGrid w:val="0"/>
        <w:spacing w:line="500" w:lineRule="exact"/>
        <w:ind w:firstLine="424" w:firstLineChars="20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2、甲方未按合同约定的时间向乙方付款，应每逾期一日按逾期付款额的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向乙方支付违约金,最高不超过逾期付款额的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479E2CA">
      <w:pPr>
        <w:snapToGrid w:val="0"/>
        <w:spacing w:line="500" w:lineRule="exact"/>
        <w:ind w:firstLine="424" w:firstLineChars="20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3、乙方供应的产品经过两次验收，达不到合格的，甲方有权解除本合同，且乙方应当一次性支付甲方违约金</w:t>
      </w:r>
      <w:r>
        <w:rPr>
          <w:rFonts w:hint="eastAsia" w:ascii="宋体" w:hAnsi="宋体" w:eastAsia="宋体" w:cs="宋体"/>
          <w:color w:val="000000"/>
          <w:sz w:val="21"/>
          <w:szCs w:val="21"/>
          <w:highlight w:val="none"/>
          <w:u w:val="single"/>
          <w:lang w:val="en-US" w:eastAsia="zh-CN"/>
        </w:rPr>
        <w:t>必须返还货款10%及已支付的全部货款</w:t>
      </w:r>
      <w:r>
        <w:rPr>
          <w:rFonts w:hint="eastAsia" w:ascii="宋体" w:hAnsi="宋体" w:eastAsia="宋体" w:cs="宋体"/>
          <w:color w:val="000000"/>
          <w:sz w:val="21"/>
          <w:szCs w:val="21"/>
          <w:highlight w:val="none"/>
        </w:rPr>
        <w:t>。</w:t>
      </w:r>
    </w:p>
    <w:p w14:paraId="40D994AE">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（三）乙方责任</w:t>
      </w:r>
    </w:p>
    <w:p w14:paraId="3B2C69D5">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2C329525">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2、乙方迟延交货，每超过一天，应按合同总价款的</w:t>
      </w:r>
      <w:r>
        <w:rPr>
          <w:rFonts w:hint="eastAsia" w:ascii="宋体" w:hAnsi="宋体" w:eastAsia="宋体" w:cs="宋体"/>
          <w:color w:val="000000"/>
          <w:sz w:val="21"/>
          <w:szCs w:val="21"/>
          <w:highlight w:val="none"/>
          <w:u w:val="single"/>
        </w:rPr>
        <w:t>5‰</w:t>
      </w:r>
      <w:r>
        <w:rPr>
          <w:rFonts w:hint="eastAsia" w:ascii="宋体" w:hAnsi="宋体" w:eastAsia="宋体" w:cs="宋体"/>
          <w:color w:val="000000"/>
          <w:sz w:val="21"/>
          <w:szCs w:val="21"/>
          <w:highlight w:val="none"/>
        </w:rPr>
        <w:t>支付甲方违约金，该违约金直接在货款中扣减。除不可抗力导致的迟延交货外，乙方迟延交货</w:t>
      </w:r>
      <w:r>
        <w:rPr>
          <w:rFonts w:hint="eastAsia" w:ascii="宋体" w:hAnsi="宋体" w:eastAsia="宋体" w:cs="宋体"/>
          <w:color w:val="000000"/>
          <w:sz w:val="21"/>
          <w:szCs w:val="21"/>
          <w:highlight w:val="none"/>
          <w:u w:val="single"/>
          <w:lang w:val="en-US" w:eastAsia="zh-CN"/>
        </w:rPr>
        <w:t>10</w:t>
      </w:r>
      <w:r>
        <w:rPr>
          <w:rFonts w:hint="eastAsia" w:ascii="宋体" w:hAnsi="宋体" w:eastAsia="宋体" w:cs="宋体"/>
          <w:color w:val="000000"/>
          <w:sz w:val="21"/>
          <w:szCs w:val="21"/>
          <w:highlight w:val="none"/>
        </w:rPr>
        <w:t>天，甲方有权单方解除本合同，乙方应当一次性支付甲方违约金</w:t>
      </w:r>
      <w:r>
        <w:rPr>
          <w:rFonts w:hint="eastAsia" w:ascii="宋体" w:hAnsi="宋体" w:eastAsia="宋体" w:cs="宋体"/>
          <w:color w:val="000000"/>
          <w:sz w:val="21"/>
          <w:szCs w:val="21"/>
          <w:highlight w:val="none"/>
          <w:u w:val="single"/>
          <w:lang w:val="en-US" w:eastAsia="zh-CN"/>
        </w:rPr>
        <w:t>合同价款的10%</w:t>
      </w:r>
      <w:r>
        <w:rPr>
          <w:rFonts w:hint="eastAsia" w:ascii="宋体" w:hAnsi="宋体" w:eastAsia="宋体" w:cs="宋体"/>
          <w:color w:val="000000"/>
          <w:sz w:val="21"/>
          <w:szCs w:val="21"/>
          <w:highlight w:val="none"/>
        </w:rPr>
        <w:t>元。</w:t>
      </w:r>
    </w:p>
    <w:p w14:paraId="1BC9B725">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3、乙方对甲方解除合同不予认可的，应在收到甲方书面解除通知之日起7日内依法提出异议。</w:t>
      </w:r>
    </w:p>
    <w:p w14:paraId="429BE5AC">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第十一条  不可抗力</w:t>
      </w:r>
    </w:p>
    <w:p w14:paraId="6C87FC96">
      <w:pPr>
        <w:snapToGrid w:val="0"/>
        <w:spacing w:line="500" w:lineRule="exact"/>
        <w:ind w:firstLine="420" w:firstLineChars="2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（一）本合同中不可抗力指地震、台风、火灾、水灾、战争、罢工以及其他双方不能预见、不能避免并不能克服的客观情况。</w:t>
      </w:r>
    </w:p>
    <w:p w14:paraId="0207ED69">
      <w:pPr>
        <w:snapToGrid w:val="0"/>
        <w:spacing w:line="500" w:lineRule="exact"/>
        <w:ind w:firstLine="420" w:firstLineChars="2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（二）由于不可抗力致使合同无法履行的，受不可抗力影响一方应立即将不能履行本合同的事实书面通知对方，并在不可抗力发生之日起十五日内提供有关相关政府部门或公证机关出具的证明文件。</w:t>
      </w:r>
    </w:p>
    <w:p w14:paraId="25FBE8FC">
      <w:pPr>
        <w:snapToGrid w:val="0"/>
        <w:spacing w:line="500" w:lineRule="exact"/>
        <w:ind w:firstLine="420" w:firstLineChars="2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71C46906">
      <w:pPr>
        <w:snapToGrid w:val="0"/>
        <w:spacing w:line="500" w:lineRule="exact"/>
        <w:ind w:firstLine="420" w:firstLineChars="2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（四）一方迟延履行后发生不可抗力的，不能免除责任。</w:t>
      </w:r>
    </w:p>
    <w:p w14:paraId="5B229B8E">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第十二条  验收</w:t>
      </w:r>
    </w:p>
    <w:p w14:paraId="50AA09E8">
      <w:pPr>
        <w:snapToGrid w:val="0"/>
        <w:spacing w:line="500" w:lineRule="exac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（一）初步验收</w:t>
      </w:r>
    </w:p>
    <w:p w14:paraId="6B7EEC9E">
      <w:pPr>
        <w:snapToGrid w:val="0"/>
        <w:spacing w:line="500" w:lineRule="exact"/>
        <w:ind w:firstLine="424" w:firstLineChars="202"/>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甲方应在产品到货且接到乙方书面通知后当日内进行初步验收；甲方在验收中如发现产品品种、型号、数量与本合同规定条件不符，须在产品到货初步验收完成之日起</w:t>
      </w:r>
      <w:r>
        <w:rPr>
          <w:rFonts w:hint="eastAsia" w:ascii="宋体" w:hAnsi="宋体" w:eastAsia="宋体" w:cs="宋体"/>
          <w:bCs/>
          <w:color w:val="000000"/>
          <w:sz w:val="21"/>
          <w:szCs w:val="21"/>
          <w:highlight w:val="none"/>
          <w:u w:val="single"/>
          <w:lang w:val="en-US" w:eastAsia="zh-CN"/>
        </w:rPr>
        <w:t>7</w:t>
      </w:r>
      <w:r>
        <w:rPr>
          <w:rFonts w:hint="eastAsia" w:ascii="宋体" w:hAnsi="宋体" w:eastAsia="宋体" w:cs="宋体"/>
          <w:bCs/>
          <w:color w:val="000000"/>
          <w:sz w:val="21"/>
          <w:szCs w:val="21"/>
          <w:highlight w:val="none"/>
        </w:rPr>
        <w:t>日内向乙方提出书面异议和处理意见。</w:t>
      </w:r>
    </w:p>
    <w:p w14:paraId="1ACFA600">
      <w:pPr>
        <w:snapToGrid w:val="0"/>
        <w:spacing w:line="500" w:lineRule="exact"/>
        <w:ind w:firstLine="424" w:firstLineChars="20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1、如甲方未按</w:t>
      </w:r>
      <w:r>
        <w:rPr>
          <w:rFonts w:hint="eastAsia" w:ascii="宋体" w:hAnsi="宋体" w:eastAsia="宋体" w:cs="宋体"/>
          <w:bCs/>
          <w:color w:val="000000"/>
          <w:sz w:val="21"/>
          <w:szCs w:val="21"/>
          <w:highlight w:val="none"/>
        </w:rPr>
        <w:t>约定</w:t>
      </w:r>
      <w:r>
        <w:rPr>
          <w:rFonts w:hint="eastAsia" w:ascii="宋体" w:hAnsi="宋体" w:eastAsia="宋体" w:cs="宋体"/>
          <w:color w:val="000000"/>
          <w:sz w:val="21"/>
          <w:szCs w:val="21"/>
          <w:highlight w:val="none"/>
        </w:rPr>
        <w:t>期限提出书面异议，视为所交产品符合合同</w:t>
      </w:r>
      <w:r>
        <w:rPr>
          <w:rFonts w:hint="eastAsia" w:ascii="宋体" w:hAnsi="宋体" w:eastAsia="宋体" w:cs="宋体"/>
          <w:bCs/>
          <w:color w:val="000000"/>
          <w:sz w:val="21"/>
          <w:szCs w:val="21"/>
          <w:highlight w:val="none"/>
        </w:rPr>
        <w:t>约定的</w:t>
      </w:r>
      <w:r>
        <w:rPr>
          <w:rFonts w:hint="eastAsia" w:ascii="宋体" w:hAnsi="宋体" w:eastAsia="宋体" w:cs="宋体"/>
          <w:color w:val="000000"/>
          <w:sz w:val="21"/>
          <w:szCs w:val="21"/>
          <w:highlight w:val="none"/>
        </w:rPr>
        <w:t>品种、型号、数量。</w:t>
      </w:r>
    </w:p>
    <w:p w14:paraId="7DAE8F44">
      <w:pPr>
        <w:snapToGrid w:val="0"/>
        <w:spacing w:line="500" w:lineRule="exact"/>
        <w:ind w:firstLine="424" w:firstLineChars="20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2、甲方因使用、保管、保养不善等造成产品质量下降的，不得提出异议。</w:t>
      </w:r>
    </w:p>
    <w:p w14:paraId="706F290E">
      <w:pPr>
        <w:snapToGrid w:val="0"/>
        <w:spacing w:line="500" w:lineRule="exact"/>
        <w:ind w:firstLine="424" w:firstLineChars="20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3、乙方在接到甲方书面异议</w:t>
      </w:r>
      <w:r>
        <w:rPr>
          <w:rFonts w:hint="eastAsia" w:ascii="宋体" w:hAnsi="宋体" w:eastAsia="宋体" w:cs="宋体"/>
          <w:bCs/>
          <w:color w:val="000000"/>
          <w:sz w:val="21"/>
          <w:szCs w:val="21"/>
          <w:highlight w:val="none"/>
        </w:rPr>
        <w:t>之日起</w:t>
      </w:r>
      <w:r>
        <w:rPr>
          <w:rFonts w:hint="eastAsia" w:ascii="宋体" w:hAnsi="宋体" w:eastAsia="宋体" w:cs="宋体"/>
          <w:color w:val="000000"/>
          <w:sz w:val="21"/>
          <w:szCs w:val="21"/>
          <w:highlight w:val="none"/>
        </w:rPr>
        <w:t>，应在</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日内予以回复，否则，即视为默认甲方提出的异议和处理意见。</w:t>
      </w:r>
    </w:p>
    <w:p w14:paraId="1BB0C67C">
      <w:pPr>
        <w:snapToGrid w:val="0"/>
        <w:spacing w:line="500" w:lineRule="exact"/>
        <w:ind w:firstLine="424" w:firstLineChars="202"/>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bCs/>
          <w:color w:val="000000"/>
          <w:sz w:val="21"/>
          <w:szCs w:val="21"/>
          <w:highlight w:val="none"/>
        </w:rPr>
        <w:t>乙方出售产品的毁损灭失风险，在甲方验收合格并接收前，由乙方承担。</w:t>
      </w:r>
    </w:p>
    <w:p w14:paraId="2ABF7180">
      <w:pPr>
        <w:snapToGrid w:val="0"/>
        <w:spacing w:line="500" w:lineRule="exact"/>
        <w:ind w:firstLine="424" w:firstLineChars="202"/>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（二）最终验收</w:t>
      </w:r>
    </w:p>
    <w:p w14:paraId="6A40E49E">
      <w:pPr>
        <w:snapToGrid w:val="0"/>
        <w:spacing w:line="500" w:lineRule="exact"/>
        <w:ind w:firstLine="424" w:firstLineChars="202"/>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乙方在产品安装调试完成后由甲方组织最终质量验收的相关约定。</w:t>
      </w:r>
    </w:p>
    <w:p w14:paraId="2C72D1C1">
      <w:pPr>
        <w:snapToGrid w:val="0"/>
        <w:spacing w:line="500" w:lineRule="exact"/>
        <w:ind w:firstLine="424" w:firstLineChars="202"/>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1、经甲方</w:t>
      </w:r>
      <w:r>
        <w:rPr>
          <w:rFonts w:hint="eastAsia" w:ascii="宋体" w:hAnsi="宋体" w:eastAsia="宋体" w:cs="宋体"/>
          <w:bCs/>
          <w:color w:val="000000"/>
          <w:sz w:val="21"/>
          <w:szCs w:val="21"/>
          <w:highlight w:val="none"/>
        </w:rPr>
        <w:t>按照订货产品的硬件配置参数</w:t>
      </w:r>
      <w:r>
        <w:rPr>
          <w:rFonts w:hint="eastAsia" w:ascii="宋体" w:hAnsi="宋体" w:eastAsia="宋体" w:cs="宋体"/>
          <w:color w:val="000000"/>
          <w:sz w:val="21"/>
          <w:szCs w:val="21"/>
          <w:highlight w:val="none"/>
        </w:rPr>
        <w:t>初步验收合格，且乙方安装调试完成后，乙方应向甲方发出书面通知，甲方在收到验收通知之日起</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日内进行验收，由甲方进行最终质量验收。</w:t>
      </w:r>
    </w:p>
    <w:p w14:paraId="5ABAAD0C">
      <w:pPr>
        <w:snapToGrid w:val="0"/>
        <w:spacing w:line="500" w:lineRule="exact"/>
        <w:ind w:firstLine="424" w:firstLineChars="202"/>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日内向乙方提出书面异议和处理意见；乙方在接到甲方书面异议之日起，应在</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日内予以回复，否则，即视为默认甲方提出的异议和处理意见。</w:t>
      </w:r>
    </w:p>
    <w:p w14:paraId="0761B0F8">
      <w:pPr>
        <w:snapToGrid w:val="0"/>
        <w:spacing w:line="500" w:lineRule="exact"/>
        <w:ind w:firstLine="371" w:firstLineChars="17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3、验收不合格的，乙方负责维修、更换设备直至验收合格为止，因此产生的费用和给甲方造成的损失均由乙方承担。</w:t>
      </w:r>
    </w:p>
    <w:p w14:paraId="405532CB">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（三）乙方向甲方提交设备实施过程中的所有资料。以便甲方日后管理和维护。</w:t>
      </w:r>
    </w:p>
    <w:p w14:paraId="7C126D91">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（四）验收依据：</w:t>
      </w:r>
    </w:p>
    <w:p w14:paraId="61BB6D3C">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1、招标文件、投标文件、澄清表（函）；</w:t>
      </w:r>
    </w:p>
    <w:p w14:paraId="44E1FA84">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2、本合同及附件文本；</w:t>
      </w:r>
    </w:p>
    <w:p w14:paraId="7277E4E4">
      <w:pPr>
        <w:snapToGrid w:val="0"/>
        <w:spacing w:line="50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3、国家相应的标准、规范。</w:t>
      </w:r>
    </w:p>
    <w:p w14:paraId="48FE8D2E">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第十三条  合同争议解决的方式</w:t>
      </w:r>
    </w:p>
    <w:p w14:paraId="2CBCA44D">
      <w:pPr>
        <w:snapToGrid w:val="0"/>
        <w:spacing w:line="500" w:lineRule="exact"/>
        <w:ind w:firstLine="420" w:firstLineChars="200"/>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本合同在履行过程中发生的争议，由甲、乙双方当事人协商解决；协商不成的，任意一方应向甲方住所地人民法院起诉。</w:t>
      </w:r>
    </w:p>
    <w:p w14:paraId="677FF679">
      <w:pPr>
        <w:snapToGrid w:val="0"/>
        <w:spacing w:line="500" w:lineRule="exact"/>
        <w:ind w:firstLine="422" w:firstLineChars="20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第十四条  其他事项</w:t>
      </w:r>
    </w:p>
    <w:p w14:paraId="5ACF92BC">
      <w:pPr>
        <w:numPr>
          <w:ilvl w:val="0"/>
          <w:numId w:val="0"/>
        </w:numPr>
        <w:tabs>
          <w:tab w:val="left" w:pos="540"/>
        </w:tabs>
        <w:snapToGrid w:val="0"/>
        <w:spacing w:line="500" w:lineRule="exact"/>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（一）</w:t>
      </w:r>
      <w:r>
        <w:rPr>
          <w:rFonts w:hint="eastAsia" w:ascii="宋体" w:hAnsi="宋体" w:eastAsia="宋体" w:cs="宋体"/>
          <w:color w:val="000000"/>
          <w:sz w:val="21"/>
          <w:szCs w:val="21"/>
          <w:highlight w:val="none"/>
        </w:rPr>
        <w:t>本合同经双方法定代表人或者委托代理人签字并加盖公章之日起生效。</w:t>
      </w:r>
    </w:p>
    <w:p w14:paraId="75F0987E">
      <w:pPr>
        <w:tabs>
          <w:tab w:val="left" w:pos="0"/>
        </w:tabs>
        <w:snapToGrid w:val="0"/>
        <w:spacing w:line="500" w:lineRule="exact"/>
        <w:ind w:left="0" w:leftChars="0"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（二）招标文件、投标文件、澄清表（函）、合同附件均成为合同不可分割的部分。</w:t>
      </w:r>
    </w:p>
    <w:p w14:paraId="118C1B4F">
      <w:pPr>
        <w:tabs>
          <w:tab w:val="left" w:pos="540"/>
          <w:tab w:val="left" w:pos="720"/>
        </w:tabs>
        <w:snapToGrid w:val="0"/>
        <w:spacing w:line="500" w:lineRule="exact"/>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（三）对本合同条款的任何变更、修改或增减，须经双方协商同意后签署补充协议，该补充协议作为本合同的组成部分并具有同等效力。</w:t>
      </w:r>
    </w:p>
    <w:p w14:paraId="771B6D74">
      <w:pPr>
        <w:tabs>
          <w:tab w:val="left" w:pos="540"/>
          <w:tab w:val="left" w:pos="720"/>
        </w:tabs>
        <w:snapToGrid w:val="0"/>
        <w:spacing w:line="500" w:lineRule="exact"/>
        <w:ind w:firstLine="420" w:firstLineChars="200"/>
        <w:jc w:val="left"/>
        <w:rPr>
          <w:rFonts w:hint="eastAsia" w:ascii="宋体" w:hAnsi="宋体" w:eastAsia="宋体" w:cs="宋体"/>
          <w:color w:val="000000"/>
          <w:sz w:val="21"/>
          <w:szCs w:val="21"/>
          <w:highlight w:val="none"/>
        </w:rPr>
      </w:pPr>
    </w:p>
    <w:p w14:paraId="3D1324C3">
      <w:pPr>
        <w:pStyle w:val="2"/>
        <w:rPr>
          <w:rFonts w:hint="eastAsia" w:ascii="宋体" w:hAnsi="宋体" w:eastAsia="宋体" w:cs="宋体"/>
          <w:color w:val="000000"/>
          <w:sz w:val="21"/>
          <w:szCs w:val="21"/>
          <w:highlight w:val="none"/>
        </w:rPr>
      </w:pPr>
    </w:p>
    <w:p w14:paraId="75B81C30">
      <w:pPr>
        <w:rPr>
          <w:rFonts w:hint="eastAsia" w:ascii="宋体" w:hAnsi="宋体" w:eastAsia="宋体" w:cs="宋体"/>
          <w:color w:val="000000"/>
          <w:sz w:val="21"/>
          <w:szCs w:val="21"/>
          <w:highlight w:val="none"/>
        </w:rPr>
      </w:pPr>
    </w:p>
    <w:p w14:paraId="1602B948">
      <w:pPr>
        <w:pStyle w:val="2"/>
        <w:rPr>
          <w:rFonts w:hint="eastAsia" w:ascii="宋体" w:hAnsi="宋体" w:eastAsia="宋体" w:cs="宋体"/>
          <w:sz w:val="21"/>
          <w:szCs w:val="21"/>
          <w:highlight w:val="none"/>
        </w:rPr>
      </w:pPr>
    </w:p>
    <w:p w14:paraId="073EA485">
      <w:pPr>
        <w:tabs>
          <w:tab w:val="left" w:pos="540"/>
          <w:tab w:val="left" w:pos="720"/>
        </w:tabs>
        <w:snapToGrid w:val="0"/>
        <w:spacing w:line="500" w:lineRule="exact"/>
        <w:ind w:firstLine="420" w:firstLineChars="200"/>
        <w:jc w:val="left"/>
        <w:rPr>
          <w:rFonts w:hint="eastAsia" w:ascii="宋体" w:hAnsi="宋体" w:eastAsia="宋体" w:cs="宋体"/>
          <w:color w:val="000000"/>
          <w:sz w:val="21"/>
          <w:szCs w:val="21"/>
          <w:highlight w:val="none"/>
        </w:rPr>
      </w:pPr>
    </w:p>
    <w:p w14:paraId="1E6FF685">
      <w:pPr>
        <w:widowControl/>
        <w:spacing w:line="240" w:lineRule="auto"/>
        <w:jc w:val="left"/>
        <w:rPr>
          <w:rFonts w:hint="eastAsia" w:ascii="宋体" w:hAnsi="宋体" w:eastAsia="宋体" w:cs="宋体"/>
          <w:color w:val="000000"/>
          <w:sz w:val="21"/>
          <w:szCs w:val="21"/>
          <w:highlight w:val="none"/>
        </w:rPr>
      </w:pPr>
    </w:p>
    <w:p w14:paraId="4C48F4A8">
      <w:pPr>
        <w:rPr>
          <w:rFonts w:hint="eastAsia" w:ascii="宋体" w:hAnsi="宋体" w:eastAsia="宋体" w:cs="宋体"/>
          <w:sz w:val="21"/>
          <w:szCs w:val="21"/>
          <w:highlight w:val="none"/>
        </w:rPr>
      </w:pPr>
    </w:p>
    <w:p w14:paraId="1ED4560E">
      <w:pPr>
        <w:snapToGrid w:val="0"/>
        <w:spacing w:line="360" w:lineRule="auto"/>
        <w:ind w:left="420" w:leftChars="0" w:firstLine="420" w:firstLineChars="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  方：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乙  方：                             </w:t>
      </w:r>
    </w:p>
    <w:p w14:paraId="13F2422A">
      <w:pPr>
        <w:snapToGrid w:val="0"/>
        <w:spacing w:line="360" w:lineRule="auto"/>
        <w:ind w:left="420" w:leftChars="0" w:firstLine="42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地  址：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地  址：  </w:t>
      </w:r>
    </w:p>
    <w:p w14:paraId="52A0CA9D">
      <w:pPr>
        <w:snapToGrid w:val="0"/>
        <w:spacing w:line="360" w:lineRule="auto"/>
        <w:ind w:left="420" w:leftChars="0" w:firstLine="42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法定代表人（委托代理人）：                 法定代表人（委托代理人）：</w:t>
      </w:r>
    </w:p>
    <w:p w14:paraId="1045434F">
      <w:pPr>
        <w:snapToGrid w:val="0"/>
        <w:spacing w:line="360" w:lineRule="auto"/>
        <w:ind w:left="420" w:leftChars="0" w:firstLine="42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盖章：                                    盖章：</w:t>
      </w:r>
    </w:p>
    <w:p w14:paraId="5668B47C">
      <w:pPr>
        <w:snapToGrid w:val="0"/>
        <w:spacing w:line="360" w:lineRule="auto"/>
        <w:ind w:left="420" w:leftChars="0" w:firstLine="42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联系电话：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联系人：         电 话：</w:t>
      </w:r>
    </w:p>
    <w:p w14:paraId="4A4D615C">
      <w:pPr>
        <w:snapToGrid w:val="0"/>
        <w:spacing w:line="360" w:lineRule="auto"/>
        <w:ind w:left="420" w:leftChars="0" w:firstLine="42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传   真：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开户行及账号：</w:t>
      </w:r>
    </w:p>
    <w:p w14:paraId="58B41BB0">
      <w:pPr>
        <w:widowControl/>
        <w:spacing w:line="360" w:lineRule="auto"/>
        <w:ind w:left="420" w:leftChars="0" w:firstLine="420" w:firstLineChars="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签订日期：                                签订日期：            </w:t>
      </w:r>
      <w:r>
        <w:rPr>
          <w:rFonts w:hint="eastAsia" w:ascii="宋体" w:hAnsi="宋体" w:eastAsia="宋体" w:cs="宋体"/>
          <w:color w:val="000000"/>
          <w:sz w:val="21"/>
          <w:szCs w:val="21"/>
          <w:highlight w:val="none"/>
        </w:rPr>
        <w:br w:type="page"/>
      </w:r>
    </w:p>
    <w:p w14:paraId="34E73CB4">
      <w:pPr>
        <w:snapToGrid w:val="0"/>
        <w:spacing w:line="360" w:lineRule="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附页：</w:t>
      </w:r>
    </w:p>
    <w:p w14:paraId="48E7BC0B">
      <w:pPr>
        <w:snapToGrid w:val="0"/>
        <w:spacing w:line="360" w:lineRule="auto"/>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设备配置清单</w:t>
      </w:r>
    </w:p>
    <w:p w14:paraId="1AF6EF73">
      <w:pPr>
        <w:rPr>
          <w:rFonts w:hint="eastAsia" w:ascii="宋体" w:hAnsi="宋体" w:eastAsia="宋体" w:cs="宋体"/>
          <w:sz w:val="21"/>
          <w:szCs w:val="21"/>
          <w:highlight w:val="none"/>
        </w:rPr>
      </w:pPr>
    </w:p>
    <w:p w14:paraId="104ADA47">
      <w:pPr>
        <w:spacing w:line="520" w:lineRule="exact"/>
        <w:ind w:firstLine="420" w:firstLineChars="200"/>
        <w:rPr>
          <w:rFonts w:hint="eastAsia" w:ascii="宋体" w:hAnsi="宋体" w:eastAsia="宋体" w:cs="宋体"/>
          <w:bCs/>
          <w:sz w:val="21"/>
          <w:szCs w:val="21"/>
          <w:highlight w:val="none"/>
          <w:lang w:eastAsia="zh-CN"/>
        </w:rPr>
      </w:pPr>
    </w:p>
    <w:p w14:paraId="37FB7B79">
      <w:pPr>
        <w:spacing w:line="520" w:lineRule="exact"/>
        <w:ind w:firstLine="420" w:firstLineChars="200"/>
        <w:rPr>
          <w:rFonts w:hint="eastAsia" w:ascii="宋体" w:hAnsi="宋体" w:eastAsia="宋体" w:cs="宋体"/>
          <w:bCs/>
          <w:sz w:val="21"/>
          <w:szCs w:val="21"/>
          <w:highlight w:val="none"/>
          <w:lang w:eastAsia="zh-CN"/>
        </w:rPr>
      </w:pPr>
    </w:p>
    <w:p w14:paraId="2FAE829E">
      <w:pPr>
        <w:pStyle w:val="6"/>
        <w:spacing w:line="360" w:lineRule="auto"/>
        <w:rPr>
          <w:rFonts w:hint="eastAsia" w:ascii="宋体" w:hAnsi="宋体" w:eastAsia="宋体" w:cs="宋体"/>
          <w:lang w:val="en-US" w:eastAsia="zh-Hans"/>
        </w:rPr>
      </w:pPr>
      <w:r>
        <w:rPr>
          <w:rFonts w:hint="eastAsia" w:ascii="宋体" w:hAnsi="宋体" w:eastAsia="宋体" w:cs="宋体"/>
        </w:rPr>
        <w:t xml:space="preserve"> </w:t>
      </w:r>
      <w:r>
        <w:rPr>
          <w:rFonts w:hint="eastAsia" w:ascii="宋体" w:hAnsi="宋体" w:eastAsia="宋体" w:cs="宋体"/>
        </w:rPr>
        <w:br w:type="textWrapping"/>
      </w:r>
    </w:p>
    <w:p w14:paraId="3CC7B5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BA68A">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30016A"/>
    <w:rsid w:val="78CC3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rPr>
  </w:style>
  <w:style w:type="paragraph" w:customStyle="1" w:styleId="5">
    <w:name w:val="正文缩进1"/>
    <w:basedOn w:val="1"/>
    <w:autoRedefine/>
    <w:qFormat/>
    <w:uiPriority w:val="0"/>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3915</Words>
  <Characters>3945</Characters>
  <Lines>0</Lines>
  <Paragraphs>0</Paragraphs>
  <TotalTime>0</TotalTime>
  <ScaleCrop>false</ScaleCrop>
  <LinksUpToDate>false</LinksUpToDate>
  <CharactersWithSpaces>4769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2025-08-07T02:24:00Z</dcterms:created>
  <dc:creator>Administrator</dc:creator>
  <cp:lastModifiedBy>MY WAY、</cp:lastModifiedBy>
  <dcterms:modified xsi:type="dcterms:W3CDTF">2025-08-07T08:43:23Z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eyJoZGlkIjoiZWI0N2NlOWFhMGFiZWNlMmFiMmFmZTM1YjFhMjU5MGQiLCJ1c2VySWQiOiI2MTg4NTQ0MzUifQ==</vt:lpwstr>
  </property>
  <property fmtid="{D5CDD505-2E9C-101B-9397-08002B2CF9AE}" pid="4" name="ICV">
    <vt:lpwstr>1EE9B740D7C34B648438D4AC293B26EB_12</vt:lpwstr>
  </property>
</Properties>
</file>