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DB321">
      <w:pPr>
        <w:kinsoku/>
        <w:wordWrap/>
        <w:overflowPunct/>
        <w:topLinePunct w:val="0"/>
        <w:bidi w:val="0"/>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拟签订合同文本</w:t>
      </w:r>
    </w:p>
    <w:p w14:paraId="0E0F08DD">
      <w:pPr>
        <w:pStyle w:val="4"/>
        <w:rPr>
          <w:rFonts w:hint="eastAsia" w:ascii="宋体" w:hAnsi="宋体" w:eastAsia="宋体" w:cs="宋体"/>
          <w:b/>
          <w:bCs/>
          <w:sz w:val="44"/>
          <w:szCs w:val="44"/>
          <w:lang w:eastAsia="zh-CN"/>
        </w:rPr>
      </w:pPr>
    </w:p>
    <w:p w14:paraId="557C3DB1">
      <w:pPr>
        <w:rPr>
          <w:rFonts w:hint="eastAsia" w:ascii="宋体" w:hAnsi="宋体" w:eastAsia="宋体" w:cs="宋体"/>
          <w:b/>
          <w:bCs/>
          <w:sz w:val="44"/>
          <w:szCs w:val="44"/>
          <w:lang w:eastAsia="zh-CN"/>
        </w:rPr>
      </w:pPr>
    </w:p>
    <w:p w14:paraId="7A6175F7">
      <w:pPr>
        <w:pStyle w:val="4"/>
        <w:rPr>
          <w:rFonts w:hint="eastAsia" w:ascii="宋体" w:hAnsi="宋体" w:eastAsia="宋体" w:cs="宋体"/>
          <w:b/>
          <w:bCs/>
          <w:sz w:val="44"/>
          <w:szCs w:val="44"/>
          <w:lang w:eastAsia="zh-CN"/>
        </w:rPr>
      </w:pPr>
    </w:p>
    <w:p w14:paraId="0E010B5B">
      <w:pPr>
        <w:rPr>
          <w:rFonts w:hint="eastAsia" w:ascii="宋体" w:hAnsi="宋体" w:eastAsia="宋体" w:cs="宋体"/>
          <w:b/>
          <w:bCs/>
          <w:sz w:val="44"/>
          <w:szCs w:val="44"/>
          <w:lang w:eastAsia="zh-CN"/>
        </w:rPr>
      </w:pPr>
    </w:p>
    <w:p w14:paraId="250B09BE">
      <w:pPr>
        <w:pStyle w:val="4"/>
        <w:rPr>
          <w:rFonts w:hint="eastAsia" w:ascii="宋体" w:hAnsi="宋体" w:eastAsia="宋体" w:cs="宋体"/>
          <w:b/>
          <w:bCs/>
          <w:sz w:val="44"/>
          <w:szCs w:val="44"/>
          <w:lang w:eastAsia="zh-CN"/>
        </w:rPr>
      </w:pPr>
    </w:p>
    <w:p w14:paraId="3466EFD9">
      <w:pPr>
        <w:rPr>
          <w:rFonts w:hint="eastAsia" w:ascii="宋体" w:hAnsi="宋体" w:eastAsia="宋体" w:cs="宋体"/>
          <w:b/>
          <w:bCs/>
          <w:sz w:val="44"/>
          <w:szCs w:val="44"/>
          <w:lang w:eastAsia="zh-CN"/>
        </w:rPr>
      </w:pPr>
    </w:p>
    <w:p w14:paraId="0D41319A">
      <w:pPr>
        <w:pStyle w:val="4"/>
        <w:rPr>
          <w:rFonts w:hint="eastAsia" w:ascii="宋体" w:hAnsi="宋体" w:eastAsia="宋体" w:cs="宋体"/>
          <w:b/>
          <w:bCs/>
          <w:sz w:val="44"/>
          <w:szCs w:val="44"/>
          <w:lang w:eastAsia="zh-CN"/>
        </w:rPr>
      </w:pPr>
    </w:p>
    <w:p w14:paraId="5240C862">
      <w:pPr>
        <w:rPr>
          <w:rFonts w:hint="eastAsia" w:ascii="宋体" w:hAnsi="宋体" w:eastAsia="宋体" w:cs="宋体"/>
          <w:b/>
          <w:bCs/>
          <w:sz w:val="44"/>
          <w:szCs w:val="44"/>
          <w:lang w:eastAsia="zh-CN"/>
        </w:rPr>
      </w:pPr>
    </w:p>
    <w:p w14:paraId="2B263F73">
      <w:pPr>
        <w:pStyle w:val="4"/>
        <w:rPr>
          <w:rFonts w:hint="eastAsia" w:ascii="宋体" w:hAnsi="宋体" w:eastAsia="宋体" w:cs="宋体"/>
          <w:b/>
          <w:bCs/>
          <w:sz w:val="44"/>
          <w:szCs w:val="44"/>
          <w:lang w:eastAsia="zh-CN"/>
        </w:rPr>
      </w:pPr>
    </w:p>
    <w:p w14:paraId="44790234">
      <w:pPr>
        <w:rPr>
          <w:rFonts w:hint="eastAsia" w:ascii="宋体" w:hAnsi="宋体" w:eastAsia="宋体" w:cs="宋体"/>
          <w:b/>
          <w:bCs/>
          <w:sz w:val="44"/>
          <w:szCs w:val="44"/>
          <w:lang w:eastAsia="zh-CN"/>
        </w:rPr>
      </w:pPr>
    </w:p>
    <w:p w14:paraId="7510D53F">
      <w:pPr>
        <w:pStyle w:val="4"/>
        <w:rPr>
          <w:rFonts w:hint="eastAsia" w:ascii="宋体" w:hAnsi="宋体" w:eastAsia="宋体" w:cs="宋体"/>
          <w:b/>
          <w:bCs/>
          <w:sz w:val="44"/>
          <w:szCs w:val="44"/>
          <w:lang w:eastAsia="zh-CN"/>
        </w:rPr>
      </w:pPr>
    </w:p>
    <w:p w14:paraId="6B412330">
      <w:pPr>
        <w:rPr>
          <w:rFonts w:hint="eastAsia" w:ascii="宋体" w:hAnsi="宋体" w:eastAsia="宋体" w:cs="宋体"/>
          <w:b/>
          <w:bCs/>
          <w:sz w:val="44"/>
          <w:szCs w:val="44"/>
          <w:lang w:eastAsia="zh-CN"/>
        </w:rPr>
      </w:pPr>
    </w:p>
    <w:p w14:paraId="07007FC5">
      <w:pPr>
        <w:pStyle w:val="4"/>
        <w:rPr>
          <w:rFonts w:hint="eastAsia" w:ascii="宋体" w:hAnsi="宋体" w:eastAsia="宋体" w:cs="宋体"/>
          <w:b/>
          <w:bCs/>
          <w:sz w:val="44"/>
          <w:szCs w:val="44"/>
          <w:lang w:eastAsia="zh-CN"/>
        </w:rPr>
      </w:pPr>
    </w:p>
    <w:p w14:paraId="6AD89196">
      <w:pPr>
        <w:rPr>
          <w:rFonts w:hint="eastAsia" w:ascii="宋体" w:hAnsi="宋体" w:eastAsia="宋体" w:cs="宋体"/>
          <w:b/>
          <w:bCs/>
          <w:sz w:val="44"/>
          <w:szCs w:val="44"/>
          <w:lang w:eastAsia="zh-CN"/>
        </w:rPr>
      </w:pPr>
    </w:p>
    <w:p w14:paraId="6618E1E1">
      <w:pPr>
        <w:pStyle w:val="4"/>
        <w:rPr>
          <w:rFonts w:hint="eastAsia" w:ascii="宋体" w:hAnsi="宋体" w:eastAsia="宋体" w:cs="宋体"/>
          <w:b/>
          <w:bCs/>
          <w:sz w:val="44"/>
          <w:szCs w:val="44"/>
          <w:lang w:eastAsia="zh-CN"/>
        </w:rPr>
      </w:pPr>
    </w:p>
    <w:p w14:paraId="3C528867">
      <w:pPr>
        <w:rPr>
          <w:rFonts w:hint="eastAsia" w:ascii="宋体" w:hAnsi="宋体" w:eastAsia="宋体" w:cs="宋体"/>
          <w:b/>
          <w:bCs/>
          <w:sz w:val="44"/>
          <w:szCs w:val="44"/>
          <w:lang w:eastAsia="zh-CN"/>
        </w:rPr>
      </w:pPr>
    </w:p>
    <w:p w14:paraId="7F83CC39">
      <w:pPr>
        <w:pStyle w:val="4"/>
        <w:rPr>
          <w:rFonts w:hint="eastAsia" w:ascii="宋体" w:hAnsi="宋体" w:eastAsia="宋体" w:cs="宋体"/>
          <w:b/>
          <w:bCs/>
          <w:sz w:val="44"/>
          <w:szCs w:val="44"/>
          <w:lang w:eastAsia="zh-CN"/>
        </w:rPr>
      </w:pPr>
    </w:p>
    <w:p w14:paraId="2137F902">
      <w:pPr>
        <w:rPr>
          <w:rFonts w:hint="eastAsia" w:ascii="宋体" w:hAnsi="宋体" w:eastAsia="宋体" w:cs="宋体"/>
          <w:b/>
          <w:bCs/>
          <w:sz w:val="44"/>
          <w:szCs w:val="44"/>
          <w:lang w:eastAsia="zh-CN"/>
        </w:rPr>
      </w:pPr>
    </w:p>
    <w:p w14:paraId="5AA5DA71">
      <w:pPr>
        <w:pStyle w:val="4"/>
        <w:rPr>
          <w:rFonts w:hint="eastAsia" w:ascii="宋体" w:hAnsi="宋体" w:eastAsia="宋体" w:cs="宋体"/>
          <w:b/>
          <w:bCs/>
          <w:sz w:val="44"/>
          <w:szCs w:val="44"/>
          <w:lang w:eastAsia="zh-CN"/>
        </w:rPr>
      </w:pPr>
    </w:p>
    <w:p w14:paraId="0DA05CD7">
      <w:pPr>
        <w:rPr>
          <w:rFonts w:hint="eastAsia" w:ascii="宋体" w:hAnsi="宋体" w:eastAsia="宋体" w:cs="宋体"/>
          <w:b/>
          <w:bCs/>
          <w:sz w:val="44"/>
          <w:szCs w:val="44"/>
          <w:lang w:eastAsia="zh-CN"/>
        </w:rPr>
      </w:pPr>
    </w:p>
    <w:p w14:paraId="0BD147DA">
      <w:pPr>
        <w:rPr>
          <w:rFonts w:hint="eastAsia" w:ascii="黑体" w:eastAsia="黑体"/>
          <w:b/>
          <w:sz w:val="32"/>
          <w:szCs w:val="32"/>
        </w:rPr>
      </w:pPr>
    </w:p>
    <w:p w14:paraId="4C0C7116">
      <w:pPr>
        <w:keepLines w:val="0"/>
        <w:pageBreakBefore w:val="0"/>
        <w:widowControl w:val="0"/>
        <w:kinsoku/>
        <w:overflowPunct/>
        <w:topLinePunct w:val="0"/>
        <w:autoSpaceDE/>
        <w:autoSpaceDN/>
        <w:bidi w:val="0"/>
        <w:adjustRightInd/>
        <w:snapToGrid/>
        <w:spacing w:line="360" w:lineRule="auto"/>
        <w:ind w:firstLine="422" w:firstLineChars="200"/>
        <w:textAlignment w:val="auto"/>
        <w:rPr>
          <w:rFonts w:hint="eastAsia" w:ascii="仿宋" w:hAnsi="仿宋" w:eastAsia="仿宋" w:cs="仿宋"/>
          <w:b/>
          <w:sz w:val="21"/>
          <w:szCs w:val="21"/>
        </w:rPr>
      </w:pPr>
    </w:p>
    <w:p w14:paraId="527F735B">
      <w:pPr>
        <w:pStyle w:val="2"/>
        <w:keepLines w:val="0"/>
        <w:pageBreakBefore w:val="0"/>
        <w:widowControl w:val="0"/>
        <w:kinsoku/>
        <w:overflowPunct/>
        <w:topLinePunct w:val="0"/>
        <w:autoSpaceDE/>
        <w:autoSpaceDN/>
        <w:bidi w:val="0"/>
        <w:adjustRightInd/>
        <w:snapToGrid/>
        <w:spacing w:before="0" w:beforeLines="0" w:after="0" w:afterLines="0" w:line="360" w:lineRule="auto"/>
        <w:ind w:firstLine="422" w:firstLineChars="200"/>
        <w:textAlignment w:val="auto"/>
        <w:rPr>
          <w:rFonts w:hint="eastAsia" w:ascii="仿宋" w:hAnsi="仿宋" w:eastAsia="仿宋" w:cs="仿宋"/>
          <w:b/>
          <w:bCs w:val="0"/>
          <w:color w:val="C00000"/>
          <w:sz w:val="21"/>
          <w:szCs w:val="21"/>
        </w:rPr>
      </w:pPr>
      <w:r>
        <w:rPr>
          <w:rFonts w:hint="eastAsia" w:ascii="仿宋" w:hAnsi="仿宋" w:eastAsia="仿宋" w:cs="仿宋"/>
          <w:b/>
          <w:bCs w:val="0"/>
          <w:sz w:val="21"/>
          <w:szCs w:val="21"/>
        </w:rPr>
        <w:t>合同草案条款</w:t>
      </w:r>
    </w:p>
    <w:p w14:paraId="44B02BD4">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bCs w:val="0"/>
          <w:color w:val="auto"/>
          <w:sz w:val="21"/>
          <w:szCs w:val="21"/>
        </w:rPr>
      </w:pPr>
      <w:r>
        <w:rPr>
          <w:rFonts w:hint="eastAsia" w:ascii="仿宋" w:hAnsi="仿宋" w:eastAsia="仿宋" w:cs="仿宋"/>
          <w:b/>
          <w:bCs w:val="0"/>
          <w:color w:val="auto"/>
          <w:sz w:val="21"/>
          <w:szCs w:val="21"/>
        </w:rPr>
        <w:t>甲方（采购人）：</w:t>
      </w:r>
      <w:r>
        <w:rPr>
          <w:rFonts w:hint="eastAsia" w:ascii="仿宋" w:hAnsi="仿宋" w:eastAsia="仿宋" w:cs="仿宋"/>
          <w:b/>
          <w:bCs w:val="0"/>
          <w:color w:val="auto"/>
          <w:sz w:val="21"/>
          <w:szCs w:val="21"/>
          <w:u w:val="single"/>
        </w:rPr>
        <w:t>西安市统计局</w:t>
      </w:r>
    </w:p>
    <w:p w14:paraId="28C38C6B">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bCs w:val="0"/>
          <w:color w:val="auto"/>
          <w:sz w:val="21"/>
          <w:szCs w:val="21"/>
        </w:rPr>
      </w:pPr>
      <w:r>
        <w:rPr>
          <w:rFonts w:hint="eastAsia" w:ascii="仿宋" w:hAnsi="仿宋" w:eastAsia="仿宋" w:cs="仿宋"/>
          <w:b/>
          <w:bCs w:val="0"/>
          <w:color w:val="auto"/>
          <w:sz w:val="21"/>
          <w:szCs w:val="21"/>
        </w:rPr>
        <w:t>乙方（成交供应商）：_________________</w:t>
      </w:r>
    </w:p>
    <w:p w14:paraId="13B139F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甲方所需货物，在市财政局政府采购管理处的监督管理下，按照政府采购程序组织</w:t>
      </w:r>
      <w:r>
        <w:rPr>
          <w:rFonts w:hint="eastAsia" w:ascii="仿宋" w:hAnsi="仿宋" w:eastAsia="仿宋" w:cs="仿宋"/>
          <w:sz w:val="21"/>
          <w:szCs w:val="21"/>
          <w:lang w:eastAsia="zh-CN"/>
        </w:rPr>
        <w:t>竞争性谈判</w:t>
      </w:r>
      <w:r>
        <w:rPr>
          <w:rFonts w:hint="eastAsia" w:ascii="仿宋" w:hAnsi="仿宋" w:eastAsia="仿宋" w:cs="仿宋"/>
          <w:sz w:val="21"/>
          <w:szCs w:val="21"/>
        </w:rPr>
        <w:t>，确定乙方为</w:t>
      </w:r>
      <w:r>
        <w:rPr>
          <w:rFonts w:hint="eastAsia" w:ascii="仿宋" w:hAnsi="仿宋" w:eastAsia="仿宋" w:cs="仿宋"/>
          <w:sz w:val="21"/>
          <w:szCs w:val="21"/>
          <w:lang w:eastAsia="zh-CN"/>
        </w:rPr>
        <w:t>成交</w:t>
      </w:r>
      <w:r>
        <w:rPr>
          <w:rFonts w:hint="eastAsia" w:ascii="仿宋" w:hAnsi="仿宋" w:eastAsia="仿宋" w:cs="仿宋"/>
          <w:sz w:val="21"/>
          <w:szCs w:val="21"/>
        </w:rPr>
        <w:t>供应商。依据《中华人民共和国政府采购法》、《中华人民共和国招标投标法》、《中华人民共和国民法典》以及</w:t>
      </w:r>
      <w:r>
        <w:rPr>
          <w:rFonts w:hint="eastAsia" w:ascii="仿宋" w:hAnsi="仿宋" w:eastAsia="仿宋" w:cs="仿宋"/>
          <w:sz w:val="21"/>
          <w:szCs w:val="21"/>
          <w:lang w:eastAsia="zh-CN"/>
        </w:rPr>
        <w:t>谈判</w:t>
      </w:r>
      <w:r>
        <w:rPr>
          <w:rFonts w:hint="eastAsia" w:ascii="仿宋" w:hAnsi="仿宋" w:eastAsia="仿宋" w:cs="仿宋"/>
          <w:sz w:val="21"/>
          <w:szCs w:val="21"/>
        </w:rPr>
        <w:t>文件、</w:t>
      </w:r>
      <w:r>
        <w:rPr>
          <w:rFonts w:hint="eastAsia" w:ascii="仿宋" w:hAnsi="仿宋" w:eastAsia="仿宋" w:cs="仿宋"/>
          <w:sz w:val="21"/>
          <w:szCs w:val="21"/>
          <w:lang w:eastAsia="zh-CN"/>
        </w:rPr>
        <w:t>成交</w:t>
      </w:r>
      <w:r>
        <w:rPr>
          <w:rFonts w:hint="eastAsia" w:ascii="仿宋" w:hAnsi="仿宋" w:eastAsia="仿宋" w:cs="仿宋"/>
          <w:sz w:val="21"/>
          <w:szCs w:val="21"/>
        </w:rPr>
        <w:t>供应商</w:t>
      </w:r>
      <w:r>
        <w:rPr>
          <w:rFonts w:hint="eastAsia" w:ascii="仿宋" w:hAnsi="仿宋" w:eastAsia="仿宋" w:cs="仿宋"/>
          <w:sz w:val="21"/>
          <w:szCs w:val="21"/>
          <w:lang w:eastAsia="zh-CN"/>
        </w:rPr>
        <w:t>响应</w:t>
      </w:r>
      <w:r>
        <w:rPr>
          <w:rFonts w:hint="eastAsia" w:ascii="仿宋" w:hAnsi="仿宋" w:eastAsia="仿宋" w:cs="仿宋"/>
          <w:sz w:val="21"/>
          <w:szCs w:val="21"/>
        </w:rPr>
        <w:t>文件、</w:t>
      </w:r>
      <w:r>
        <w:rPr>
          <w:rFonts w:hint="eastAsia" w:ascii="仿宋" w:hAnsi="仿宋" w:eastAsia="仿宋" w:cs="仿宋"/>
          <w:sz w:val="21"/>
          <w:szCs w:val="21"/>
          <w:lang w:eastAsia="zh-CN"/>
        </w:rPr>
        <w:t>成交</w:t>
      </w:r>
      <w:r>
        <w:rPr>
          <w:rFonts w:hint="eastAsia" w:ascii="仿宋" w:hAnsi="仿宋" w:eastAsia="仿宋" w:cs="仿宋"/>
          <w:sz w:val="21"/>
          <w:szCs w:val="21"/>
        </w:rPr>
        <w:t>通知书，经甲、乙双方协商，达成如下条款。</w:t>
      </w:r>
    </w:p>
    <w:p w14:paraId="79F0DC89">
      <w:pPr>
        <w:keepNext w:val="0"/>
        <w:keepLines w:val="0"/>
        <w:pageBreakBefore w:val="0"/>
        <w:widowControl w:val="0"/>
        <w:tabs>
          <w:tab w:val="left" w:pos="480"/>
        </w:tabs>
        <w:kinsoku/>
        <w:wordWrap/>
        <w:overflowPunct/>
        <w:topLinePunct w:val="0"/>
        <w:autoSpaceDE/>
        <w:autoSpaceDN/>
        <w:bidi w:val="0"/>
        <w:adjustRightInd/>
        <w:spacing w:line="360" w:lineRule="auto"/>
        <w:ind w:left="0" w:leftChars="0"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一、合同标的物内容及数量</w:t>
      </w:r>
    </w:p>
    <w:tbl>
      <w:tblPr>
        <w:tblStyle w:val="8"/>
        <w:tblW w:w="98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34"/>
        <w:gridCol w:w="1559"/>
        <w:gridCol w:w="1559"/>
        <w:gridCol w:w="851"/>
        <w:gridCol w:w="992"/>
        <w:gridCol w:w="825"/>
        <w:gridCol w:w="825"/>
      </w:tblGrid>
      <w:tr w14:paraId="518755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04" w:type="dxa"/>
            <w:tcBorders>
              <w:top w:val="single" w:color="auto" w:sz="12" w:space="0"/>
              <w:left w:val="single" w:color="auto" w:sz="12" w:space="0"/>
              <w:bottom w:val="single" w:color="auto" w:sz="4" w:space="0"/>
              <w:right w:val="single" w:color="auto" w:sz="4" w:space="0"/>
            </w:tcBorders>
            <w:noWrap w:val="0"/>
            <w:vAlign w:val="center"/>
          </w:tcPr>
          <w:p w14:paraId="7720E98D">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仿宋" w:hAnsi="仿宋" w:eastAsia="仿宋" w:cs="仿宋"/>
                <w:sz w:val="21"/>
                <w:szCs w:val="21"/>
              </w:rPr>
            </w:pPr>
            <w:r>
              <w:rPr>
                <w:rFonts w:hint="eastAsia" w:ascii="仿宋" w:hAnsi="仿宋" w:eastAsia="仿宋" w:cs="仿宋"/>
                <w:sz w:val="21"/>
                <w:szCs w:val="21"/>
              </w:rPr>
              <w:t>序号</w:t>
            </w:r>
          </w:p>
        </w:tc>
        <w:tc>
          <w:tcPr>
            <w:tcW w:w="2534" w:type="dxa"/>
            <w:tcBorders>
              <w:top w:val="single" w:color="auto" w:sz="12" w:space="0"/>
              <w:left w:val="single" w:color="auto" w:sz="4" w:space="0"/>
              <w:bottom w:val="single" w:color="auto" w:sz="4" w:space="0"/>
              <w:right w:val="single" w:color="auto" w:sz="4" w:space="0"/>
            </w:tcBorders>
            <w:noWrap w:val="0"/>
            <w:vAlign w:val="center"/>
          </w:tcPr>
          <w:p w14:paraId="67BA22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r>
              <w:rPr>
                <w:rFonts w:hint="eastAsia" w:ascii="仿宋" w:hAnsi="仿宋" w:eastAsia="仿宋" w:cs="仿宋"/>
                <w:sz w:val="21"/>
                <w:szCs w:val="21"/>
              </w:rPr>
              <w:t>货物名称</w:t>
            </w:r>
          </w:p>
        </w:tc>
        <w:tc>
          <w:tcPr>
            <w:tcW w:w="1559" w:type="dxa"/>
            <w:tcBorders>
              <w:top w:val="single" w:color="auto" w:sz="12" w:space="0"/>
              <w:left w:val="single" w:color="auto" w:sz="4" w:space="0"/>
              <w:bottom w:val="single" w:color="auto" w:sz="4" w:space="0"/>
              <w:right w:val="single" w:color="auto" w:sz="4" w:space="0"/>
            </w:tcBorders>
            <w:noWrap w:val="0"/>
            <w:vAlign w:val="center"/>
          </w:tcPr>
          <w:p w14:paraId="6AAD1EE9">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仿宋" w:hAnsi="仿宋" w:eastAsia="仿宋" w:cs="仿宋"/>
                <w:sz w:val="21"/>
                <w:szCs w:val="21"/>
              </w:rPr>
            </w:pPr>
            <w:r>
              <w:rPr>
                <w:rFonts w:hint="eastAsia" w:ascii="仿宋" w:hAnsi="仿宋" w:eastAsia="仿宋" w:cs="仿宋"/>
                <w:sz w:val="21"/>
                <w:szCs w:val="21"/>
              </w:rPr>
              <w:t>原产地及厂商名称（品牌）</w:t>
            </w:r>
          </w:p>
        </w:tc>
        <w:tc>
          <w:tcPr>
            <w:tcW w:w="1559" w:type="dxa"/>
            <w:tcBorders>
              <w:top w:val="single" w:color="auto" w:sz="12" w:space="0"/>
              <w:left w:val="single" w:color="auto" w:sz="4" w:space="0"/>
              <w:bottom w:val="single" w:color="auto" w:sz="4" w:space="0"/>
              <w:right w:val="single" w:color="auto" w:sz="4" w:space="0"/>
            </w:tcBorders>
            <w:noWrap w:val="0"/>
            <w:vAlign w:val="center"/>
          </w:tcPr>
          <w:p w14:paraId="6E2FA0D3">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仿宋" w:hAnsi="仿宋" w:eastAsia="仿宋" w:cs="仿宋"/>
                <w:sz w:val="21"/>
                <w:szCs w:val="21"/>
              </w:rPr>
            </w:pPr>
            <w:r>
              <w:rPr>
                <w:rFonts w:hint="eastAsia" w:ascii="仿宋" w:hAnsi="仿宋" w:eastAsia="仿宋" w:cs="仿宋"/>
                <w:sz w:val="21"/>
                <w:szCs w:val="21"/>
              </w:rPr>
              <w:t>规格型号</w:t>
            </w:r>
          </w:p>
        </w:tc>
        <w:tc>
          <w:tcPr>
            <w:tcW w:w="851" w:type="dxa"/>
            <w:tcBorders>
              <w:top w:val="single" w:color="auto" w:sz="12" w:space="0"/>
              <w:left w:val="single" w:color="auto" w:sz="4" w:space="0"/>
              <w:bottom w:val="single" w:color="auto" w:sz="4" w:space="0"/>
              <w:right w:val="single" w:color="auto" w:sz="4" w:space="0"/>
            </w:tcBorders>
            <w:noWrap w:val="0"/>
            <w:vAlign w:val="center"/>
          </w:tcPr>
          <w:p w14:paraId="2409E21D">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仿宋" w:hAnsi="仿宋" w:eastAsia="仿宋" w:cs="仿宋"/>
                <w:sz w:val="21"/>
                <w:szCs w:val="21"/>
              </w:rPr>
            </w:pPr>
            <w:r>
              <w:rPr>
                <w:rFonts w:hint="eastAsia" w:ascii="仿宋" w:hAnsi="仿宋" w:eastAsia="仿宋" w:cs="仿宋"/>
                <w:sz w:val="21"/>
                <w:szCs w:val="21"/>
              </w:rPr>
              <w:t>单位</w:t>
            </w:r>
          </w:p>
        </w:tc>
        <w:tc>
          <w:tcPr>
            <w:tcW w:w="992" w:type="dxa"/>
            <w:tcBorders>
              <w:top w:val="single" w:color="auto" w:sz="12" w:space="0"/>
              <w:left w:val="single" w:color="auto" w:sz="4" w:space="0"/>
              <w:bottom w:val="single" w:color="auto" w:sz="4" w:space="0"/>
              <w:right w:val="single" w:color="auto" w:sz="4" w:space="0"/>
            </w:tcBorders>
            <w:noWrap w:val="0"/>
            <w:vAlign w:val="center"/>
          </w:tcPr>
          <w:p w14:paraId="6C1225F9">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仿宋" w:hAnsi="仿宋" w:eastAsia="仿宋" w:cs="仿宋"/>
                <w:sz w:val="21"/>
                <w:szCs w:val="21"/>
              </w:rPr>
            </w:pPr>
            <w:r>
              <w:rPr>
                <w:rFonts w:hint="eastAsia" w:ascii="仿宋" w:hAnsi="仿宋" w:eastAsia="仿宋" w:cs="仿宋"/>
                <w:sz w:val="21"/>
                <w:szCs w:val="21"/>
              </w:rPr>
              <w:t>单价</w:t>
            </w:r>
          </w:p>
        </w:tc>
        <w:tc>
          <w:tcPr>
            <w:tcW w:w="825" w:type="dxa"/>
            <w:tcBorders>
              <w:top w:val="single" w:color="auto" w:sz="12" w:space="0"/>
              <w:left w:val="single" w:color="auto" w:sz="4" w:space="0"/>
              <w:bottom w:val="single" w:color="auto" w:sz="4" w:space="0"/>
              <w:right w:val="single" w:color="auto" w:sz="4" w:space="0"/>
            </w:tcBorders>
            <w:noWrap w:val="0"/>
            <w:vAlign w:val="center"/>
          </w:tcPr>
          <w:p w14:paraId="66A0F665">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仿宋" w:hAnsi="仿宋" w:eastAsia="仿宋" w:cs="仿宋"/>
                <w:sz w:val="21"/>
                <w:szCs w:val="21"/>
              </w:rPr>
            </w:pPr>
            <w:r>
              <w:rPr>
                <w:rFonts w:hint="eastAsia" w:ascii="仿宋" w:hAnsi="仿宋" w:eastAsia="仿宋" w:cs="仿宋"/>
                <w:sz w:val="21"/>
                <w:szCs w:val="21"/>
              </w:rPr>
              <w:t>数量</w:t>
            </w:r>
          </w:p>
        </w:tc>
        <w:tc>
          <w:tcPr>
            <w:tcW w:w="825" w:type="dxa"/>
            <w:tcBorders>
              <w:top w:val="single" w:color="auto" w:sz="12" w:space="0"/>
              <w:left w:val="single" w:color="auto" w:sz="4" w:space="0"/>
              <w:bottom w:val="single" w:color="auto" w:sz="4" w:space="0"/>
              <w:right w:val="single" w:color="auto" w:sz="12" w:space="0"/>
            </w:tcBorders>
            <w:noWrap w:val="0"/>
            <w:vAlign w:val="center"/>
          </w:tcPr>
          <w:p w14:paraId="208D1573">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仿宋" w:hAnsi="仿宋" w:eastAsia="仿宋" w:cs="仿宋"/>
                <w:sz w:val="21"/>
                <w:szCs w:val="21"/>
              </w:rPr>
            </w:pPr>
            <w:r>
              <w:rPr>
                <w:rFonts w:hint="eastAsia" w:ascii="仿宋" w:hAnsi="仿宋" w:eastAsia="仿宋" w:cs="仿宋"/>
                <w:sz w:val="21"/>
                <w:szCs w:val="21"/>
              </w:rPr>
              <w:t>备注</w:t>
            </w:r>
          </w:p>
        </w:tc>
      </w:tr>
      <w:tr w14:paraId="1EC850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04" w:type="dxa"/>
            <w:tcBorders>
              <w:top w:val="single" w:color="auto" w:sz="4" w:space="0"/>
              <w:left w:val="single" w:color="auto" w:sz="12" w:space="0"/>
              <w:bottom w:val="single" w:color="auto" w:sz="4" w:space="0"/>
              <w:right w:val="single" w:color="auto" w:sz="4" w:space="0"/>
            </w:tcBorders>
            <w:noWrap w:val="0"/>
            <w:vAlign w:val="center"/>
          </w:tcPr>
          <w:p w14:paraId="7674091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c>
          <w:tcPr>
            <w:tcW w:w="2534" w:type="dxa"/>
            <w:tcBorders>
              <w:top w:val="single" w:color="auto" w:sz="4" w:space="0"/>
              <w:left w:val="single" w:color="auto" w:sz="4" w:space="0"/>
              <w:bottom w:val="single" w:color="auto" w:sz="4" w:space="0"/>
              <w:right w:val="single" w:color="auto" w:sz="4" w:space="0"/>
            </w:tcBorders>
            <w:noWrap w:val="0"/>
            <w:vAlign w:val="center"/>
          </w:tcPr>
          <w:p w14:paraId="3556C37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2621FA2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2881494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B5029F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1D9E7F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left"/>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top"/>
          </w:tcPr>
          <w:p w14:paraId="583559C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12" w:space="0"/>
            </w:tcBorders>
            <w:noWrap w:val="0"/>
            <w:vAlign w:val="center"/>
          </w:tcPr>
          <w:p w14:paraId="195A408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r>
      <w:tr w14:paraId="7CABFC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04" w:type="dxa"/>
            <w:tcBorders>
              <w:top w:val="single" w:color="auto" w:sz="4" w:space="0"/>
              <w:left w:val="single" w:color="auto" w:sz="12" w:space="0"/>
              <w:bottom w:val="single" w:color="auto" w:sz="4" w:space="0"/>
              <w:right w:val="single" w:color="auto" w:sz="4" w:space="0"/>
            </w:tcBorders>
            <w:noWrap w:val="0"/>
            <w:vAlign w:val="center"/>
          </w:tcPr>
          <w:p w14:paraId="200B87A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534" w:type="dxa"/>
            <w:tcBorders>
              <w:top w:val="single" w:color="auto" w:sz="4" w:space="0"/>
              <w:left w:val="single" w:color="auto" w:sz="4" w:space="0"/>
              <w:bottom w:val="single" w:color="auto" w:sz="4" w:space="0"/>
              <w:right w:val="single" w:color="auto" w:sz="4" w:space="0"/>
            </w:tcBorders>
            <w:noWrap w:val="0"/>
            <w:vAlign w:val="center"/>
          </w:tcPr>
          <w:p w14:paraId="7FC785A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609D136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0FBC058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96C879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352387D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top"/>
          </w:tcPr>
          <w:p w14:paraId="7E8769B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12" w:space="0"/>
            </w:tcBorders>
            <w:noWrap w:val="0"/>
            <w:vAlign w:val="center"/>
          </w:tcPr>
          <w:p w14:paraId="7E05086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r>
      <w:tr w14:paraId="1C7512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04" w:type="dxa"/>
            <w:tcBorders>
              <w:top w:val="single" w:color="auto" w:sz="4" w:space="0"/>
              <w:left w:val="single" w:color="auto" w:sz="12" w:space="0"/>
              <w:bottom w:val="single" w:color="auto" w:sz="4" w:space="0"/>
              <w:right w:val="single" w:color="auto" w:sz="4" w:space="0"/>
            </w:tcBorders>
            <w:noWrap w:val="0"/>
            <w:vAlign w:val="center"/>
          </w:tcPr>
          <w:p w14:paraId="026F2D4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534" w:type="dxa"/>
            <w:tcBorders>
              <w:top w:val="single" w:color="auto" w:sz="4" w:space="0"/>
              <w:left w:val="single" w:color="auto" w:sz="4" w:space="0"/>
              <w:bottom w:val="single" w:color="auto" w:sz="4" w:space="0"/>
              <w:right w:val="single" w:color="auto" w:sz="4" w:space="0"/>
            </w:tcBorders>
            <w:noWrap w:val="0"/>
            <w:vAlign w:val="center"/>
          </w:tcPr>
          <w:p w14:paraId="3B1ACE5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73D54E0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35B4739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7DE70D8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743169F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top"/>
          </w:tcPr>
          <w:p w14:paraId="5846CB4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12" w:space="0"/>
            </w:tcBorders>
            <w:noWrap w:val="0"/>
            <w:vAlign w:val="center"/>
          </w:tcPr>
          <w:p w14:paraId="4DAAB17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r>
      <w:tr w14:paraId="4AB009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04" w:type="dxa"/>
            <w:tcBorders>
              <w:top w:val="single" w:color="auto" w:sz="4" w:space="0"/>
              <w:left w:val="single" w:color="auto" w:sz="12" w:space="0"/>
              <w:bottom w:val="single" w:color="auto" w:sz="4" w:space="0"/>
              <w:right w:val="single" w:color="auto" w:sz="4" w:space="0"/>
            </w:tcBorders>
            <w:noWrap w:val="0"/>
            <w:vAlign w:val="center"/>
          </w:tcPr>
          <w:p w14:paraId="5FC4231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w:t>
            </w:r>
          </w:p>
        </w:tc>
        <w:tc>
          <w:tcPr>
            <w:tcW w:w="2534" w:type="dxa"/>
            <w:tcBorders>
              <w:top w:val="single" w:color="auto" w:sz="4" w:space="0"/>
              <w:left w:val="single" w:color="auto" w:sz="4" w:space="0"/>
              <w:bottom w:val="single" w:color="auto" w:sz="4" w:space="0"/>
              <w:right w:val="single" w:color="auto" w:sz="4" w:space="0"/>
            </w:tcBorders>
            <w:noWrap w:val="0"/>
            <w:vAlign w:val="center"/>
          </w:tcPr>
          <w:p w14:paraId="1CF5AD3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09589D1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14:paraId="279CF1F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322BA8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5218EB8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top"/>
          </w:tcPr>
          <w:p w14:paraId="79D0513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c>
          <w:tcPr>
            <w:tcW w:w="825" w:type="dxa"/>
            <w:tcBorders>
              <w:top w:val="single" w:color="auto" w:sz="4" w:space="0"/>
              <w:left w:val="single" w:color="auto" w:sz="4" w:space="0"/>
              <w:bottom w:val="single" w:color="auto" w:sz="4" w:space="0"/>
              <w:right w:val="single" w:color="auto" w:sz="12" w:space="0"/>
            </w:tcBorders>
            <w:noWrap w:val="0"/>
            <w:vAlign w:val="center"/>
          </w:tcPr>
          <w:p w14:paraId="1340DF1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jc w:val="center"/>
              <w:textAlignment w:val="auto"/>
              <w:rPr>
                <w:rFonts w:hint="eastAsia" w:ascii="仿宋" w:hAnsi="仿宋" w:eastAsia="仿宋" w:cs="仿宋"/>
                <w:sz w:val="21"/>
                <w:szCs w:val="21"/>
              </w:rPr>
            </w:pPr>
          </w:p>
        </w:tc>
      </w:tr>
    </w:tbl>
    <w:p w14:paraId="43D4BA09">
      <w:pPr>
        <w:keepNext w:val="0"/>
        <w:keepLines w:val="0"/>
        <w:pageBreakBefore w:val="0"/>
        <w:widowControl w:val="0"/>
        <w:tabs>
          <w:tab w:val="left" w:pos="480"/>
        </w:tabs>
        <w:kinsoku/>
        <w:wordWrap/>
        <w:overflowPunct/>
        <w:topLinePunct w:val="0"/>
        <w:autoSpaceDE/>
        <w:autoSpaceDN/>
        <w:bidi w:val="0"/>
        <w:adjustRightInd/>
        <w:spacing w:line="360" w:lineRule="auto"/>
        <w:ind w:left="0" w:leftChars="0" w:firstLine="422" w:firstLineChars="200"/>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二、合同期限</w:t>
      </w:r>
    </w:p>
    <w:p w14:paraId="6587F6A3">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交货</w:t>
      </w:r>
      <w:r>
        <w:rPr>
          <w:rFonts w:hint="eastAsia" w:ascii="仿宋" w:hAnsi="仿宋" w:eastAsia="仿宋" w:cs="仿宋"/>
          <w:sz w:val="21"/>
          <w:szCs w:val="21"/>
        </w:rPr>
        <w:t>期：</w:t>
      </w:r>
      <w:r>
        <w:rPr>
          <w:rFonts w:hint="eastAsia" w:ascii="仿宋" w:hAnsi="仿宋" w:eastAsia="仿宋" w:cs="仿宋"/>
          <w:sz w:val="21"/>
          <w:szCs w:val="21"/>
          <w:lang w:eastAsia="zh-CN"/>
        </w:rPr>
        <w:t>合同签订之日起</w:t>
      </w:r>
      <w:r>
        <w:rPr>
          <w:rFonts w:hint="eastAsia" w:ascii="仿宋" w:hAnsi="仿宋" w:eastAsia="仿宋" w:cs="仿宋"/>
          <w:sz w:val="21"/>
          <w:szCs w:val="21"/>
          <w:lang w:val="en-US" w:eastAsia="zh-CN"/>
        </w:rPr>
        <w:t>15个工作日内</w:t>
      </w:r>
      <w:r>
        <w:rPr>
          <w:rFonts w:hint="eastAsia" w:ascii="仿宋" w:hAnsi="仿宋" w:eastAsia="仿宋" w:cs="仿宋"/>
          <w:sz w:val="21"/>
          <w:szCs w:val="21"/>
        </w:rPr>
        <w:t>。</w:t>
      </w:r>
    </w:p>
    <w:p w14:paraId="2ECDD14D">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sz w:val="21"/>
          <w:szCs w:val="21"/>
        </w:rPr>
      </w:pPr>
      <w:r>
        <w:rPr>
          <w:rFonts w:hint="eastAsia" w:ascii="仿宋" w:hAnsi="仿宋" w:eastAsia="仿宋" w:cs="仿宋"/>
          <w:b/>
          <w:sz w:val="21"/>
          <w:szCs w:val="21"/>
          <w:lang w:val="en-US" w:eastAsia="zh-CN"/>
        </w:rPr>
        <w:t>（2）</w:t>
      </w:r>
      <w:r>
        <w:rPr>
          <w:rFonts w:hint="eastAsia" w:ascii="仿宋" w:hAnsi="仿宋" w:eastAsia="仿宋" w:cs="仿宋"/>
          <w:sz w:val="21"/>
          <w:szCs w:val="21"/>
          <w:lang w:eastAsia="zh-CN"/>
        </w:rPr>
        <w:t>交货</w:t>
      </w:r>
      <w:r>
        <w:rPr>
          <w:rFonts w:hint="eastAsia" w:ascii="仿宋" w:hAnsi="仿宋" w:eastAsia="仿宋" w:cs="仿宋"/>
          <w:sz w:val="21"/>
          <w:szCs w:val="21"/>
        </w:rPr>
        <w:t>地点：</w:t>
      </w:r>
      <w:r>
        <w:rPr>
          <w:rFonts w:hint="eastAsia" w:ascii="仿宋_GB2312" w:hAnsi="仿宋_GB2312" w:eastAsia="仿宋_GB2312" w:cs="仿宋_GB2312"/>
          <w:color w:val="auto"/>
          <w:sz w:val="20"/>
          <w:szCs w:val="20"/>
          <w:u w:val="none"/>
          <w:shd w:val="clear"/>
          <w:lang w:val="en-US" w:eastAsia="zh-CN"/>
        </w:rPr>
        <w:t>按甲方所列的送货清单，配送至各指定区县</w:t>
      </w:r>
      <w:r>
        <w:rPr>
          <w:rFonts w:hint="eastAsia" w:ascii="仿宋" w:hAnsi="仿宋" w:eastAsia="仿宋" w:cs="仿宋"/>
          <w:sz w:val="21"/>
          <w:szCs w:val="21"/>
        </w:rPr>
        <w:t>。</w:t>
      </w:r>
    </w:p>
    <w:p w14:paraId="17AF79F3">
      <w:pPr>
        <w:keepLines w:val="0"/>
        <w:pageBreakBefore w:val="0"/>
        <w:widowControl w:val="0"/>
        <w:kinsoku/>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lang w:eastAsia="zh-CN"/>
        </w:rPr>
        <w:t>交货</w:t>
      </w:r>
      <w:r>
        <w:rPr>
          <w:rFonts w:hint="eastAsia" w:ascii="仿宋" w:hAnsi="仿宋" w:eastAsia="仿宋" w:cs="仿宋"/>
          <w:sz w:val="21"/>
          <w:szCs w:val="21"/>
        </w:rPr>
        <w:t>内容：见本项目</w:t>
      </w:r>
      <w:r>
        <w:rPr>
          <w:rFonts w:hint="eastAsia" w:ascii="仿宋" w:hAnsi="仿宋" w:eastAsia="仿宋" w:cs="仿宋"/>
          <w:sz w:val="21"/>
          <w:szCs w:val="21"/>
          <w:lang w:eastAsia="zh-CN"/>
        </w:rPr>
        <w:t>谈判</w:t>
      </w:r>
      <w:r>
        <w:rPr>
          <w:rFonts w:hint="eastAsia" w:ascii="仿宋" w:hAnsi="仿宋" w:eastAsia="仿宋" w:cs="仿宋"/>
          <w:sz w:val="21"/>
          <w:szCs w:val="21"/>
        </w:rPr>
        <w:t>文件</w:t>
      </w:r>
    </w:p>
    <w:p w14:paraId="1FC2B237">
      <w:pPr>
        <w:keepLines w:val="0"/>
        <w:pageBreakBefore w:val="0"/>
        <w:widowControl w:val="0"/>
        <w:kinsoku/>
        <w:overflowPunct/>
        <w:topLinePunct w:val="0"/>
        <w:autoSpaceDE/>
        <w:autoSpaceDN/>
        <w:bidi w:val="0"/>
        <w:adjustRightInd/>
        <w:snapToGrid/>
        <w:spacing w:line="360" w:lineRule="auto"/>
        <w:ind w:firstLine="420" w:firstLineChars="200"/>
        <w:textAlignment w:val="auto"/>
        <w:rPr>
          <w:rFonts w:hint="eastAsia" w:ascii="仿宋" w:hAnsi="仿宋" w:eastAsia="仿宋" w:cs="仿宋"/>
          <w:b/>
          <w:spacing w:val="-20"/>
          <w:kern w:val="0"/>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lang w:eastAsia="zh-CN"/>
        </w:rPr>
        <w:t>质保</w:t>
      </w:r>
      <w:r>
        <w:rPr>
          <w:rFonts w:hint="eastAsia" w:ascii="仿宋" w:hAnsi="仿宋" w:eastAsia="仿宋" w:cs="仿宋"/>
          <w:sz w:val="21"/>
          <w:szCs w:val="21"/>
        </w:rPr>
        <w:t>期：</w:t>
      </w:r>
      <w:r>
        <w:rPr>
          <w:rFonts w:hint="eastAsia" w:ascii="仿宋_GB2312" w:hAnsi="仿宋_GB2312" w:eastAsia="仿宋_GB2312" w:cs="仿宋_GB2312"/>
          <w:lang w:val="en-US" w:eastAsia="zh-CN"/>
        </w:rPr>
        <w:t>自产品验收合格</w:t>
      </w:r>
      <w:bookmarkStart w:id="0" w:name="_GoBack"/>
      <w:bookmarkEnd w:id="0"/>
      <w:r>
        <w:rPr>
          <w:rFonts w:hint="eastAsia" w:ascii="仿宋_GB2312" w:hAnsi="仿宋_GB2312" w:eastAsia="仿宋_GB2312" w:cs="仿宋_GB2312"/>
          <w:lang w:val="en-US" w:eastAsia="zh-CN"/>
        </w:rPr>
        <w:t>后一年。</w:t>
      </w:r>
    </w:p>
    <w:p w14:paraId="0B8585FB">
      <w:pPr>
        <w:keepNext w:val="0"/>
        <w:keepLines w:val="0"/>
        <w:pageBreakBefore w:val="0"/>
        <w:widowControl w:val="0"/>
        <w:tabs>
          <w:tab w:val="left" w:pos="480"/>
        </w:tabs>
        <w:kinsoku/>
        <w:wordWrap/>
        <w:overflowPunct/>
        <w:topLinePunct w:val="0"/>
        <w:autoSpaceDE/>
        <w:autoSpaceDN/>
        <w:bidi w:val="0"/>
        <w:adjustRightInd/>
        <w:spacing w:line="360" w:lineRule="auto"/>
        <w:ind w:left="0" w:leftChars="0" w:firstLine="422" w:firstLineChars="200"/>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三、合同价款</w:t>
      </w:r>
    </w:p>
    <w:p w14:paraId="5558FB3D">
      <w:pPr>
        <w:keepNext w:val="0"/>
        <w:keepLines w:val="0"/>
        <w:pageBreakBefore w:val="0"/>
        <w:widowControl w:val="0"/>
        <w:tabs>
          <w:tab w:val="left" w:pos="480"/>
        </w:tabs>
        <w:kinsoku/>
        <w:wordWrap/>
        <w:overflowPunct/>
        <w:topLinePunct w:val="0"/>
        <w:autoSpaceDE/>
        <w:autoSpaceDN/>
        <w:bidi w:val="0"/>
        <w:adjustRightInd/>
        <w:spacing w:line="360" w:lineRule="auto"/>
        <w:ind w:left="0" w:leftChars="0" w:firstLine="400" w:firstLineChars="200"/>
        <w:textAlignment w:val="auto"/>
        <w:rPr>
          <w:rFonts w:hint="eastAsia" w:ascii="仿宋_GB2312" w:hAnsi="仿宋_GB2312" w:eastAsia="仿宋_GB2312" w:cs="仿宋_GB2312"/>
          <w:color w:val="auto"/>
          <w:sz w:val="20"/>
          <w:szCs w:val="20"/>
          <w:highlight w:val="none"/>
          <w:u w:val="none"/>
          <w:shd w:val="clear"/>
          <w:lang w:val="en-US" w:eastAsia="zh-CN"/>
        </w:rPr>
      </w:pPr>
      <w:r>
        <w:rPr>
          <w:rFonts w:hint="eastAsia" w:ascii="仿宋_GB2312" w:hAnsi="仿宋_GB2312" w:eastAsia="仿宋_GB2312" w:cs="仿宋_GB2312"/>
          <w:color w:val="auto"/>
          <w:sz w:val="20"/>
          <w:szCs w:val="20"/>
          <w:highlight w:val="none"/>
          <w:u w:val="none"/>
          <w:shd w:val="clear"/>
          <w:lang w:val="en-US" w:eastAsia="zh-CN"/>
        </w:rPr>
        <w:t>（1）本项目为固定单价合同，按实际送货数量，以中标单价据实结算，最终结算金额不超过预算价），</w:t>
      </w:r>
      <w:r>
        <w:rPr>
          <w:rFonts w:hint="eastAsia" w:ascii="仿宋" w:hAnsi="仿宋" w:eastAsia="仿宋" w:cs="仿宋"/>
          <w:color w:val="000000"/>
          <w:sz w:val="21"/>
          <w:szCs w:val="21"/>
          <w:highlight w:val="none"/>
        </w:rPr>
        <w:t>货物单价不得因市场因素上浮，如因市场因素导致货物单价下降，双方需协商重新议价。</w:t>
      </w:r>
      <w:r>
        <w:rPr>
          <w:rFonts w:hint="eastAsia" w:ascii="仿宋" w:hAnsi="仿宋" w:eastAsia="仿宋" w:cs="仿宋"/>
          <w:sz w:val="21"/>
          <w:szCs w:val="21"/>
          <w:highlight w:val="none"/>
        </w:rPr>
        <w:t xml:space="preserve">    </w:t>
      </w:r>
    </w:p>
    <w:p w14:paraId="0708CDD5">
      <w:pPr>
        <w:keepNext w:val="0"/>
        <w:keepLines w:val="0"/>
        <w:pageBreakBefore w:val="0"/>
        <w:widowControl w:val="0"/>
        <w:tabs>
          <w:tab w:val="left" w:pos="480"/>
        </w:tabs>
        <w:kinsoku/>
        <w:wordWrap/>
        <w:overflowPunct/>
        <w:topLinePunct w:val="0"/>
        <w:autoSpaceDE/>
        <w:autoSpaceDN/>
        <w:bidi w:val="0"/>
        <w:adjustRightInd/>
        <w:spacing w:line="360" w:lineRule="auto"/>
        <w:ind w:left="0" w:leftChars="0" w:firstLine="420" w:firstLineChars="200"/>
        <w:textAlignment w:val="auto"/>
        <w:rPr>
          <w:rFonts w:hint="eastAsia" w:ascii="仿宋_GB2312" w:hAnsi="仿宋_GB2312" w:eastAsia="仿宋_GB2312" w:cs="仿宋_GB2312"/>
          <w:color w:val="auto"/>
          <w:sz w:val="20"/>
          <w:szCs w:val="20"/>
          <w:u w:val="none"/>
          <w:shd w:val="clear"/>
          <w:lang w:val="en-US" w:eastAsia="zh-CN"/>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）合同</w:t>
      </w:r>
      <w:r>
        <w:rPr>
          <w:rFonts w:hint="eastAsia" w:ascii="仿宋" w:hAnsi="仿宋" w:eastAsia="仿宋" w:cs="仿宋"/>
          <w:color w:val="000000"/>
          <w:sz w:val="21"/>
          <w:szCs w:val="21"/>
          <w:lang w:eastAsia="zh-CN"/>
        </w:rPr>
        <w:t>暂估总价</w:t>
      </w:r>
      <w:r>
        <w:rPr>
          <w:rFonts w:hint="eastAsia" w:ascii="仿宋" w:hAnsi="仿宋" w:eastAsia="仿宋" w:cs="仿宋"/>
          <w:color w:val="000000"/>
          <w:sz w:val="21"/>
          <w:szCs w:val="21"/>
        </w:rPr>
        <w:t>款为人民币（大写：          元整）（小写：       元整）。</w:t>
      </w:r>
    </w:p>
    <w:p w14:paraId="67DE68F7">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textAlignment w:val="auto"/>
        <w:rPr>
          <w:rFonts w:hint="eastAsia" w:ascii="仿宋" w:hAnsi="仿宋" w:eastAsia="仿宋" w:cs="仿宋"/>
          <w:b/>
          <w:bCs/>
          <w:color w:val="000000"/>
          <w:sz w:val="21"/>
          <w:szCs w:val="21"/>
        </w:rPr>
      </w:pPr>
      <w:r>
        <w:rPr>
          <w:rFonts w:hint="eastAsia" w:ascii="仿宋" w:hAnsi="仿宋" w:eastAsia="仿宋" w:cs="仿宋"/>
          <w:b/>
          <w:color w:val="000000"/>
          <w:sz w:val="21"/>
          <w:szCs w:val="21"/>
        </w:rPr>
        <w:t>四、</w:t>
      </w:r>
      <w:r>
        <w:rPr>
          <w:rFonts w:hint="eastAsia" w:ascii="仿宋" w:hAnsi="仿宋" w:eastAsia="仿宋" w:cs="仿宋"/>
          <w:b/>
          <w:bCs/>
          <w:color w:val="000000"/>
          <w:sz w:val="21"/>
          <w:szCs w:val="21"/>
        </w:rPr>
        <w:t>付款方式和结算条件</w:t>
      </w:r>
    </w:p>
    <w:p w14:paraId="369A72D7">
      <w:pPr>
        <w:keepNext w:val="0"/>
        <w:keepLines w:val="0"/>
        <w:pageBreakBefore w:val="0"/>
        <w:widowControl w:val="0"/>
        <w:tabs>
          <w:tab w:val="left" w:pos="480"/>
        </w:tabs>
        <w:kinsoku/>
        <w:wordWrap/>
        <w:overflowPunct/>
        <w:topLinePunct w:val="0"/>
        <w:autoSpaceDE/>
        <w:autoSpaceDN/>
        <w:bidi w:val="0"/>
        <w:adjustRightInd/>
        <w:spacing w:line="360" w:lineRule="auto"/>
        <w:ind w:firstLine="422" w:firstLineChars="200"/>
        <w:textAlignment w:val="auto"/>
        <w:rPr>
          <w:rFonts w:hint="eastAsia" w:ascii="仿宋" w:hAnsi="仿宋" w:eastAsia="仿宋" w:cs="仿宋"/>
          <w:color w:val="000000"/>
          <w:sz w:val="21"/>
          <w:szCs w:val="21"/>
        </w:rPr>
      </w:pPr>
      <w:r>
        <w:rPr>
          <w:rFonts w:hint="eastAsia" w:ascii="仿宋" w:hAnsi="仿宋" w:eastAsia="仿宋" w:cs="仿宋"/>
          <w:b/>
          <w:bCs/>
          <w:color w:val="000000"/>
          <w:sz w:val="21"/>
          <w:szCs w:val="21"/>
        </w:rPr>
        <w:t>（</w:t>
      </w:r>
      <w:r>
        <w:rPr>
          <w:rFonts w:hint="eastAsia" w:ascii="仿宋" w:hAnsi="仿宋" w:eastAsia="仿宋" w:cs="仿宋"/>
          <w:b/>
          <w:bCs/>
          <w:color w:val="000000"/>
          <w:sz w:val="21"/>
          <w:szCs w:val="21"/>
          <w:lang w:val="en-US" w:eastAsia="zh-CN"/>
        </w:rPr>
        <w:t>1</w:t>
      </w:r>
      <w:r>
        <w:rPr>
          <w:rFonts w:hint="eastAsia" w:ascii="仿宋" w:hAnsi="仿宋" w:eastAsia="仿宋" w:cs="仿宋"/>
          <w:b/>
          <w:bCs/>
          <w:color w:val="000000"/>
          <w:sz w:val="21"/>
          <w:szCs w:val="21"/>
        </w:rPr>
        <w:t xml:space="preserve">）付款方式 </w:t>
      </w:r>
      <w:r>
        <w:rPr>
          <w:rFonts w:hint="eastAsia" w:ascii="仿宋" w:hAnsi="仿宋" w:eastAsia="仿宋" w:cs="仿宋"/>
          <w:color w:val="000000"/>
          <w:sz w:val="21"/>
          <w:szCs w:val="21"/>
        </w:rPr>
        <w:t xml:space="preserve">   </w:t>
      </w:r>
    </w:p>
    <w:p w14:paraId="153A3E7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通过银行转账方式将款项转入乙方银行账户。乙方银行账户信息如下：</w:t>
      </w:r>
    </w:p>
    <w:p w14:paraId="578C2F9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u w:val="single"/>
        </w:rPr>
      </w:pPr>
      <w:r>
        <w:rPr>
          <w:rFonts w:hint="eastAsia" w:ascii="仿宋" w:hAnsi="仿宋" w:eastAsia="仿宋" w:cs="仿宋"/>
          <w:color w:val="000000"/>
          <w:sz w:val="21"/>
          <w:szCs w:val="21"/>
        </w:rPr>
        <w:t>账户全称：</w:t>
      </w:r>
      <w:r>
        <w:rPr>
          <w:rFonts w:hint="eastAsia" w:ascii="仿宋" w:hAnsi="仿宋" w:eastAsia="仿宋" w:cs="仿宋"/>
          <w:color w:val="000000"/>
          <w:sz w:val="21"/>
          <w:szCs w:val="21"/>
          <w:u w:val="single"/>
        </w:rPr>
        <w:t xml:space="preserve">              有限公司</w:t>
      </w:r>
    </w:p>
    <w:p w14:paraId="3F430A9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u w:val="single"/>
        </w:rPr>
      </w:pPr>
      <w:r>
        <w:rPr>
          <w:rFonts w:hint="eastAsia" w:ascii="仿宋" w:hAnsi="仿宋" w:eastAsia="仿宋" w:cs="仿宋"/>
          <w:color w:val="000000"/>
          <w:sz w:val="21"/>
          <w:szCs w:val="21"/>
        </w:rPr>
        <w:t>账    号：</w:t>
      </w:r>
      <w:r>
        <w:rPr>
          <w:rFonts w:hint="eastAsia" w:ascii="仿宋" w:hAnsi="仿宋" w:eastAsia="仿宋" w:cs="仿宋"/>
          <w:color w:val="000000"/>
          <w:sz w:val="21"/>
          <w:szCs w:val="21"/>
          <w:u w:val="single"/>
        </w:rPr>
        <w:t xml:space="preserve">                     </w:t>
      </w:r>
    </w:p>
    <w:p w14:paraId="5A82F1F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u w:val="single"/>
        </w:rPr>
      </w:pPr>
      <w:r>
        <w:rPr>
          <w:rFonts w:hint="eastAsia" w:ascii="仿宋" w:hAnsi="仿宋" w:eastAsia="仿宋" w:cs="仿宋"/>
          <w:color w:val="000000"/>
          <w:sz w:val="21"/>
          <w:szCs w:val="21"/>
        </w:rPr>
        <w:t>开 户 行：</w:t>
      </w:r>
      <w:r>
        <w:rPr>
          <w:rFonts w:hint="eastAsia" w:ascii="仿宋" w:hAnsi="仿宋" w:eastAsia="仿宋" w:cs="仿宋"/>
          <w:color w:val="000000"/>
          <w:sz w:val="21"/>
          <w:szCs w:val="21"/>
          <w:u w:val="single"/>
        </w:rPr>
        <w:t xml:space="preserve">                         </w:t>
      </w:r>
    </w:p>
    <w:p w14:paraId="6E5FC1A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甲方只认可上述指定账户并向该账户付款，甲方拒绝向其他账户付款，并且由此导致的付款延迟责任由乙方承担。</w:t>
      </w:r>
    </w:p>
    <w:p w14:paraId="1F60B4F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乙方要如实开具发票，不得变更开票内容，乙方开具发票出现税务争议时，乙方需承担税款、滞纳金、罚款等赔偿责任以及其他相关责任。</w:t>
      </w:r>
    </w:p>
    <w:p w14:paraId="5674E26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w:t>
      </w:r>
      <w:r>
        <w:rPr>
          <w:rFonts w:hint="eastAsia" w:ascii="仿宋" w:hAnsi="仿宋" w:eastAsia="仿宋" w:cs="仿宋"/>
          <w:b/>
          <w:bCs/>
          <w:color w:val="000000"/>
          <w:sz w:val="21"/>
          <w:szCs w:val="21"/>
          <w:lang w:val="en-US" w:eastAsia="zh-CN"/>
        </w:rPr>
        <w:t>2</w:t>
      </w:r>
      <w:r>
        <w:rPr>
          <w:rFonts w:hint="eastAsia" w:ascii="仿宋" w:hAnsi="仿宋" w:eastAsia="仿宋" w:cs="仿宋"/>
          <w:b/>
          <w:bCs/>
          <w:color w:val="000000"/>
          <w:sz w:val="21"/>
          <w:szCs w:val="21"/>
        </w:rPr>
        <w:t>）结算条件</w:t>
      </w:r>
    </w:p>
    <w:p w14:paraId="6B84123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1）合同签订完成且达到付款条件的10个工作日内支付合同总价款的30%；货物在规定时间内送达采购人指定的各区县，且验收合格后，一个月内支付尾款（合同总价款的70%）。</w:t>
      </w:r>
    </w:p>
    <w:p w14:paraId="7AE469F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付款条件说明：</w:t>
      </w:r>
      <w:r>
        <w:rPr>
          <w:rFonts w:hint="eastAsia" w:ascii="仿宋" w:hAnsi="仿宋" w:eastAsia="仿宋" w:cs="仿宋"/>
          <w:color w:val="000000"/>
          <w:sz w:val="21"/>
          <w:szCs w:val="21"/>
          <w:lang w:val="en-US" w:eastAsia="zh-CN"/>
        </w:rPr>
        <w:t>由采购人负责结算，合同签订后，由中标供应商开具合同总价款的全额发票交于甲方。</w:t>
      </w:r>
    </w:p>
    <w:p w14:paraId="4E1D2937">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lang w:eastAsia="zh-CN"/>
        </w:rPr>
        <w:t>五</w:t>
      </w:r>
      <w:r>
        <w:rPr>
          <w:rFonts w:hint="eastAsia" w:ascii="仿宋" w:hAnsi="仿宋" w:eastAsia="仿宋" w:cs="仿宋"/>
          <w:b/>
          <w:sz w:val="21"/>
          <w:szCs w:val="21"/>
        </w:rPr>
        <w:t>、双方的权利和义务</w:t>
      </w:r>
    </w:p>
    <w:p w14:paraId="14183BEB">
      <w:pPr>
        <w:pStyle w:val="13"/>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vanish/>
          <w:sz w:val="21"/>
          <w:szCs w:val="21"/>
        </w:rPr>
      </w:pPr>
      <w:r>
        <w:rPr>
          <w:rFonts w:hint="eastAsia" w:ascii="仿宋" w:hAnsi="仿宋" w:eastAsia="仿宋" w:cs="仿宋"/>
          <w:b/>
          <w:sz w:val="21"/>
          <w:szCs w:val="21"/>
        </w:rPr>
        <w:t>（一）甲方的权利和义务</w:t>
      </w:r>
    </w:p>
    <w:p w14:paraId="7DF4F379">
      <w:pPr>
        <w:pStyle w:val="14"/>
        <w:ind w:firstLine="420" w:firstLineChars="200"/>
        <w:outlineLvl w:val="3"/>
        <w:rPr>
          <w:rFonts w:hint="eastAsia" w:ascii="仿宋" w:hAnsi="仿宋" w:eastAsia="仿宋" w:cs="仿宋"/>
          <w:b w:val="0"/>
          <w:bCs/>
          <w:kern w:val="2"/>
          <w:sz w:val="21"/>
          <w:szCs w:val="21"/>
          <w:lang w:val="en-US" w:eastAsia="zh-CN" w:bidi="ar-SA"/>
        </w:rPr>
      </w:pPr>
      <w:r>
        <w:rPr>
          <w:rFonts w:hint="eastAsia" w:ascii="仿宋" w:hAnsi="仿宋" w:eastAsia="仿宋" w:cs="仿宋"/>
          <w:b w:val="0"/>
          <w:bCs/>
          <w:kern w:val="2"/>
          <w:sz w:val="21"/>
          <w:szCs w:val="21"/>
          <w:lang w:val="en-US" w:eastAsia="zh-CN" w:bidi="ar-SA"/>
        </w:rPr>
        <w:t>（1）验收标准和方法</w:t>
      </w:r>
    </w:p>
    <w:p w14:paraId="16542584">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b w:val="0"/>
          <w:bCs/>
          <w:color w:val="000000"/>
          <w:kern w:val="2"/>
          <w:sz w:val="21"/>
          <w:szCs w:val="21"/>
          <w:lang w:val="en-US" w:eastAsia="zh-CN" w:bidi="ar-SA"/>
        </w:rPr>
      </w:pPr>
      <w:r>
        <w:rPr>
          <w:rFonts w:hint="eastAsia" w:ascii="仿宋" w:hAnsi="仿宋" w:eastAsia="仿宋" w:cs="仿宋"/>
          <w:b w:val="0"/>
          <w:bCs/>
          <w:color w:val="000000"/>
          <w:kern w:val="2"/>
          <w:sz w:val="21"/>
          <w:szCs w:val="21"/>
          <w:lang w:val="en-US" w:eastAsia="zh-CN" w:bidi="ar-SA"/>
        </w:rPr>
        <w:t>符合现行的国家相关标准或国家行政部门颁发的相关法律法规、规章制度等。没有国家标准的，需符合相关行业标准要求。</w:t>
      </w:r>
    </w:p>
    <w:p w14:paraId="5E5A3258">
      <w:pPr>
        <w:pStyle w:val="14"/>
        <w:ind w:firstLine="420" w:firstLineChars="200"/>
        <w:outlineLvl w:val="3"/>
        <w:rPr>
          <w:rFonts w:hint="eastAsia" w:ascii="仿宋" w:hAnsi="仿宋" w:eastAsia="仿宋" w:cs="仿宋"/>
          <w:b w:val="0"/>
          <w:bCs/>
          <w:kern w:val="2"/>
          <w:sz w:val="21"/>
          <w:szCs w:val="21"/>
          <w:lang w:val="en-US" w:eastAsia="zh-CN" w:bidi="ar-SA"/>
        </w:rPr>
      </w:pPr>
      <w:r>
        <w:rPr>
          <w:rFonts w:hint="eastAsia" w:ascii="仿宋" w:hAnsi="仿宋" w:eastAsia="仿宋" w:cs="仿宋"/>
          <w:b w:val="0"/>
          <w:bCs/>
          <w:kern w:val="2"/>
          <w:sz w:val="21"/>
          <w:szCs w:val="21"/>
          <w:lang w:val="en-US" w:eastAsia="zh-CN" w:bidi="ar-SA"/>
        </w:rPr>
        <w:t>（2）包装方式及运输</w:t>
      </w:r>
    </w:p>
    <w:p w14:paraId="7FB8056A">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2339418">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（3）进度控制权</w:t>
      </w:r>
    </w:p>
    <w:p w14:paraId="46251E9C">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要求乙方按约定的交货时间、批次交付</w:t>
      </w:r>
      <w:r>
        <w:rPr>
          <w:rFonts w:hint="eastAsia" w:ascii="仿宋" w:hAnsi="仿宋" w:eastAsia="仿宋" w:cs="仿宋"/>
          <w:sz w:val="21"/>
          <w:szCs w:val="21"/>
          <w:lang w:eastAsia="zh-CN"/>
        </w:rPr>
        <w:t>产</w:t>
      </w:r>
      <w:r>
        <w:rPr>
          <w:rFonts w:hint="eastAsia" w:ascii="仿宋" w:hAnsi="仿宋" w:eastAsia="仿宋" w:cs="仿宋"/>
          <w:sz w:val="21"/>
          <w:szCs w:val="21"/>
        </w:rPr>
        <w:t>品，对延期交货行为可追究违约责任。</w:t>
      </w:r>
    </w:p>
    <w:p w14:paraId="5E31ADB0">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4）</w:t>
      </w:r>
      <w:r>
        <w:rPr>
          <w:rFonts w:hint="eastAsia" w:ascii="仿宋" w:hAnsi="仿宋" w:eastAsia="仿宋" w:cs="仿宋"/>
          <w:sz w:val="21"/>
          <w:szCs w:val="21"/>
        </w:rPr>
        <w:t>知识产权保护权</w:t>
      </w:r>
    </w:p>
    <w:p w14:paraId="28566DA8">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若</w:t>
      </w:r>
      <w:r>
        <w:rPr>
          <w:rFonts w:hint="eastAsia" w:ascii="仿宋" w:hAnsi="仿宋" w:eastAsia="仿宋" w:cs="仿宋"/>
          <w:sz w:val="21"/>
          <w:szCs w:val="21"/>
          <w:lang w:eastAsia="zh-CN"/>
        </w:rPr>
        <w:t>产品</w:t>
      </w:r>
      <w:r>
        <w:rPr>
          <w:rFonts w:hint="eastAsia" w:ascii="仿宋" w:hAnsi="仿宋" w:eastAsia="仿宋" w:cs="仿宋"/>
          <w:sz w:val="21"/>
          <w:szCs w:val="21"/>
        </w:rPr>
        <w:t>涉及甲方商标、logo、设计稿等知识产权，甲方有权要求乙方仅在合同范围内使用，不得擅自复制、泄露或用于其他用途。</w:t>
      </w:r>
    </w:p>
    <w:p w14:paraId="29EB819C">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5）</w:t>
      </w:r>
      <w:r>
        <w:rPr>
          <w:rFonts w:hint="eastAsia" w:ascii="仿宋" w:hAnsi="仿宋" w:eastAsia="仿宋" w:cs="仿宋"/>
          <w:sz w:val="21"/>
          <w:szCs w:val="21"/>
        </w:rPr>
        <w:t>提供清晰完整的印刷素材</w:t>
      </w:r>
    </w:p>
    <w:p w14:paraId="35FB99A5">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按约定时间向乙方提供印刷所需的数据资料，文字内容、图片等素材。</w:t>
      </w:r>
    </w:p>
    <w:p w14:paraId="585D269E">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6）</w:t>
      </w:r>
      <w:r>
        <w:rPr>
          <w:rFonts w:hint="eastAsia" w:ascii="仿宋" w:hAnsi="仿宋" w:eastAsia="仿宋" w:cs="仿宋"/>
          <w:sz w:val="21"/>
          <w:szCs w:val="21"/>
        </w:rPr>
        <w:t>及时确认与反馈</w:t>
      </w:r>
    </w:p>
    <w:p w14:paraId="194A8547">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对乙方提供的样稿及时进行确认，避免因确认延迟导致交货期延误。</w:t>
      </w:r>
    </w:p>
    <w:p w14:paraId="74C7AE3F">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7）</w:t>
      </w:r>
      <w:r>
        <w:rPr>
          <w:rFonts w:hint="eastAsia" w:ascii="仿宋" w:hAnsi="仿宋" w:eastAsia="仿宋" w:cs="仿宋"/>
          <w:sz w:val="21"/>
          <w:szCs w:val="21"/>
        </w:rPr>
        <w:t>按约支付费用</w:t>
      </w:r>
    </w:p>
    <w:p w14:paraId="0670DCFC">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根据合同约定的付款方式按时结算费用，若逾期付款需承担违约责任。</w:t>
      </w:r>
    </w:p>
    <w:p w14:paraId="06F48B74">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8）</w:t>
      </w:r>
      <w:r>
        <w:rPr>
          <w:rFonts w:hint="eastAsia" w:ascii="仿宋" w:hAnsi="仿宋" w:eastAsia="仿宋" w:cs="仿宋"/>
          <w:sz w:val="21"/>
          <w:szCs w:val="21"/>
        </w:rPr>
        <w:t>配合乙方工作</w:t>
      </w:r>
    </w:p>
    <w:p w14:paraId="79827FEE">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协助乙方完成</w:t>
      </w:r>
      <w:r>
        <w:rPr>
          <w:rFonts w:hint="eastAsia" w:ascii="仿宋" w:hAnsi="仿宋" w:eastAsia="仿宋" w:cs="仿宋"/>
          <w:sz w:val="21"/>
          <w:szCs w:val="21"/>
          <w:lang w:eastAsia="zh-CN"/>
        </w:rPr>
        <w:t>各区县的交货的对接</w:t>
      </w:r>
      <w:r>
        <w:rPr>
          <w:rFonts w:hint="eastAsia" w:ascii="仿宋" w:hAnsi="仿宋" w:eastAsia="仿宋" w:cs="仿宋"/>
          <w:sz w:val="21"/>
          <w:szCs w:val="21"/>
        </w:rPr>
        <w:t>工作。</w:t>
      </w:r>
    </w:p>
    <w:p w14:paraId="254D5710">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9）</w:t>
      </w:r>
      <w:r>
        <w:rPr>
          <w:rFonts w:hint="eastAsia" w:ascii="仿宋" w:hAnsi="仿宋" w:eastAsia="仿宋" w:cs="仿宋"/>
          <w:sz w:val="21"/>
          <w:szCs w:val="21"/>
        </w:rPr>
        <w:t>国家法律、法规所规定由甲方承担的其它责任。</w:t>
      </w:r>
    </w:p>
    <w:p w14:paraId="13C28FD1">
      <w:pPr>
        <w:pStyle w:val="13"/>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rPr>
        <w:t>（二）乙方的权利和义务</w:t>
      </w:r>
    </w:p>
    <w:p w14:paraId="3A960F8E">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rPr>
        <w:t>按合同约定向甲方收取</w:t>
      </w:r>
      <w:r>
        <w:rPr>
          <w:rFonts w:hint="eastAsia" w:ascii="仿宋" w:hAnsi="仿宋" w:eastAsia="仿宋" w:cs="仿宋"/>
          <w:sz w:val="21"/>
          <w:szCs w:val="21"/>
          <w:lang w:eastAsia="zh-CN"/>
        </w:rPr>
        <w:t>货款</w:t>
      </w:r>
      <w:r>
        <w:rPr>
          <w:rFonts w:hint="eastAsia" w:ascii="仿宋" w:hAnsi="仿宋" w:eastAsia="仿宋" w:cs="仿宋"/>
          <w:sz w:val="21"/>
          <w:szCs w:val="21"/>
        </w:rPr>
        <w:t>，若甲方未按时付款，乙方有权拒绝继续服务或要求甲方支付滞纳金。</w:t>
      </w:r>
    </w:p>
    <w:p w14:paraId="11E19E52">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rPr>
        <w:t>按约完成</w:t>
      </w:r>
      <w:r>
        <w:rPr>
          <w:rFonts w:hint="eastAsia" w:ascii="仿宋" w:hAnsi="仿宋" w:eastAsia="仿宋" w:cs="仿宋"/>
          <w:sz w:val="21"/>
          <w:szCs w:val="21"/>
          <w:lang w:eastAsia="zh-CN"/>
        </w:rPr>
        <w:t>产品的交付</w:t>
      </w:r>
    </w:p>
    <w:p w14:paraId="679408D4">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3）</w:t>
      </w:r>
      <w:r>
        <w:rPr>
          <w:rFonts w:hint="eastAsia" w:ascii="仿宋" w:hAnsi="仿宋" w:eastAsia="仿宋" w:cs="仿宋"/>
          <w:sz w:val="21"/>
          <w:szCs w:val="21"/>
        </w:rPr>
        <w:t>按时交货</w:t>
      </w:r>
    </w:p>
    <w:p w14:paraId="61284610">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按约定的时间、地点和方式交付</w:t>
      </w:r>
      <w:r>
        <w:rPr>
          <w:rFonts w:hint="eastAsia" w:ascii="仿宋" w:hAnsi="仿宋" w:eastAsia="仿宋" w:cs="仿宋"/>
          <w:sz w:val="21"/>
          <w:szCs w:val="21"/>
          <w:lang w:eastAsia="zh-CN"/>
        </w:rPr>
        <w:t>货物</w:t>
      </w:r>
      <w:r>
        <w:rPr>
          <w:rFonts w:hint="eastAsia" w:ascii="仿宋" w:hAnsi="仿宋" w:eastAsia="仿宋" w:cs="仿宋"/>
          <w:sz w:val="21"/>
          <w:szCs w:val="21"/>
        </w:rPr>
        <w:t>，若需分批交货，需明确每批的数量和时间节点。</w:t>
      </w:r>
    </w:p>
    <w:p w14:paraId="3E9ACF2A">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4）</w:t>
      </w:r>
      <w:r>
        <w:rPr>
          <w:rFonts w:hint="eastAsia" w:ascii="仿宋" w:hAnsi="仿宋" w:eastAsia="仿宋" w:cs="仿宋"/>
          <w:sz w:val="21"/>
          <w:szCs w:val="21"/>
        </w:rPr>
        <w:t>保密义务</w:t>
      </w:r>
    </w:p>
    <w:p w14:paraId="397E338F">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对甲方提供的素材、商业信息（如印刷内容涉及客户数据、商业计划）严格保密，未经允许不得向第三方泄露。</w:t>
      </w:r>
    </w:p>
    <w:p w14:paraId="68C50413">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5）</w:t>
      </w:r>
      <w:r>
        <w:rPr>
          <w:rFonts w:hint="eastAsia" w:ascii="仿宋" w:hAnsi="仿宋" w:eastAsia="仿宋" w:cs="仿宋"/>
          <w:sz w:val="21"/>
          <w:szCs w:val="21"/>
        </w:rPr>
        <w:t>售后服务与瑕疵担保</w:t>
      </w:r>
    </w:p>
    <w:p w14:paraId="2CA8E798">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对</w:t>
      </w:r>
      <w:r>
        <w:rPr>
          <w:rFonts w:hint="eastAsia" w:ascii="仿宋" w:hAnsi="仿宋" w:eastAsia="仿宋" w:cs="仿宋"/>
          <w:sz w:val="21"/>
          <w:szCs w:val="21"/>
          <w:lang w:eastAsia="zh-CN"/>
        </w:rPr>
        <w:t>产</w:t>
      </w:r>
      <w:r>
        <w:rPr>
          <w:rFonts w:hint="eastAsia" w:ascii="仿宋" w:hAnsi="仿宋" w:eastAsia="仿宋" w:cs="仿宋"/>
          <w:sz w:val="21"/>
          <w:szCs w:val="21"/>
        </w:rPr>
        <w:t>品的质量问题承担保修责任，负责免费更换；因质量问题导致甲方损失的，需承担赔偿责任。</w:t>
      </w:r>
    </w:p>
    <w:p w14:paraId="498FD1AF">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lang w:eastAsia="zh-CN"/>
        </w:rPr>
        <w:t>六</w:t>
      </w:r>
      <w:r>
        <w:rPr>
          <w:rFonts w:hint="eastAsia" w:ascii="仿宋" w:hAnsi="仿宋" w:eastAsia="仿宋" w:cs="仿宋"/>
          <w:b/>
          <w:sz w:val="21"/>
          <w:szCs w:val="21"/>
        </w:rPr>
        <w:t>、知识产权及承诺</w:t>
      </w:r>
    </w:p>
    <w:p w14:paraId="34D02C4E">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）乙方保证所提供的货物或其任何一部分均不会侵犯任何第三方的专利权、商标权、著作权或其他合法权益，否则视为乙方违约，甲方有权解除合同并要求乙方支付合同总标的20%的违约金。</w:t>
      </w:r>
    </w:p>
    <w:p w14:paraId="71CA3327">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）经甲乙双方协商一致，本项目产生的知识产权归甲方拥有。</w:t>
      </w:r>
    </w:p>
    <w:p w14:paraId="38C870BC">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lang w:eastAsia="zh-CN"/>
        </w:rPr>
        <w:t>七</w:t>
      </w:r>
      <w:r>
        <w:rPr>
          <w:rFonts w:hint="eastAsia" w:ascii="仿宋" w:hAnsi="仿宋" w:eastAsia="仿宋" w:cs="仿宋"/>
          <w:b/>
          <w:sz w:val="21"/>
          <w:szCs w:val="21"/>
        </w:rPr>
        <w:t>、包装和运输</w:t>
      </w:r>
    </w:p>
    <w:p w14:paraId="56F51169">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）产品及其备附件的包装应为出厂时的原包装，包装内应附有详细的装箱清单、出厂合格证明及其他相关资料。</w:t>
      </w:r>
    </w:p>
    <w:p w14:paraId="161B5C33">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）运输由乙方负责，运杂费已包含在合同价款内，包括从产品供应地点运送至交付地点所含的运输费、装卸费、仓储费、保险费等。</w:t>
      </w:r>
    </w:p>
    <w:p w14:paraId="6AB55AB2">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）运输方式由乙方自行选择，但必须保证按期完好交付。</w:t>
      </w:r>
    </w:p>
    <w:p w14:paraId="340EB5C4">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4</w:t>
      </w:r>
      <w:r>
        <w:rPr>
          <w:rFonts w:hint="eastAsia" w:ascii="仿宋" w:hAnsi="仿宋" w:eastAsia="仿宋" w:cs="仿宋"/>
          <w:sz w:val="21"/>
          <w:szCs w:val="21"/>
        </w:rPr>
        <w:t>）乙方提供的产品及相关快递服务的包装要求，应该严格按照《商品包装政府采购需求标准（试行）》、《快递包装政府采购需求标准（试行）》（财库办〔2020﹞123号）文件执行。</w:t>
      </w:r>
    </w:p>
    <w:p w14:paraId="090ED823">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5</w:t>
      </w:r>
      <w:r>
        <w:rPr>
          <w:rFonts w:hint="eastAsia" w:ascii="仿宋" w:hAnsi="仿宋" w:eastAsia="仿宋" w:cs="仿宋"/>
          <w:sz w:val="21"/>
          <w:szCs w:val="21"/>
        </w:rPr>
        <w:t>）产品及其备附件到达甲方指定地点后，乙方应按有关技术规程和甲方要求进行存放和保管。</w:t>
      </w:r>
    </w:p>
    <w:p w14:paraId="5E63F727">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lang w:eastAsia="zh-CN"/>
        </w:rPr>
        <w:t>八</w:t>
      </w:r>
      <w:r>
        <w:rPr>
          <w:rFonts w:hint="eastAsia" w:ascii="仿宋" w:hAnsi="仿宋" w:eastAsia="仿宋" w:cs="仿宋"/>
          <w:b/>
          <w:sz w:val="21"/>
          <w:szCs w:val="21"/>
        </w:rPr>
        <w:t>、验收</w:t>
      </w:r>
    </w:p>
    <w:p w14:paraId="1E44FA62">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）送达指定地点后，甲方有权委托相关质检单位对其进行抽样检测，抽样检测费用由乙方承担。</w:t>
      </w:r>
    </w:p>
    <w:p w14:paraId="00E8F651">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）项目完工后，乙方向甲方发出验收申请。甲方组织乙方（必要时请有关专家，聘请费用由乙方承担）进行验收，验收合格后，填写政府采购项目验收单（一式伍份）作为对项目的最终认可。</w:t>
      </w:r>
    </w:p>
    <w:p w14:paraId="449F9CBF">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）乙方向甲方提供实施过程中的所有资料，以便甲方日后管理。</w:t>
      </w:r>
    </w:p>
    <w:p w14:paraId="1A9AE08E">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4</w:t>
      </w:r>
      <w:r>
        <w:rPr>
          <w:rFonts w:hint="eastAsia" w:ascii="仿宋" w:hAnsi="仿宋" w:eastAsia="仿宋" w:cs="仿宋"/>
          <w:sz w:val="21"/>
          <w:szCs w:val="21"/>
        </w:rPr>
        <w:t>）甲方的验收不作为乙方全部货物内在质量合格的依据，乙方在质保期内仍需对货物的内在质量承担责任。</w:t>
      </w:r>
    </w:p>
    <w:p w14:paraId="5EA1FAA5">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5</w:t>
      </w:r>
      <w:r>
        <w:rPr>
          <w:rFonts w:hint="eastAsia" w:ascii="仿宋" w:hAnsi="仿宋" w:eastAsia="仿宋" w:cs="仿宋"/>
          <w:sz w:val="21"/>
          <w:szCs w:val="21"/>
        </w:rPr>
        <w:t>）验收要求：</w:t>
      </w:r>
    </w:p>
    <w:p w14:paraId="6FA145C9">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甲方组建验收小组，按国家有关规定规范进行验收，若无国家标准按行业标准验收，必要时邀请相关专业人员或机构参与验收。因质量问题发生争议时，由甲方当地质量技术监督部门鉴定。货物服务符合质量技术标准的，鉴定费由甲方承担；否则鉴定费由乙方承担。</w:t>
      </w:r>
    </w:p>
    <w:p w14:paraId="54B9C8E0">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乙方须为验收提供必需的一切条件及相关费用。其标准不能低于响应文件中所承诺的质量要求。</w:t>
      </w:r>
    </w:p>
    <w:p w14:paraId="2C9B0647">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6</w:t>
      </w:r>
      <w:r>
        <w:rPr>
          <w:rFonts w:hint="eastAsia" w:ascii="仿宋" w:hAnsi="仿宋" w:eastAsia="仿宋" w:cs="仿宋"/>
          <w:sz w:val="21"/>
          <w:szCs w:val="21"/>
        </w:rPr>
        <w:t>）验收依据：</w:t>
      </w:r>
    </w:p>
    <w:p w14:paraId="7C8A41DC">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eastAsia="zh-CN"/>
        </w:rPr>
        <w:t>）谈判</w:t>
      </w:r>
      <w:r>
        <w:rPr>
          <w:rFonts w:hint="eastAsia" w:ascii="仿宋" w:hAnsi="仿宋" w:eastAsia="仿宋" w:cs="仿宋"/>
          <w:sz w:val="21"/>
          <w:szCs w:val="21"/>
        </w:rPr>
        <w:t>文件、响应文件、澄清表（函）；</w:t>
      </w:r>
    </w:p>
    <w:p w14:paraId="099220F4">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eastAsia="zh-CN"/>
        </w:rPr>
        <w:t>）</w:t>
      </w:r>
      <w:r>
        <w:rPr>
          <w:rFonts w:hint="eastAsia" w:ascii="仿宋" w:hAnsi="仿宋" w:eastAsia="仿宋" w:cs="仿宋"/>
          <w:sz w:val="21"/>
          <w:szCs w:val="21"/>
        </w:rPr>
        <w:t>本合同及其附件；</w:t>
      </w:r>
    </w:p>
    <w:p w14:paraId="0938BCB1">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lang w:eastAsia="zh-CN"/>
        </w:rPr>
        <w:t>）</w:t>
      </w:r>
      <w:r>
        <w:rPr>
          <w:rFonts w:hint="eastAsia" w:ascii="仿宋" w:hAnsi="仿宋" w:eastAsia="仿宋" w:cs="仿宋"/>
          <w:sz w:val="21"/>
          <w:szCs w:val="21"/>
        </w:rPr>
        <w:t>国家相应的标准、规范。</w:t>
      </w:r>
    </w:p>
    <w:p w14:paraId="5F6AC9D2">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lang w:eastAsia="zh-CN"/>
        </w:rPr>
        <w:t>九</w:t>
      </w:r>
      <w:r>
        <w:rPr>
          <w:rFonts w:hint="eastAsia" w:ascii="仿宋" w:hAnsi="仿宋" w:eastAsia="仿宋" w:cs="仿宋"/>
          <w:b/>
          <w:sz w:val="21"/>
          <w:szCs w:val="21"/>
        </w:rPr>
        <w:t>、违约责任</w:t>
      </w:r>
    </w:p>
    <w:p w14:paraId="6DAC8A9D">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）违约责任：</w:t>
      </w:r>
    </w:p>
    <w:p w14:paraId="480F5098">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eastAsia="zh-CN"/>
        </w:rPr>
        <w:t>）</w:t>
      </w:r>
      <w:r>
        <w:rPr>
          <w:rFonts w:hint="eastAsia" w:ascii="仿宋" w:hAnsi="仿宋" w:eastAsia="仿宋" w:cs="仿宋"/>
          <w:sz w:val="21"/>
          <w:szCs w:val="21"/>
        </w:rPr>
        <w:t>乙方应按照本合同及相关采购文件约定按时供货，迟延供货的，每迟延一天，应按照合同总标的的5‰向甲方支付违约金，迟延超过5天的，甲方有权解除合同并要求乙方支付合同总标的20%的违约金。</w:t>
      </w:r>
    </w:p>
    <w:p w14:paraId="29423F6A">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eastAsia="zh-CN"/>
        </w:rPr>
        <w:t>）</w:t>
      </w:r>
      <w:r>
        <w:rPr>
          <w:rFonts w:hint="eastAsia" w:ascii="仿宋" w:hAnsi="仿宋" w:eastAsia="仿宋" w:cs="仿宋"/>
          <w:sz w:val="21"/>
          <w:szCs w:val="21"/>
        </w:rPr>
        <w:t>乙方交付的货物不符合合同约定的交付/质量标准的，甲方有权要求乙方在3日内进行更换，乙方超时未更换的，每迟延一天，应按照合同总标的的5‰向甲方支付违约金，迟延超过5天的，甲方有权解除合同并要求乙方支付合同总标的20%的违约金。</w:t>
      </w:r>
    </w:p>
    <w:p w14:paraId="4BCF6140">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lang w:eastAsia="zh-CN"/>
        </w:rPr>
        <w:t>）</w:t>
      </w:r>
      <w:r>
        <w:rPr>
          <w:rFonts w:hint="eastAsia" w:ascii="仿宋" w:hAnsi="仿宋" w:eastAsia="仿宋" w:cs="仿宋"/>
          <w:sz w:val="21"/>
          <w:szCs w:val="21"/>
        </w:rPr>
        <w:t>乙方交付的货物出现3次以上（含3次）质量未达标的，甲方有权解除合同并要求乙方支付合同总标的20%的违约金。</w:t>
      </w:r>
    </w:p>
    <w:p w14:paraId="600D087C">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lang w:eastAsia="zh-CN"/>
        </w:rPr>
        <w:t>）</w:t>
      </w:r>
      <w:r>
        <w:rPr>
          <w:rFonts w:hint="eastAsia" w:ascii="仿宋" w:hAnsi="仿宋" w:eastAsia="仿宋" w:cs="仿宋"/>
          <w:sz w:val="21"/>
          <w:szCs w:val="21"/>
        </w:rPr>
        <w:t>乙方交付的货物、提供的服务不符合本合同规定的，甲方有权拒收，并且乙方须向甲方支付本合同总价10%的违约金。</w:t>
      </w:r>
    </w:p>
    <w:p w14:paraId="5A893F98">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eastAsia="zh-CN"/>
        </w:rPr>
        <w:t>）</w:t>
      </w:r>
      <w:r>
        <w:rPr>
          <w:rFonts w:hint="eastAsia" w:ascii="仿宋" w:hAnsi="仿宋" w:eastAsia="仿宋" w:cs="仿宋"/>
          <w:sz w:val="21"/>
          <w:szCs w:val="21"/>
        </w:rPr>
        <w:t>乙方应对供货过程中获悉的甲方所有内部信息或机密数据等进行保密，未经甲方书面同意，不得向任何第三方泄露，乙方违反约定的，甲方有权解除合同并要求乙方支付合同总标的20%的违约金。</w:t>
      </w:r>
    </w:p>
    <w:p w14:paraId="41E5E5E1">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sz w:val="21"/>
          <w:szCs w:val="21"/>
          <w:lang w:eastAsia="zh-CN"/>
        </w:rPr>
        <w:t>）</w:t>
      </w:r>
      <w:r>
        <w:rPr>
          <w:rFonts w:hint="eastAsia" w:ascii="仿宋" w:hAnsi="仿宋" w:eastAsia="仿宋" w:cs="仿宋"/>
          <w:sz w:val="21"/>
          <w:szCs w:val="21"/>
        </w:rPr>
        <w:t>因乙方原因供货延误，给甲方造成损失或被第三方要求索赔的，乙方应全额承担。</w:t>
      </w:r>
    </w:p>
    <w:p w14:paraId="242596F5">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7</w:t>
      </w:r>
      <w:r>
        <w:rPr>
          <w:rFonts w:hint="eastAsia" w:ascii="仿宋" w:hAnsi="仿宋" w:eastAsia="仿宋" w:cs="仿宋"/>
          <w:sz w:val="21"/>
          <w:szCs w:val="21"/>
          <w:lang w:eastAsia="zh-CN"/>
        </w:rPr>
        <w:t>）</w:t>
      </w:r>
      <w:r>
        <w:rPr>
          <w:rFonts w:hint="eastAsia" w:ascii="仿宋" w:hAnsi="仿宋" w:eastAsia="仿宋" w:cs="仿宋"/>
          <w:sz w:val="21"/>
          <w:szCs w:val="21"/>
        </w:rPr>
        <w:t>因乙方违约行为而引起甲方向乙方主张权利的，乙方除了承担上述违约责任外，还需承担甲方为追究乙方责任所付出的一切费用，包括但不限于诉讼费、保全费、鉴定费、保全担保费、执行费、律师费以及其他甲方为实现债权的合理费用与损失。</w:t>
      </w:r>
    </w:p>
    <w:p w14:paraId="64C0A832">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）其他违约责任由双方平等协商后补充。</w:t>
      </w:r>
    </w:p>
    <w:p w14:paraId="419C1D5F">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未按合同要求提供货物或货物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69D4D89A">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lang w:eastAsia="zh-CN"/>
        </w:rPr>
        <w:t>十</w:t>
      </w:r>
      <w:r>
        <w:rPr>
          <w:rFonts w:hint="eastAsia" w:ascii="仿宋" w:hAnsi="仿宋" w:eastAsia="仿宋" w:cs="仿宋"/>
          <w:b/>
          <w:sz w:val="21"/>
          <w:szCs w:val="21"/>
        </w:rPr>
        <w:t>、合同的变更和修改、中止和终止</w:t>
      </w:r>
    </w:p>
    <w:p w14:paraId="6A13F6F7">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一）本合同一经生效，合同双方均不得擅自对本合同的内容（包括附件）作任何单方的修改。但任何一方均可以对合同内容以书面形式提出变更、修改、取消或补充的建议，经双方同意后，以补充协议方式由双方法定代表人或其授权代表签字后生效。</w:t>
      </w:r>
    </w:p>
    <w:p w14:paraId="34B88F67">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（二）甲方因乙方不履约或乙方其他原因而解除合同的，乙方须返还甲方全部费用、赔偿甲方由此产生的损失并承担其他相关责任，相应责任承担方式按照本合同约定执行。</w:t>
      </w:r>
    </w:p>
    <w:p w14:paraId="1A89FEE3">
      <w:pPr>
        <w:keepLines w:val="0"/>
        <w:pageBreakBefore w:val="0"/>
        <w:widowControl w:val="0"/>
        <w:kinsoku/>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（三）在不违反法律法规的前提下，可与乙方协商变更数量、规格等内容；若乙方严重违约（如多次质量不合格、延迟交货超过约定期限），甲方有权解除合同。</w:t>
      </w:r>
    </w:p>
    <w:p w14:paraId="6804BC6A">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（四）乙方因甲方不履约或甲方其他原因而解除合同的，乙方不予返还甲方已付乙方已提供相应服务的费用款项，甲方赔偿乙方由此产生的损失并承担其他相关责任。</w:t>
      </w:r>
    </w:p>
    <w:p w14:paraId="47AE822C">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一</w:t>
      </w:r>
      <w:r>
        <w:rPr>
          <w:rFonts w:hint="eastAsia" w:ascii="仿宋" w:hAnsi="仿宋" w:eastAsia="仿宋" w:cs="仿宋"/>
          <w:b/>
          <w:sz w:val="21"/>
          <w:szCs w:val="21"/>
        </w:rPr>
        <w:t>、保密条款</w:t>
      </w:r>
    </w:p>
    <w:p w14:paraId="393D40C9">
      <w:pPr>
        <w:keepLines w:val="0"/>
        <w:pageBreakBefore w:val="0"/>
        <w:widowControl w:val="0"/>
        <w:kinsoku/>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（一）乙方应遵守国家有关保密的法律法规和行业规定，并对甲方提供的资料负有保密义务。</w:t>
      </w:r>
    </w:p>
    <w:p w14:paraId="29189339">
      <w:pPr>
        <w:keepLines w:val="0"/>
        <w:pageBreakBefore w:val="0"/>
        <w:widowControl w:val="0"/>
        <w:kinsoku/>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（二）本条款为独立条款，本合同的无效、变更、解除和终止均不影响本条款的效力。</w:t>
      </w:r>
    </w:p>
    <w:p w14:paraId="1047D0FF">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二</w:t>
      </w:r>
      <w:r>
        <w:rPr>
          <w:rFonts w:hint="eastAsia" w:ascii="仿宋" w:hAnsi="仿宋" w:eastAsia="仿宋" w:cs="仿宋"/>
          <w:b/>
          <w:sz w:val="21"/>
          <w:szCs w:val="21"/>
        </w:rPr>
        <w:t>、争议解决</w:t>
      </w:r>
    </w:p>
    <w:p w14:paraId="543730B4">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）本合同适用法律为中华人民共和国法律。</w:t>
      </w:r>
    </w:p>
    <w:p w14:paraId="1FB89450">
      <w:pPr>
        <w:keepLines w:val="0"/>
        <w:pageBreakBefore w:val="0"/>
        <w:widowControl w:val="0"/>
        <w:kinsoku/>
        <w:wordWrap w:val="0"/>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）凡与本合同有关的一切争议，双方应通过友好协商解决。如协商后仍不能达成协议时，依法向甲方所在地有管辖权的人民法院提起诉讼。</w:t>
      </w:r>
    </w:p>
    <w:p w14:paraId="1F1937D2">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三</w:t>
      </w:r>
      <w:r>
        <w:rPr>
          <w:rFonts w:hint="eastAsia" w:ascii="仿宋" w:hAnsi="仿宋" w:eastAsia="仿宋" w:cs="仿宋"/>
          <w:b/>
          <w:sz w:val="21"/>
          <w:szCs w:val="21"/>
        </w:rPr>
        <w:t>、不可抗力</w:t>
      </w:r>
    </w:p>
    <w:p w14:paraId="112BE9B0">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不可抗力是指合同签字后发生的非甲乙双方所能控制的、并非合同方过失的、无法中止的、不能预防的事件，包括战争、地震等重大自然灾害、重大公共卫生紧急事件、或者法律法规变动等。双方互不负违约责任。</w:t>
      </w:r>
    </w:p>
    <w:p w14:paraId="1CDE377C">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受到不可抗力影响的一方应在不可抗力事故发生后，五日内将所发生的不可抗力事件的情况书面通知另一方，并另一方尽快审阅确认，受影响的一方同时应尽量设法缩小这种影响和由此而引起的延误，一旦不可抗力的影响消除后，应将此情况立即通知对方。</w:t>
      </w:r>
    </w:p>
    <w:p w14:paraId="32CFA8F9">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）当不可抗力发生后，如果服务并未因此中断或受到影响的，则就本合同执行来说，视为不可抗力未发生。</w:t>
      </w:r>
    </w:p>
    <w:p w14:paraId="613D56F7">
      <w:pPr>
        <w:keepLines w:val="0"/>
        <w:pageBreakBefore w:val="0"/>
        <w:widowControl w:val="0"/>
        <w:kinsoku/>
        <w:overflowPunct/>
        <w:topLinePunct w:val="0"/>
        <w:autoSpaceDE/>
        <w:autoSpaceDN/>
        <w:bidi w:val="0"/>
        <w:adjustRightInd/>
        <w:snapToGrid/>
        <w:spacing w:line="360" w:lineRule="auto"/>
        <w:ind w:firstLine="422" w:firstLineChars="200"/>
        <w:jc w:val="both"/>
        <w:textAlignment w:val="auto"/>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四</w:t>
      </w:r>
      <w:r>
        <w:rPr>
          <w:rFonts w:hint="eastAsia" w:ascii="仿宋" w:hAnsi="仿宋" w:eastAsia="仿宋" w:cs="仿宋"/>
          <w:b/>
          <w:sz w:val="21"/>
          <w:szCs w:val="21"/>
        </w:rPr>
        <w:t>、合同生效及其他</w:t>
      </w:r>
    </w:p>
    <w:p w14:paraId="1DFAA38F">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）本合同自签订之日起生效。</w:t>
      </w:r>
    </w:p>
    <w:p w14:paraId="345F2CD3">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）合同一式4份，甲方、乙方各执2份。</w:t>
      </w:r>
    </w:p>
    <w:p w14:paraId="5D9A216E">
      <w:pPr>
        <w:pStyle w:val="13"/>
        <w:keepLines w:val="0"/>
        <w:pageBreakBefore w:val="0"/>
        <w:widowControl w:val="0"/>
        <w:kinsoku/>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color w:val="7030A0"/>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）未尽事宜由双方在签订合同时具体明确或签订补充合同。</w:t>
      </w:r>
    </w:p>
    <w:p w14:paraId="46CA90CB">
      <w:pPr>
        <w:pStyle w:val="4"/>
        <w:jc w:val="both"/>
        <w:rPr>
          <w:rFonts w:hint="eastAsia"/>
          <w:sz w:val="21"/>
          <w:szCs w:val="21"/>
          <w:lang w:eastAsia="zh-CN"/>
        </w:rPr>
      </w:pPr>
    </w:p>
    <w:p w14:paraId="7A3AD8E8">
      <w:pPr>
        <w:kinsoku/>
        <w:wordWrap/>
        <w:overflowPunct/>
        <w:topLinePunct w:val="0"/>
        <w:bidi w:val="0"/>
        <w:spacing w:line="360" w:lineRule="auto"/>
        <w:jc w:val="center"/>
        <w:rPr>
          <w:rFonts w:hint="eastAsia" w:ascii="宋体" w:hAnsi="宋体" w:eastAsia="宋体" w:cs="宋体"/>
          <w:b/>
          <w:bCs/>
          <w:sz w:val="44"/>
          <w:szCs w:val="44"/>
          <w:lang w:eastAsia="zh-CN"/>
        </w:rPr>
      </w:pPr>
    </w:p>
    <w:p w14:paraId="0B6C1D60">
      <w:pPr>
        <w:kinsoku/>
        <w:wordWrap/>
        <w:overflowPunct/>
        <w:topLinePunct w:val="0"/>
        <w:bidi w:val="0"/>
        <w:spacing w:line="360" w:lineRule="auto"/>
        <w:jc w:val="center"/>
        <w:rPr>
          <w:rFonts w:hint="eastAsia" w:ascii="宋体" w:hAnsi="宋体" w:eastAsia="宋体" w:cs="宋体"/>
          <w:b/>
          <w:sz w:val="44"/>
          <w:szCs w:val="44"/>
        </w:rPr>
      </w:pPr>
    </w:p>
    <w:p w14:paraId="0D1A1883">
      <w:pPr>
        <w:pStyle w:val="4"/>
        <w:rPr>
          <w:rFonts w:hint="eastAsia" w:ascii="宋体" w:hAnsi="宋体" w:eastAsia="宋体" w:cs="宋体"/>
        </w:rPr>
      </w:pPr>
    </w:p>
    <w:p w14:paraId="060EE767">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甲方（盖章）：                              乙方（盖章）：</w:t>
      </w:r>
    </w:p>
    <w:p w14:paraId="4C7F48A3">
      <w:pPr>
        <w:spacing w:line="360" w:lineRule="auto"/>
        <w:rPr>
          <w:rFonts w:hint="eastAsia" w:ascii="宋体" w:hAnsi="宋体" w:eastAsia="宋体" w:cs="宋体"/>
          <w:color w:val="000000"/>
          <w:sz w:val="21"/>
          <w:szCs w:val="21"/>
          <w:highlight w:val="none"/>
        </w:rPr>
      </w:pPr>
    </w:p>
    <w:p w14:paraId="20E43BE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代表人（签字）：                            代表人（签字）：</w:t>
      </w:r>
    </w:p>
    <w:p w14:paraId="023E19DB">
      <w:pPr>
        <w:spacing w:line="360" w:lineRule="auto"/>
        <w:rPr>
          <w:rFonts w:hint="eastAsia" w:ascii="宋体" w:hAnsi="宋体" w:eastAsia="宋体" w:cs="宋体"/>
          <w:color w:val="000000"/>
          <w:sz w:val="21"/>
          <w:szCs w:val="21"/>
          <w:highlight w:val="none"/>
        </w:rPr>
      </w:pPr>
    </w:p>
    <w:p w14:paraId="1DE3CC60">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w:t>
      </w:r>
      <w:r>
        <w:rPr>
          <w:rFonts w:hint="eastAsia" w:ascii="宋体" w:hAnsi="宋体" w:eastAsia="宋体" w:cs="宋体"/>
          <w:color w:val="000000"/>
          <w:sz w:val="21"/>
          <w:szCs w:val="21"/>
          <w:highlight w:val="none"/>
          <w:lang w:val="en-US" w:eastAsia="zh-CN"/>
        </w:rPr>
        <w:t>25</w:t>
      </w:r>
      <w:r>
        <w:rPr>
          <w:rFonts w:hint="eastAsia" w:ascii="宋体" w:hAnsi="宋体" w:eastAsia="宋体" w:cs="宋体"/>
          <w:color w:val="000000"/>
          <w:sz w:val="21"/>
          <w:szCs w:val="21"/>
          <w:highlight w:val="none"/>
        </w:rPr>
        <w:t>年    月   日                         20</w:t>
      </w:r>
      <w:r>
        <w:rPr>
          <w:rFonts w:hint="eastAsia" w:ascii="宋体" w:hAnsi="宋体" w:eastAsia="宋体" w:cs="宋体"/>
          <w:color w:val="000000"/>
          <w:sz w:val="21"/>
          <w:szCs w:val="21"/>
          <w:highlight w:val="none"/>
          <w:lang w:val="en-US" w:eastAsia="zh-CN"/>
        </w:rPr>
        <w:t>25</w:t>
      </w:r>
      <w:r>
        <w:rPr>
          <w:rFonts w:hint="eastAsia" w:ascii="宋体" w:hAnsi="宋体" w:eastAsia="宋体" w:cs="宋体"/>
          <w:color w:val="000000"/>
          <w:sz w:val="21"/>
          <w:szCs w:val="21"/>
          <w:highlight w:val="none"/>
          <w:lang w:eastAsia="zh-CN"/>
        </w:rPr>
        <w:t xml:space="preserve"> </w:t>
      </w:r>
      <w:r>
        <w:rPr>
          <w:rFonts w:hint="eastAsia" w:ascii="宋体" w:hAnsi="宋体" w:eastAsia="宋体" w:cs="宋体"/>
          <w:color w:val="000000"/>
          <w:sz w:val="21"/>
          <w:szCs w:val="21"/>
          <w:highlight w:val="none"/>
        </w:rPr>
        <w:t>年  月  日</w:t>
      </w:r>
    </w:p>
    <w:p w14:paraId="50AB9344">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6E52D53"/>
    <w:rsid w:val="02186A33"/>
    <w:rsid w:val="02D1397D"/>
    <w:rsid w:val="04101CCF"/>
    <w:rsid w:val="042A6EF2"/>
    <w:rsid w:val="04DC75E5"/>
    <w:rsid w:val="08023A9E"/>
    <w:rsid w:val="082D5FAD"/>
    <w:rsid w:val="09722ECD"/>
    <w:rsid w:val="09F207CD"/>
    <w:rsid w:val="0A2800E7"/>
    <w:rsid w:val="0B1C57E6"/>
    <w:rsid w:val="0B8C3FEE"/>
    <w:rsid w:val="11EB5F12"/>
    <w:rsid w:val="12186162"/>
    <w:rsid w:val="139D148E"/>
    <w:rsid w:val="148B578A"/>
    <w:rsid w:val="19E971DB"/>
    <w:rsid w:val="1BD9327F"/>
    <w:rsid w:val="201A79C2"/>
    <w:rsid w:val="214404DA"/>
    <w:rsid w:val="217C6B87"/>
    <w:rsid w:val="217D46AD"/>
    <w:rsid w:val="22431452"/>
    <w:rsid w:val="2327012B"/>
    <w:rsid w:val="26AF5308"/>
    <w:rsid w:val="27EA72C8"/>
    <w:rsid w:val="2A9E191C"/>
    <w:rsid w:val="2CD86C3B"/>
    <w:rsid w:val="2D302FAF"/>
    <w:rsid w:val="2E772BB0"/>
    <w:rsid w:val="2E884DBD"/>
    <w:rsid w:val="305C2EA2"/>
    <w:rsid w:val="32CC7FD5"/>
    <w:rsid w:val="367D7393"/>
    <w:rsid w:val="3AD46C94"/>
    <w:rsid w:val="3DB039E8"/>
    <w:rsid w:val="3FA7706D"/>
    <w:rsid w:val="404B17A6"/>
    <w:rsid w:val="41967399"/>
    <w:rsid w:val="419E7FFC"/>
    <w:rsid w:val="46BE352B"/>
    <w:rsid w:val="4710374A"/>
    <w:rsid w:val="47121270"/>
    <w:rsid w:val="47A45C40"/>
    <w:rsid w:val="47ED5839"/>
    <w:rsid w:val="48E00EFA"/>
    <w:rsid w:val="4B840262"/>
    <w:rsid w:val="4D493467"/>
    <w:rsid w:val="4D7E7E95"/>
    <w:rsid w:val="4DEF78C1"/>
    <w:rsid w:val="4DFE254E"/>
    <w:rsid w:val="4F277882"/>
    <w:rsid w:val="510734C7"/>
    <w:rsid w:val="554F7B33"/>
    <w:rsid w:val="55524F2D"/>
    <w:rsid w:val="567D5FDA"/>
    <w:rsid w:val="56C8194B"/>
    <w:rsid w:val="5866141B"/>
    <w:rsid w:val="59E7658C"/>
    <w:rsid w:val="5AB7379D"/>
    <w:rsid w:val="5B506D2A"/>
    <w:rsid w:val="5BD316EB"/>
    <w:rsid w:val="5D283143"/>
    <w:rsid w:val="62F67840"/>
    <w:rsid w:val="64656A2B"/>
    <w:rsid w:val="64C41542"/>
    <w:rsid w:val="64FD3107"/>
    <w:rsid w:val="69CA10DE"/>
    <w:rsid w:val="6D0112BB"/>
    <w:rsid w:val="6E1A6AD8"/>
    <w:rsid w:val="6FE74798"/>
    <w:rsid w:val="706A7177"/>
    <w:rsid w:val="70903082"/>
    <w:rsid w:val="71245578"/>
    <w:rsid w:val="71494FDF"/>
    <w:rsid w:val="74F6722B"/>
    <w:rsid w:val="76E52D53"/>
    <w:rsid w:val="78911745"/>
    <w:rsid w:val="78A31478"/>
    <w:rsid w:val="7FD91C23"/>
    <w:rsid w:val="7FFD5912"/>
    <w:rsid w:val="BCFFB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numPr>
        <w:ilvl w:val="0"/>
        <w:numId w:val="1"/>
      </w:numPr>
      <w:spacing w:before="50" w:beforeLines="50" w:after="50" w:afterLines="50"/>
      <w:jc w:val="center"/>
      <w:outlineLvl w:val="0"/>
    </w:pPr>
    <w:rPr>
      <w:rFonts w:ascii="Calibri" w:hAnsi="Calibri" w:eastAsia="黑体"/>
      <w:bCs/>
      <w:kern w:val="36"/>
      <w:sz w:val="32"/>
      <w:szCs w:val="32"/>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paragraph" w:styleId="4">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jc w:val="left"/>
    </w:pPr>
    <w:rPr>
      <w:rFonts w:ascii="Copperplate Gothic Bold" w:hAnsi="Copperplate Gothic Bold"/>
      <w:sz w:val="28"/>
    </w:r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10">
    <w:name w:val="page number"/>
    <w:qFormat/>
    <w:uiPriority w:val="0"/>
    <w:rPr>
      <w:rFonts w:ascii="Times New Roman" w:hAnsi="Times New Roman" w:eastAsia="宋体" w:cs="Times New Roman"/>
    </w:rPr>
  </w:style>
  <w:style w:type="character" w:styleId="11">
    <w:name w:val="Hyperlink"/>
    <w:qFormat/>
    <w:uiPriority w:val="0"/>
    <w:rPr>
      <w:rFonts w:ascii="Times New Roman" w:hAnsi="Times New Roman" w:eastAsia="宋体" w:cs="Times New Roman"/>
      <w:color w:val="0000FF"/>
      <w:u w:val="single"/>
    </w:rPr>
  </w:style>
  <w:style w:type="paragraph" w:customStyle="1" w:styleId="12">
    <w:name w:val="Footer"/>
    <w:basedOn w:val="1"/>
    <w:qFormat/>
    <w:uiPriority w:val="0"/>
    <w:pPr>
      <w:tabs>
        <w:tab w:val="center" w:pos="4153"/>
        <w:tab w:val="right" w:pos="8306"/>
      </w:tabs>
      <w:snapToGrid w:val="0"/>
      <w:jc w:val="left"/>
    </w:pPr>
    <w:rPr>
      <w:rFonts w:ascii="Times New Roman" w:hAnsi="Times New Roman" w:eastAsia="宋体" w:cs="Times New Roman"/>
      <w:sz w:val="18"/>
      <w:szCs w:val="20"/>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3908</Words>
  <Characters>3956</Characters>
  <Lines>0</Lines>
  <Paragraphs>0</Paragraphs>
  <TotalTime>0</TotalTime>
  <ScaleCrop>false</ScaleCrop>
  <LinksUpToDate>false</LinksUpToDate>
  <CharactersWithSpaces>4142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2023-10-10T12:19:00Z</dcterms:created>
  <dc:creator>Administrator</dc:creator>
  <cp:lastModifiedBy>L</cp:lastModifiedBy>
  <dcterms:modified xsi:type="dcterms:W3CDTF">2025-08-28T08:44:51Z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A82A6762C29441D39BDE9859941CF458_13</vt:lpwstr>
  </property>
  <property fmtid="{D5CDD505-2E9C-101B-9397-08002B2CF9AE}" pid="4" name="KSOTemplateDocerSaveRecord">
    <vt:lpwstr>eyJoZGlkIjoiMmNiODI4YTExOGQ3MDMxNzk5NDU0OWRlODMyNGE3ZDIiLCJ1c2VySWQiOiI0NDIwOTI0MjIifQ==</vt:lpwstr>
  </property>
</Properties>
</file>