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版本号：ZCSP-西安市-2025-00691（HYZ【2025】006号）20250901001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2025年科技大市场网络平台运营及硬件维护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ZCSP-西安市-2025-00691（HYZ【2025】006号）</w:t>
      </w:r>
      <w:r>
        <w:br/>
      </w:r>
      <w:r>
        <w:br/>
      </w:r>
      <w:r>
        <w:br/>
      </w:r>
    </w:p>
    <w:p>
      <w:pPr>
        <w:pStyle w:val="null3"/>
        <w:jc w:val="center"/>
        <w:outlineLvl w:val="2"/>
      </w:pPr>
      <w:r>
        <w:rPr>
          <w:rFonts w:ascii="仿宋_GB2312" w:hAnsi="仿宋_GB2312" w:cs="仿宋_GB2312" w:eastAsia="仿宋_GB2312"/>
          <w:sz w:val="28"/>
          <w:b/>
        </w:rPr>
        <w:t>西安科技大市场服务中心</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西安科技大市场服务中心</w:t>
      </w:r>
      <w:r>
        <w:rPr>
          <w:rFonts w:ascii="仿宋_GB2312" w:hAnsi="仿宋_GB2312" w:cs="仿宋_GB2312" w:eastAsia="仿宋_GB2312"/>
        </w:rPr>
        <w:t>委托，拟对</w:t>
      </w:r>
      <w:r>
        <w:rPr>
          <w:rFonts w:ascii="仿宋_GB2312" w:hAnsi="仿宋_GB2312" w:cs="仿宋_GB2312" w:eastAsia="仿宋_GB2312"/>
        </w:rPr>
        <w:t>2025年科技大市场网络平台运营及硬件维护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ZCSP-西安市-2025-00691（HYZ【2025】006号）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2025年科技大市场网络平台运营及硬件维护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市场网络平台（以下简称“网络平台”）统筹整合了包括专利数据、研发服务、资讯、仪器、政策、科技成果、科技组织、行业专家在内的大量科技资源，为西安大市场服务中心（以下简称“大市场”）的业务发展提供了全面的科技信息服务。网络平台形成了以大数据分析、专利申请前评估系统、研发公共服务、专家系统、门户站群、客户信息管理系统、仪器共享子系统、政策匹配推送系统、技术转移服务系统、创新创业服务系统、秦创原系列应用系统等各类公共服务系统构成的区域性综合科技服务平台。 本项目旨在通过专业的运维服务和管理，为西安科技大市场网络平台的安全与稳定运行提供技术支撑和保障。保障机房基础设施安全稳定运行，不因基础设施故障导致设备出现宕机等事故。如出现不可抗拒因素导致的紧急事故，在第一时间启动应急预案，将损失降为最低；协助相关管理部门制定运维流程、操作规范和管理制度，例如机房管理规定和应急处置预案等；完成大市场管理部门交办的其他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1、不接受联合体投标：本项目不接受联合体投标，不允许分包。供应商应提供《非联合体不分包投标声明》；</w:t>
      </w:r>
    </w:p>
    <w:p>
      <w:pPr>
        <w:pStyle w:val="null3"/>
      </w:pPr>
      <w:r>
        <w:rPr>
          <w:rFonts w:ascii="仿宋_GB2312" w:hAnsi="仿宋_GB2312" w:cs="仿宋_GB2312" w:eastAsia="仿宋_GB2312"/>
        </w:rPr>
        <w:t>2、法定代表人授权委托书：法定代表人参加磋投标的，须出示身份证；法定代表人授权他人参加投标的，须提供法定代表人授权委托书及被授权人身份证复印件；非法人单位参照执行。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西安科技大市场服务中心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陕西省西安市长安区国际文化传播中心北楼11层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大市场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029-68518779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陕西省西安市雁塔区陕西省西安市高新区丈八街办高新路西部国际广场1幢13201室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张宏武、张耀、彭涛、孟皓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029-88859352-8001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采购包1：544,392.00元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代理服务费收费标准：参照国家计委计价格【2002】1980号及发改价格[2011]534号文件规定计取，由成交供应商支付代理服务费。收款账户如下 ： 收款单位：宏业国际项目管理有限公司 开户银行：中国民生银行西安分行营业部 银行账号：1201014170000570 转账时请备注：HYZ[2025]006号项目服务费。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西安科技大市场服务中心</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西安科技大市场服务中心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西安科技大市场服务中心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联系人：张宏武、张耀、彭涛、孟皓</w:t>
      </w:r>
    </w:p>
    <w:p>
      <w:pPr>
        <w:pStyle w:val="null3"/>
      </w:pPr>
      <w:r>
        <w:rPr>
          <w:rFonts w:ascii="仿宋_GB2312" w:hAnsi="仿宋_GB2312" w:cs="仿宋_GB2312" w:eastAsia="仿宋_GB2312"/>
        </w:rPr>
        <w:t>联系电话：029-888593528-8001</w:t>
      </w:r>
    </w:p>
    <w:p>
      <w:pPr>
        <w:pStyle w:val="null3"/>
      </w:pPr>
      <w:r>
        <w:rPr>
          <w:rFonts w:ascii="仿宋_GB2312" w:hAnsi="仿宋_GB2312" w:cs="仿宋_GB2312" w:eastAsia="仿宋_GB2312"/>
        </w:rPr>
        <w:t>地址：西安市高新路2号西部国际广场1幢32层</w:t>
      </w:r>
    </w:p>
    <w:p>
      <w:pPr>
        <w:pStyle w:val="null3"/>
      </w:pPr>
      <w:r>
        <w:rPr>
          <w:rFonts w:ascii="仿宋_GB2312" w:hAnsi="仿宋_GB2312" w:cs="仿宋_GB2312" w:eastAsia="仿宋_GB2312"/>
        </w:rPr>
        <w:t>邮编：710056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西安科技大市场网络平台（以下简称</w:t>
      </w:r>
      <w:r>
        <w:rPr>
          <w:rFonts w:ascii="仿宋_GB2312" w:hAnsi="仿宋_GB2312" w:cs="仿宋_GB2312" w:eastAsia="仿宋_GB2312"/>
          <w:sz w:val="21"/>
        </w:rPr>
        <w:t>“网络平台”）统筹整合了包括专利数据、研发服务、资讯、仪器、政策、科技成果、科技组织、行业专家在内的大量科技资源，为西安大市场服务中心（以下简称“大市场”）的业务发展提供了全面的科技信息服务。网络平台形成了以大数据分析、专利申请前评估系统、研发公共服务、专家系统、门户站群、客户信息管理系统、仪器共享子系统、政策匹配推送系统、技术转移服务系统、创新创业服务系统、秦创原系列应用系统等各类公共服务系统构成的区域性综合科技服务平台。 本项目旨在通过专业的运维服务和管理，为西安科技大市场网络平台的安全与稳定运行提供技术支撑和保障。保障机房基础设施安全稳定运行，不因基础设施故障导致设备出现宕机等事故。如出现不可抗拒因素导致的紧急事故，在第一时间启动应急预案，将损失降为最低；协助相关管理部门制定运维流程、操作规范和管理制度，例如机房管理规定和应急处置预案等；完成大市场管理部门交办的其他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544,392.00</w:t>
      </w:r>
    </w:p>
    <w:p>
      <w:pPr>
        <w:pStyle w:val="null3"/>
      </w:pPr>
      <w:r>
        <w:rPr>
          <w:rFonts w:ascii="仿宋_GB2312" w:hAnsi="仿宋_GB2312" w:cs="仿宋_GB2312" w:eastAsia="仿宋_GB2312"/>
        </w:rPr>
        <w:t>采购包最高限价（元）: 544,392.00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防火墙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501,492.00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1.★整机吞吐量≥3Gbps，最大并发连接数≥100万，每秒新建连接数≥4万；</w:t>
            </w:r>
          </w:p>
          <w:p>
            <w:pPr>
              <w:pStyle w:val="null3"/>
            </w:pPr>
            <w:r>
              <w:rPr>
                <w:rFonts w:ascii="仿宋_GB2312" w:hAnsi="仿宋_GB2312" w:cs="仿宋_GB2312" w:eastAsia="仿宋_GB2312"/>
                <w:sz w:val="18"/>
              </w:rPr>
              <w:t>2.★千兆电口≥10，万兆光口≥2，配置SD≥64GB，3年威胁防护；</w:t>
            </w:r>
          </w:p>
          <w:p>
            <w:pPr>
              <w:pStyle w:val="null3"/>
            </w:pPr>
            <w:r>
              <w:rPr>
                <w:rFonts w:ascii="仿宋_GB2312" w:hAnsi="仿宋_GB2312" w:cs="仿宋_GB2312" w:eastAsia="仿宋_GB2312"/>
                <w:sz w:val="18"/>
              </w:rPr>
              <w:t>3.支持设备的WEB管理页面中直接打开CLI控制命令，提供截图证明；</w:t>
            </w:r>
          </w:p>
          <w:p>
            <w:pPr>
              <w:pStyle w:val="null3"/>
            </w:pPr>
            <w:r>
              <w:rPr>
                <w:rFonts w:ascii="仿宋_GB2312" w:hAnsi="仿宋_GB2312" w:cs="仿宋_GB2312" w:eastAsia="仿宋_GB2312"/>
                <w:sz w:val="18"/>
              </w:rPr>
              <w:t>4.支持静态路由、策略路由、RIP、OSPF、BGP、ISIS等路由协议，支持SRv6</w:t>
            </w:r>
            <w:r>
              <w:rPr>
                <w:rFonts w:ascii="仿宋_GB2312" w:hAnsi="仿宋_GB2312" w:cs="仿宋_GB2312" w:eastAsia="仿宋_GB2312"/>
                <w:sz w:val="18"/>
              </w:rPr>
              <w:t>协议，提供截图证明；</w:t>
            </w:r>
          </w:p>
          <w:p>
            <w:pPr>
              <w:pStyle w:val="null3"/>
            </w:pPr>
            <w:r>
              <w:rPr>
                <w:rFonts w:ascii="仿宋_GB2312" w:hAnsi="仿宋_GB2312" w:cs="仿宋_GB2312" w:eastAsia="仿宋_GB2312"/>
                <w:sz w:val="18"/>
              </w:rPr>
              <w:t>5.支持NAT66，NAT64功能，支持三元组NAT smart-fullcone；</w:t>
            </w:r>
          </w:p>
          <w:p>
            <w:pPr>
              <w:pStyle w:val="null3"/>
            </w:pPr>
            <w:r>
              <w:rPr>
                <w:rFonts w:ascii="仿宋_GB2312" w:hAnsi="仿宋_GB2312" w:cs="仿宋_GB2312" w:eastAsia="仿宋_GB2312"/>
                <w:sz w:val="18"/>
              </w:rPr>
              <w:t>6.提供防火墙产品进入Gartner企业防火墙四象限，提供证明材料；</w:t>
            </w:r>
          </w:p>
          <w:p>
            <w:pPr>
              <w:pStyle w:val="null3"/>
              <w:jc w:val="both"/>
            </w:pPr>
            <w:r>
              <w:rPr>
                <w:rFonts w:ascii="仿宋_GB2312" w:hAnsi="仿宋_GB2312" w:cs="仿宋_GB2312" w:eastAsia="仿宋_GB2312"/>
                <w:sz w:val="18"/>
              </w:rPr>
              <w:t>7.★提供设备合法来源证明渠道，包括但不限于销售协议、代理协议、原厂授权或承诺书等。</w:t>
            </w:r>
          </w:p>
        </w:tc>
      </w:tr>
    </w:tbl>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服务商要通过专业规范的运维服务和管理办法，为网络平台的安全与稳定运行提供技术支撑和保障，保障机房基础设施安全稳定运行。协助相关管理部门制定运维流</w:t>
            </w:r>
            <w:r>
              <w:rPr>
                <w:rFonts w:ascii="仿宋_GB2312" w:hAnsi="仿宋_GB2312" w:cs="仿宋_GB2312" w:eastAsia="仿宋_GB2312"/>
                <w:sz w:val="18"/>
              </w:rPr>
              <w:t>程、操作规范和管理制度，例如机房管理规定和应急处置预案等；完成大市场管理部门交办的相关协助工作，服从大市场统一管理，遵守大市场各项驻场管理规定。</w:t>
            </w:r>
          </w:p>
          <w:p>
            <w:pPr>
              <w:pStyle w:val="null3"/>
            </w:pPr>
            <w:r>
              <w:rPr>
                <w:rFonts w:ascii="仿宋_GB2312" w:hAnsi="仿宋_GB2312" w:cs="仿宋_GB2312" w:eastAsia="仿宋_GB2312"/>
                <w:sz w:val="18"/>
              </w:rPr>
              <w:t>网络平台主要包括：机房基础设施、办公信息网络、大市场服务大厅、创新科技服务展厅、魔方控制系统、会议室多媒体系统、门户站群系统、技术转移公共服务系统、设备共享公共服务系统、知识产权公共服务系统、科技政策公共服务系统、人才创业服务系统、网络存储系统、大数据平台、数据库系统、秦创原系列应用系统等，主要设施如下：</w:t>
            </w:r>
          </w:p>
          <w:p>
            <w:pPr>
              <w:pStyle w:val="null3"/>
            </w:pPr>
            <w:r>
              <w:rPr>
                <w:rFonts w:ascii="仿宋_GB2312" w:hAnsi="仿宋_GB2312" w:cs="仿宋_GB2312" w:eastAsia="仿宋_GB2312"/>
                <w:sz w:val="18"/>
              </w:rPr>
              <w:t xml:space="preserve">                                     西安科技大市场网络平台主要设施清单</w:t>
            </w:r>
          </w:p>
          <w:tbl>
            <w:tblPr>
              <w:tblInd w:type="dxa" w:w="120"/>
              <w:tblBorders>
                <w:top w:val="none" w:color="000000" w:sz="4"/>
                <w:left w:val="none" w:color="000000" w:sz="4"/>
                <w:bottom w:val="none" w:color="000000" w:sz="4"/>
                <w:right w:val="none" w:color="000000" w:sz="4"/>
                <w:insideH w:val="none"/>
                <w:insideV w:val="none"/>
              </w:tblBorders>
            </w:tblPr>
            <w:tblGrid>
              <w:gridCol w:w="663"/>
              <w:gridCol w:w="669"/>
              <w:gridCol w:w="421"/>
              <w:gridCol w:w="528"/>
            </w:tblGrid>
            <w:tr>
              <w:tc>
                <w:tcPr>
                  <w:tcW w:type="dxa" w:w="6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类型</w:t>
                  </w:r>
                </w:p>
              </w:tc>
              <w:tc>
                <w:tcPr>
                  <w:tcW w:type="dxa" w:w="6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品牌型号</w:t>
                  </w:r>
                </w:p>
              </w:tc>
              <w:tc>
                <w:tcPr>
                  <w:tcW w:type="dxa" w:w="4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数量</w:t>
                  </w:r>
                </w:p>
              </w:tc>
              <w:tc>
                <w:tcPr>
                  <w:tcW w:type="dxa" w:w="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备注</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机房基础设施</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机房基础设施</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办公信息网络</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3套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办公信息网络</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运营商互联网接入</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3套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互联网接入</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大市场服务大厅</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综合应用系统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创新科技服务展厅</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综合视频系统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会议室多媒体系统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大市场自建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4套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会议室系统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门户站群系统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FusionPortal</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技术转移公共服务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仪器设备共享公共服务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知识产权公共服务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科技政策公共服务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人才创业服务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大数据平台</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Mongodb</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3个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集群分布式</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大数据平台</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Hadoop</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集群分布式</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大数据检索</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ElaticSearch</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10个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集群分布式</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网络存储系统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DELL 7020</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网络存储系统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FC光纤网络交换机</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DS 6506B</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光纤交换机</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FC光纤交换网络</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DELL EMC</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光纤交换网络</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数据库系统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Oracle 11G</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应用支撑平台</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数据库系统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Mysql 5.7</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应用支撑平台</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代理</w:t>
                  </w:r>
                  <w:r>
                    <w:rPr>
                      <w:rFonts w:ascii="仿宋_GB2312" w:hAnsi="仿宋_GB2312" w:cs="仿宋_GB2312" w:eastAsia="仿宋_GB2312"/>
                      <w:sz w:val="18"/>
                    </w:rPr>
                    <w:t>web服务器</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Nginx</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应用支撑平台</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运维管理系统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应用支撑平台</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监测报警系统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应用支撑平台</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专利检索系统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研发公共服务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专家系统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CentOS</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内部办公系统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Redhat</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门户站群</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Redhat</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客户信息管理</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Redhat</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资料管理系统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Redhat</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创新创业服务</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Redhat</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1个</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视频监控系统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HUAWEI</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监控系统</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门禁管理系统</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XaTrm 自建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1套</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监控系统</w:t>
                  </w:r>
                </w:p>
              </w:tc>
            </w:tr>
            <w:tr>
              <w:tc>
                <w:tcPr>
                  <w:tcW w:type="dxa" w:w="6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服务器</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IBM3650M3</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12台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应用服务器</w:t>
                  </w:r>
                </w:p>
              </w:tc>
            </w:tr>
            <w:tr>
              <w:tc>
                <w:tcPr>
                  <w:tcW w:type="dxa" w:w="66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Lenovo</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应用服务器</w:t>
                  </w:r>
                </w:p>
              </w:tc>
            </w:tr>
            <w:tr>
              <w:tc>
                <w:tcPr>
                  <w:tcW w:type="dxa" w:w="66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曙光</w:t>
                  </w:r>
                  <w:r>
                    <w:rPr>
                      <w:rFonts w:ascii="仿宋_GB2312" w:hAnsi="仿宋_GB2312" w:cs="仿宋_GB2312" w:eastAsia="仿宋_GB2312"/>
                      <w:sz w:val="18"/>
                    </w:rPr>
                    <w:t>A620</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12台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应用服务器</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精密空调</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爱默生</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精密空调</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台式电脑</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联想</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50</w:t>
                  </w:r>
                  <w:r>
                    <w:rPr>
                      <w:rFonts w:ascii="仿宋_GB2312" w:hAnsi="仿宋_GB2312" w:cs="仿宋_GB2312" w:eastAsia="仿宋_GB2312"/>
                      <w:sz w:val="18"/>
                    </w:rPr>
                    <w:t>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办公电脑</w:t>
                  </w:r>
                </w:p>
              </w:tc>
            </w:tr>
            <w:tr>
              <w:tc>
                <w:tcPr>
                  <w:tcW w:type="dxa" w:w="6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笔记本电脑</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IBM</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办公电脑</w:t>
                  </w:r>
                </w:p>
              </w:tc>
            </w:tr>
            <w:tr>
              <w:tc>
                <w:tcPr>
                  <w:tcW w:type="dxa" w:w="66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联想</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10台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办公电脑</w:t>
                  </w:r>
                </w:p>
              </w:tc>
            </w:tr>
            <w:tr>
              <w:tc>
                <w:tcPr>
                  <w:tcW w:type="dxa" w:w="6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打印机</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京瓷</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办公设备</w:t>
                  </w:r>
                </w:p>
              </w:tc>
            </w:tr>
            <w:tr>
              <w:tc>
                <w:tcPr>
                  <w:tcW w:type="dxa" w:w="663"/>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惠普</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5台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办公设备</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AP</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联想天工</w:t>
                  </w:r>
                  <w:r>
                    <w:rPr>
                      <w:rFonts w:ascii="仿宋_GB2312" w:hAnsi="仿宋_GB2312" w:cs="仿宋_GB2312" w:eastAsia="仿宋_GB2312"/>
                      <w:sz w:val="18"/>
                    </w:rPr>
                    <w:t>LW-8045</w:t>
                  </w:r>
                </w:p>
                <w:p>
                  <w:pPr>
                    <w:pStyle w:val="null3"/>
                  </w:pPr>
                  <w:r>
                    <w:rPr>
                      <w:rFonts w:ascii="仿宋_GB2312" w:hAnsi="仿宋_GB2312" w:cs="仿宋_GB2312" w:eastAsia="仿宋_GB2312"/>
                      <w:sz w:val="18"/>
                    </w:rPr>
                    <w:t>-1</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8台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网络设备</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投影机</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索诺克</w:t>
                  </w:r>
                  <w:r>
                    <w:rPr>
                      <w:rFonts w:ascii="仿宋_GB2312" w:hAnsi="仿宋_GB2312" w:cs="仿宋_GB2312" w:eastAsia="仿宋_GB2312"/>
                      <w:sz w:val="18"/>
                    </w:rPr>
                    <w:t>NP6500</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3台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办公设备</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电话</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侨兴</w:t>
                  </w:r>
                  <w:r>
                    <w:rPr>
                      <w:rFonts w:ascii="仿宋_GB2312" w:hAnsi="仿宋_GB2312" w:cs="仿宋_GB2312" w:eastAsia="仿宋_GB2312"/>
                      <w:sz w:val="18"/>
                    </w:rPr>
                    <w:t>/TCL/高科</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50</w:t>
                  </w:r>
                  <w:r>
                    <w:rPr>
                      <w:rFonts w:ascii="仿宋_GB2312" w:hAnsi="仿宋_GB2312" w:cs="仿宋_GB2312" w:eastAsia="仿宋_GB2312"/>
                      <w:sz w:val="18"/>
                    </w:rPr>
                    <w:t>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办公设备</w:t>
                  </w:r>
                </w:p>
              </w:tc>
            </w:tr>
            <w:tr>
              <w:tc>
                <w:tcPr>
                  <w:tcW w:type="dxa" w:w="6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安全设备</w:t>
                  </w:r>
                </w:p>
              </w:tc>
              <w:tc>
                <w:tcPr>
                  <w:tcW w:type="dxa" w:w="6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华为</w:t>
                  </w:r>
                  <w:r>
                    <w:rPr>
                      <w:rFonts w:ascii="仿宋_GB2312" w:hAnsi="仿宋_GB2312" w:cs="仿宋_GB2312" w:eastAsia="仿宋_GB2312"/>
                      <w:sz w:val="18"/>
                    </w:rPr>
                    <w:t>、</w:t>
                  </w:r>
                  <w:r>
                    <w:rPr>
                      <w:rFonts w:ascii="仿宋_GB2312" w:hAnsi="仿宋_GB2312" w:cs="仿宋_GB2312" w:eastAsia="仿宋_GB2312"/>
                      <w:sz w:val="18"/>
                    </w:rPr>
                    <w:t>启明星辰</w:t>
                  </w:r>
                </w:p>
              </w:tc>
              <w:tc>
                <w:tcPr>
                  <w:tcW w:type="dxa" w:w="4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6台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网络安全设备</w:t>
                  </w:r>
                </w:p>
              </w:tc>
            </w:tr>
            <w:tr>
              <w:tc>
                <w:tcPr>
                  <w:tcW w:type="dxa" w:w="663"/>
                  <w:vMerge/>
                  <w:tcBorders>
                    <w:top w:val="none" w:color="000000" w:sz="4"/>
                    <w:left w:val="single" w:color="000000" w:sz="4"/>
                    <w:bottom w:val="single" w:color="000000" w:sz="4"/>
                    <w:right w:val="single" w:color="000000" w:sz="4"/>
                  </w:tcBorders>
                </w:tcPr>
                <w:p/>
              </w:tc>
              <w:tc>
                <w:tcPr>
                  <w:tcW w:type="dxa" w:w="669"/>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网络安全设备</w:t>
                  </w:r>
                </w:p>
              </w:tc>
            </w:tr>
            <w:tr>
              <w:tc>
                <w:tcPr>
                  <w:tcW w:type="dxa" w:w="6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交换机</w:t>
                  </w:r>
                </w:p>
              </w:tc>
              <w:tc>
                <w:tcPr>
                  <w:tcW w:type="dxa" w:w="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华为</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6台</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网络安全设备</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确保网络平台主要硬件设备、现有应用平台、全部域名：</w:t>
            </w:r>
            <w:r>
              <w:rPr>
                <w:rFonts w:ascii="仿宋_GB2312" w:hAnsi="仿宋_GB2312" w:cs="仿宋_GB2312" w:eastAsia="仿宋_GB2312"/>
                <w:sz w:val="18"/>
              </w:rPr>
              <w:t>www.xatrm.com</w:t>
            </w:r>
            <w:r>
              <w:rPr>
                <w:rFonts w:ascii="仿宋_GB2312" w:hAnsi="仿宋_GB2312" w:cs="仿宋_GB2312" w:eastAsia="仿宋_GB2312"/>
                <w:sz w:val="18"/>
              </w:rPr>
              <w:t>、</w:t>
            </w:r>
            <w:r>
              <w:rPr>
                <w:rFonts w:ascii="仿宋_GB2312" w:hAnsi="仿宋_GB2312" w:cs="仿宋_GB2312" w:eastAsia="仿宋_GB2312"/>
                <w:sz w:val="18"/>
              </w:rPr>
              <w:t>www.xatrm.net、</w:t>
            </w:r>
            <w:r>
              <w:rPr>
                <w:rFonts w:ascii="仿宋_GB2312" w:hAnsi="仿宋_GB2312" w:cs="仿宋_GB2312" w:eastAsia="仿宋_GB2312"/>
                <w:sz w:val="18"/>
              </w:rPr>
              <w:t>www.xatrm.org、</w:t>
            </w:r>
            <w:r>
              <w:rPr>
                <w:rFonts w:ascii="仿宋_GB2312" w:hAnsi="仿宋_GB2312" w:cs="仿宋_GB2312" w:eastAsia="仿宋_GB2312"/>
                <w:sz w:val="18"/>
              </w:rPr>
              <w:t>www.xatrm.com.cn</w:t>
            </w:r>
            <w:r>
              <w:rPr>
                <w:rFonts w:ascii="仿宋_GB2312" w:hAnsi="仿宋_GB2312" w:cs="仿宋_GB2312" w:eastAsia="仿宋_GB2312"/>
                <w:sz w:val="18"/>
              </w:rPr>
              <w:t>、</w:t>
            </w:r>
            <w:r>
              <w:rPr>
                <w:rFonts w:ascii="仿宋_GB2312" w:hAnsi="仿宋_GB2312" w:cs="仿宋_GB2312" w:eastAsia="仿宋_GB2312"/>
                <w:sz w:val="18"/>
              </w:rPr>
              <w:t>www.xatrm.cn</w:t>
            </w:r>
            <w:r>
              <w:rPr>
                <w:rFonts w:ascii="仿宋_GB2312" w:hAnsi="仿宋_GB2312" w:cs="仿宋_GB2312" w:eastAsia="仿宋_GB2312"/>
                <w:sz w:val="18"/>
              </w:rPr>
              <w:t>、</w:t>
            </w:r>
            <w:r>
              <w:rPr>
                <w:rFonts w:ascii="仿宋_GB2312" w:hAnsi="仿宋_GB2312" w:cs="仿宋_GB2312" w:eastAsia="仿宋_GB2312"/>
                <w:sz w:val="18"/>
              </w:rPr>
              <w:t>w</w:t>
            </w:r>
            <w:r>
              <w:rPr>
                <w:rFonts w:ascii="仿宋_GB2312" w:hAnsi="仿宋_GB2312" w:cs="仿宋_GB2312" w:eastAsia="仿宋_GB2312"/>
                <w:sz w:val="18"/>
              </w:rPr>
              <w:t>ww.cxew.cc等域名的正常运行和证书安装；</w:t>
            </w:r>
          </w:p>
          <w:p>
            <w:pPr>
              <w:pStyle w:val="null3"/>
            </w:pPr>
            <w:r>
              <w:rPr>
                <w:rFonts w:ascii="仿宋_GB2312" w:hAnsi="仿宋_GB2312" w:cs="仿宋_GB2312" w:eastAsia="仿宋_GB2312"/>
                <w:sz w:val="18"/>
              </w:rPr>
              <w:t>1.信息安全服务。提供平台整体的安全运维方案，从物理安全、网络通信安全、数据备份、防病毒管理、补丁管理、密码管理等方面进行安全管理。</w:t>
            </w:r>
          </w:p>
          <w:p>
            <w:pPr>
              <w:pStyle w:val="null3"/>
            </w:pPr>
            <w:r>
              <w:rPr>
                <w:rFonts w:ascii="仿宋_GB2312" w:hAnsi="仿宋_GB2312" w:cs="仿宋_GB2312" w:eastAsia="仿宋_GB2312"/>
                <w:sz w:val="18"/>
              </w:rPr>
              <w:t>为系统提供安全防护服务，包括对服务器系统、网络交换机、路由器以及安全系统的安全加固；对防火墙、入侵防御检测等安全设备硬件维保</w:t>
            </w:r>
            <w:r>
              <w:rPr>
                <w:rFonts w:ascii="仿宋_GB2312" w:hAnsi="仿宋_GB2312" w:cs="仿宋_GB2312" w:eastAsia="仿宋_GB2312"/>
                <w:sz w:val="18"/>
              </w:rPr>
              <w:t>;对防火墙等安全设备系统进行升级，安全策略配置调整。提供网络安全保障，过滤不良信息及防止外部入侵。</w:t>
            </w:r>
          </w:p>
          <w:p>
            <w:pPr>
              <w:pStyle w:val="null3"/>
            </w:pPr>
            <w:r>
              <w:rPr>
                <w:rFonts w:ascii="仿宋_GB2312" w:hAnsi="仿宋_GB2312" w:cs="仿宋_GB2312" w:eastAsia="仿宋_GB2312"/>
                <w:sz w:val="18"/>
              </w:rPr>
              <w:t>每月对系统做安全漏洞扫描和渗透测试，对系统安全进行风险防扩和安全漏洞整改，针对</w:t>
            </w:r>
            <w:r>
              <w:rPr>
                <w:rFonts w:ascii="仿宋_GB2312" w:hAnsi="仿宋_GB2312" w:cs="仿宋_GB2312" w:eastAsia="仿宋_GB2312"/>
                <w:sz w:val="18"/>
              </w:rPr>
              <w:t>SQL注入、XSS跨站攻击、DoS攻击、页面篡改等系统安全风险和漏洞提出解决方案和应急保障措施。对监测出的系统安全漏洞及时进行修复，确保平台安全稳定运行。定期提供安全漏洞扫描报告、渗透测试报告、安全运行处置报告等相关材料</w:t>
            </w:r>
            <w:r>
              <w:rPr>
                <w:rFonts w:ascii="仿宋_GB2312" w:hAnsi="仿宋_GB2312" w:cs="仿宋_GB2312" w:eastAsia="仿宋_GB2312"/>
                <w:sz w:val="18"/>
              </w:rPr>
              <w:t>。密切关注国内外信息安全漏洞库、信息安全厂商、</w:t>
            </w:r>
            <w:r>
              <w:rPr>
                <w:rFonts w:ascii="仿宋_GB2312" w:hAnsi="仿宋_GB2312" w:cs="仿宋_GB2312" w:eastAsia="仿宋_GB2312"/>
                <w:sz w:val="18"/>
              </w:rPr>
              <w:t>IT交流社区等组织机构发布的网络安全漏洞，对发现的涉及所运维软硬件的安全漏洞，立即进行排查确认，于1个工作日内将漏洞信息（内容包括但不限于漏洞名称、漏洞编号、风险等级、涉及主机IP及端口号、漏洞描述、修复建议等）通过电话、邮件、微信等方式通知大市场，并在 5个工作日内对漏洞进行修复，形成漏洞修复报告并提交大市场。</w:t>
            </w:r>
          </w:p>
          <w:p>
            <w:pPr>
              <w:pStyle w:val="null3"/>
            </w:pPr>
            <w:r>
              <w:rPr>
                <w:rFonts w:ascii="仿宋_GB2312" w:hAnsi="仿宋_GB2312" w:cs="仿宋_GB2312" w:eastAsia="仿宋_GB2312"/>
                <w:sz w:val="18"/>
              </w:rPr>
              <w:t>2.系统配置优化。服务商针对网络平台各系统、硬件、网络等设施的现状和存在问题提出切实可行、有效的优化配置方案或方法，并向采购人提交相关材料，同时配合采购人完成优化升级等相关事项。</w:t>
            </w:r>
          </w:p>
          <w:p>
            <w:pPr>
              <w:pStyle w:val="null3"/>
            </w:pPr>
            <w:r>
              <w:rPr>
                <w:rFonts w:ascii="仿宋_GB2312" w:hAnsi="仿宋_GB2312" w:cs="仿宋_GB2312" w:eastAsia="仿宋_GB2312"/>
                <w:sz w:val="18"/>
              </w:rPr>
              <w:t>3.网络维护服务。机房内所有网络设备以及线路保障。内容包括:日常维护、网络设备参数配置调整、事件处理、分析报告、性能监控、维修维保；内部网络和接入互联网设备等汇聚层以及接入层设备维护，内容包括:日常维护、网络设备参数配置调整、事件处理、分析报告、性能监控、维修维保等；对涉及网络相关系统的新建、扩容、升级等要求提供专业的技术建议、设计、指导以及实施等。</w:t>
            </w:r>
          </w:p>
          <w:p>
            <w:pPr>
              <w:pStyle w:val="null3"/>
            </w:pPr>
            <w:r>
              <w:rPr>
                <w:rFonts w:ascii="仿宋_GB2312" w:hAnsi="仿宋_GB2312" w:cs="仿宋_GB2312" w:eastAsia="仿宋_GB2312"/>
                <w:sz w:val="18"/>
              </w:rPr>
              <w:t>4.现场监控。由服务商安排专业技术人员驻场进行机房值守监控，通过监控工具实时对网站群服务端响应时间、网络延时、页面打开速度、页面报错统计追踪进行性能监控；对操作系统、数据库访问、页面访问等日志进行监控记录，建立统计报表并定期对日志进行分析审查；根据监控结果和实际情况，向大市场提交优化调整方案，对相关设备、系统等进行优化调整。及时发现隐患故障，上报重大事件并启动预案，确保故障和事件处置的有效性、及时性。</w:t>
            </w:r>
          </w:p>
          <w:p>
            <w:pPr>
              <w:pStyle w:val="null3"/>
            </w:pPr>
            <w:r>
              <w:rPr>
                <w:rFonts w:ascii="仿宋_GB2312" w:hAnsi="仿宋_GB2312" w:cs="仿宋_GB2312" w:eastAsia="仿宋_GB2312"/>
                <w:sz w:val="18"/>
              </w:rPr>
              <w:t>5.例行巡检和日常维护。驻场人员制定巡检计划，对所有业务系统、机房设备（服务器、网络安全设备、UPS、精密空调等）、展厅设备、会议室设备、网络线路及相关设备等进行定期检查，包括所有设备状态、业务系统运行情况、网络性能、存储空间、事件告警等。对于发现的故障隐患，立即上报给采购人，同时采取有效措施，保证设备的安全和系统稳定运行。并在日常工作中注重设备的维护保养和工作日志记录。</w:t>
            </w:r>
          </w:p>
          <w:p>
            <w:pPr>
              <w:pStyle w:val="null3"/>
            </w:pPr>
            <w:r>
              <w:rPr>
                <w:rFonts w:ascii="仿宋_GB2312" w:hAnsi="仿宋_GB2312" w:cs="仿宋_GB2312" w:eastAsia="仿宋_GB2312"/>
                <w:sz w:val="18"/>
              </w:rPr>
              <w:t>6.配合大市场开展等保测评或第三方安全测试的整改工作。</w:t>
            </w:r>
          </w:p>
          <w:p>
            <w:pPr>
              <w:pStyle w:val="null3"/>
            </w:pPr>
            <w:r>
              <w:rPr>
                <w:rFonts w:ascii="仿宋_GB2312" w:hAnsi="仿宋_GB2312" w:cs="仿宋_GB2312" w:eastAsia="仿宋_GB2312"/>
                <w:sz w:val="18"/>
              </w:rPr>
              <w:t>7.数据备份和恢复。服务商应调研分析提供网络平台各系统运行维护方法，包括数据备份和恢复以及迁移方案，并定期进行数据备份和恢复测试。投标方案要提供在系统和服务器出现宕机或服务器损坏无法启动时的解决方案，其中包括网络平台各系统的设备管理配置方案、操作系统安装恢复部署方案、数据库安装恢复部署方案和应用系统安装恢复部署方案。同时做好数据定期备份和恢复以及日志记录等相关工作。</w:t>
            </w:r>
          </w:p>
          <w:p>
            <w:pPr>
              <w:pStyle w:val="null3"/>
            </w:pPr>
            <w:r>
              <w:rPr>
                <w:rFonts w:ascii="仿宋_GB2312" w:hAnsi="仿宋_GB2312" w:cs="仿宋_GB2312" w:eastAsia="仿宋_GB2312"/>
                <w:sz w:val="18"/>
              </w:rPr>
              <w:t>8.应急保障。根据网络平台与信息安全突发事件的严重程度和影响范围，制定应急事件分级标准和上报流程等，方案应调研分析编制网络平台各系统的信息安全事件应急预案，以应对攻击和病毒入侵、系统文件遭到破坏删除或数据库崩溃等情况。整理分析各系统的应急保障措施，并对保障措施提升改进提出安全可靠的可行性解决方案。服务期内，至少组织二次全区性的网络与信息安全应急演练，针对演练发现的问题修订完善应急预案。</w:t>
            </w:r>
          </w:p>
          <w:p>
            <w:pPr>
              <w:pStyle w:val="null3"/>
            </w:pPr>
            <w:r>
              <w:rPr>
                <w:rFonts w:ascii="仿宋_GB2312" w:hAnsi="仿宋_GB2312" w:cs="仿宋_GB2312" w:eastAsia="仿宋_GB2312"/>
                <w:sz w:val="18"/>
              </w:rPr>
              <w:t>9.故障受理和处置。建立故障受理服务台，通过服务台记录业务故障和用户请求，上报和分发处置任务，跟踪和回访处置结果，实现故障处置和服务结果的可追溯、可监督，全面再现所有事件的处置过程。</w:t>
            </w:r>
          </w:p>
          <w:p>
            <w:pPr>
              <w:pStyle w:val="null3"/>
            </w:pPr>
            <w:r>
              <w:rPr>
                <w:rFonts w:ascii="仿宋_GB2312" w:hAnsi="仿宋_GB2312" w:cs="仿宋_GB2312" w:eastAsia="仿宋_GB2312"/>
                <w:sz w:val="18"/>
              </w:rPr>
              <w:t>10.设备管理。对现有基础设施、网络设备、服务器、存储等IT设备进行分类管理，从库存、维修、折旧、报废等阶段进行全生命周期管理。建立相关设备清单，包括但不限于：设备信息、操作系统信息、软件基础平台信息、网络策略开通情况、杀毒软件安装更新情况、系统备份情况信息等。当清单发生较大变动时，应及时将变动信息告知。实时掌握资产的状态，便于升级和使用调配，有效落实管理责任。</w:t>
            </w:r>
          </w:p>
          <w:p>
            <w:pPr>
              <w:pStyle w:val="null3"/>
            </w:pPr>
            <w:r>
              <w:rPr>
                <w:rFonts w:ascii="仿宋_GB2312" w:hAnsi="仿宋_GB2312" w:cs="仿宋_GB2312" w:eastAsia="仿宋_GB2312"/>
                <w:sz w:val="18"/>
              </w:rPr>
              <w:t>11.会议室、展厅、服务大厅等设备安装及调试、数据展示等，保证会议、展厅、服务大厅的技术支持。</w:t>
            </w:r>
          </w:p>
          <w:p>
            <w:pPr>
              <w:pStyle w:val="null3"/>
            </w:pPr>
            <w:r>
              <w:rPr>
                <w:rFonts w:ascii="仿宋_GB2312" w:hAnsi="仿宋_GB2312" w:cs="仿宋_GB2312" w:eastAsia="仿宋_GB2312"/>
                <w:sz w:val="18"/>
              </w:rPr>
              <w:t>12.备品备件。服务商应提供常用备品备件，如网线、电池、存储硬盘、路由器、普通交换机等；对服务器、存储硬盘、交换机、光纤模块等易损耗品提供备件备品保养、维修和更换服务，在配件故障时能及时更换恢复，减少对业务系统的影响。对备品备件的出库、入库、使用做好相应的日志记录。</w:t>
            </w:r>
          </w:p>
          <w:p>
            <w:pPr>
              <w:pStyle w:val="null3"/>
            </w:pPr>
            <w:r>
              <w:rPr>
                <w:rFonts w:ascii="仿宋_GB2312" w:hAnsi="仿宋_GB2312" w:cs="仿宋_GB2312" w:eastAsia="仿宋_GB2312"/>
                <w:sz w:val="18"/>
              </w:rPr>
              <w:t>13.培训服务。建立和完善运维流程规范、系统或设备操作手册、日常维护操作规程，并制定，培训计划对运维人员进行培训。服务商应调研分析整理编写网络平台各设施的管理配置手册和故障处理手册。</w:t>
            </w:r>
          </w:p>
          <w:p>
            <w:pPr>
              <w:pStyle w:val="null3"/>
            </w:pPr>
            <w:r>
              <w:rPr>
                <w:rFonts w:ascii="仿宋_GB2312" w:hAnsi="仿宋_GB2312" w:cs="仿宋_GB2312" w:eastAsia="仿宋_GB2312"/>
                <w:sz w:val="18"/>
              </w:rPr>
              <w:t>14.对大市场的数据、系统、用户信息、账号等信息进行严格保密，未经大市场允许，不得私自将有关信息告知他人。</w:t>
            </w:r>
          </w:p>
          <w:p>
            <w:pPr>
              <w:pStyle w:val="null3"/>
              <w:jc w:val="both"/>
            </w:pPr>
            <w:r>
              <w:rPr>
                <w:rFonts w:ascii="仿宋_GB2312" w:hAnsi="仿宋_GB2312" w:cs="仿宋_GB2312" w:eastAsia="仿宋_GB2312"/>
                <w:sz w:val="18"/>
              </w:rPr>
              <w:t>15.以上日常管理维护内容均需有日志记录等相关材料。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平台系统维护</w:t>
            </w:r>
          </w:p>
          <w:p>
            <w:pPr>
              <w:pStyle w:val="null3"/>
            </w:pPr>
            <w:r>
              <w:rPr>
                <w:rFonts w:ascii="仿宋_GB2312" w:hAnsi="仿宋_GB2312" w:cs="仿宋_GB2312" w:eastAsia="仿宋_GB2312"/>
                <w:sz w:val="18"/>
              </w:rPr>
              <w:t>对大市场网络平台主门户和各子平台（包括本地机房和政务云上运行的平台）进行日常维护与功能优化；配合大市场进行业务系统迁移上云和机房搬迁（包括机房所有的软硬件设备）；对网络平台内容进行日常维护，包括栏目内容的发布转发、网站内容采编、数据及时更新维护、网站群系统监控维护、用户支持服务、用户使用培训</w:t>
            </w:r>
            <w:r>
              <w:rPr>
                <w:rFonts w:ascii="仿宋_GB2312" w:hAnsi="仿宋_GB2312" w:cs="仿宋_GB2312" w:eastAsia="仿宋_GB2312"/>
                <w:sz w:val="18"/>
              </w:rPr>
              <w:t>、模版开发服务等；负责对网络平台使用的第三方短信平台进行短信账号等相关维护</w:t>
            </w:r>
            <w:r>
              <w:rPr>
                <w:rFonts w:ascii="仿宋_GB2312" w:hAnsi="仿宋_GB2312" w:cs="仿宋_GB2312" w:eastAsia="仿宋_GB2312"/>
                <w:sz w:val="18"/>
              </w:rPr>
              <w:t>；每月为网络平台提供访问统计报告，包括整体访问情况、主站访问情况、用户来源分析、用户行为分析等；和网络平台系统维护相关的其他工作。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rPr>
              <w:t>1.</w:t>
            </w:r>
            <w:r>
              <w:rPr>
                <w:rFonts w:ascii="仿宋_GB2312" w:hAnsi="仿宋_GB2312" w:cs="仿宋_GB2312" w:eastAsia="仿宋_GB2312"/>
                <w:sz w:val="18"/>
              </w:rPr>
              <w:t>具有较为完善的驻场管理制度，组织结构合理。服务商运维团队要求至少</w:t>
            </w:r>
            <w:r>
              <w:rPr>
                <w:rFonts w:ascii="仿宋_GB2312" w:hAnsi="仿宋_GB2312" w:cs="仿宋_GB2312" w:eastAsia="仿宋_GB2312"/>
                <w:sz w:val="18"/>
              </w:rPr>
              <w:t>5人且至少3人常驻现场。</w:t>
            </w:r>
            <w:r>
              <w:rPr>
                <w:rFonts w:ascii="仿宋_GB2312" w:hAnsi="仿宋_GB2312" w:cs="仿宋_GB2312" w:eastAsia="仿宋_GB2312"/>
                <w:sz w:val="18"/>
              </w:rPr>
              <w:t>包括项目经理、技术支持人员、研发测试人员、</w:t>
            </w:r>
            <w:r>
              <w:rPr>
                <w:rFonts w:ascii="仿宋_GB2312" w:hAnsi="仿宋_GB2312" w:cs="仿宋_GB2312" w:eastAsia="仿宋_GB2312"/>
                <w:sz w:val="18"/>
              </w:rPr>
              <w:t>UI设计人员等</w:t>
            </w:r>
            <w:r>
              <w:rPr>
                <w:rFonts w:ascii="仿宋_GB2312" w:hAnsi="仿宋_GB2312" w:cs="仿宋_GB2312" w:eastAsia="仿宋_GB2312"/>
                <w:sz w:val="18"/>
              </w:rPr>
              <w:t>。</w:t>
            </w:r>
          </w:p>
          <w:p>
            <w:pPr>
              <w:pStyle w:val="null3"/>
            </w:pPr>
            <w:r>
              <w:rPr>
                <w:rFonts w:ascii="仿宋_GB2312" w:hAnsi="仿宋_GB2312" w:cs="仿宋_GB2312" w:eastAsia="仿宋_GB2312"/>
                <w:sz w:val="18"/>
              </w:rPr>
              <w:t>2.</w:t>
            </w:r>
            <w:r>
              <w:rPr>
                <w:rFonts w:ascii="仿宋_GB2312" w:hAnsi="仿宋_GB2312" w:cs="仿宋_GB2312" w:eastAsia="仿宋_GB2312"/>
                <w:sz w:val="18"/>
              </w:rPr>
              <w:t>项目执行期间项目经理不得更换，投标人需提供承诺函。</w:t>
            </w:r>
          </w:p>
          <w:p>
            <w:pPr>
              <w:pStyle w:val="null3"/>
            </w:pPr>
            <w:r>
              <w:rPr>
                <w:rFonts w:ascii="仿宋_GB2312" w:hAnsi="仿宋_GB2312" w:cs="仿宋_GB2312" w:eastAsia="仿宋_GB2312"/>
                <w:sz w:val="18"/>
              </w:rPr>
              <w:t>3.</w:t>
            </w:r>
            <w:r>
              <w:rPr>
                <w:rFonts w:ascii="仿宋_GB2312" w:hAnsi="仿宋_GB2312" w:cs="仿宋_GB2312" w:eastAsia="仿宋_GB2312"/>
                <w:sz w:val="18"/>
              </w:rPr>
              <w:t>负责运维的团队要求具备丰富的网络安全运维工作经验和良好的沟通协调及文字表达能力。</w:t>
            </w:r>
          </w:p>
          <w:p>
            <w:pPr>
              <w:pStyle w:val="null3"/>
            </w:pPr>
            <w:r>
              <w:rPr>
                <w:rFonts w:ascii="仿宋_GB2312" w:hAnsi="仿宋_GB2312" w:cs="仿宋_GB2312" w:eastAsia="仿宋_GB2312"/>
                <w:sz w:val="18"/>
              </w:rPr>
              <w:t>4.</w:t>
            </w:r>
            <w:r>
              <w:rPr>
                <w:rFonts w:ascii="仿宋_GB2312" w:hAnsi="仿宋_GB2312" w:cs="仿宋_GB2312" w:eastAsia="仿宋_GB2312"/>
                <w:sz w:val="18"/>
              </w:rPr>
              <w:t>每月</w:t>
            </w:r>
            <w:r>
              <w:rPr>
                <w:rFonts w:ascii="仿宋_GB2312" w:hAnsi="仿宋_GB2312" w:cs="仿宋_GB2312" w:eastAsia="仿宋_GB2312"/>
                <w:sz w:val="18"/>
              </w:rPr>
              <w:t>10日前提交一份上月的月度运维报告，必须包含漏洞扫描报告，巡检报告，运维问题报告等内容；202</w:t>
            </w:r>
            <w:r>
              <w:rPr>
                <w:rFonts w:ascii="仿宋_GB2312" w:hAnsi="仿宋_GB2312" w:cs="仿宋_GB2312" w:eastAsia="仿宋_GB2312"/>
                <w:sz w:val="18"/>
              </w:rPr>
              <w:t>6</w:t>
            </w:r>
            <w:r>
              <w:rPr>
                <w:rFonts w:ascii="仿宋_GB2312" w:hAnsi="仿宋_GB2312" w:cs="仿宋_GB2312" w:eastAsia="仿宋_GB2312"/>
                <w:sz w:val="18"/>
              </w:rPr>
              <w:t>年</w:t>
            </w:r>
            <w:r>
              <w:rPr>
                <w:rFonts w:ascii="仿宋_GB2312" w:hAnsi="仿宋_GB2312" w:cs="仿宋_GB2312" w:eastAsia="仿宋_GB2312"/>
                <w:sz w:val="18"/>
              </w:rPr>
              <w:t>1月20日前提交一份202</w:t>
            </w:r>
            <w:r>
              <w:rPr>
                <w:rFonts w:ascii="仿宋_GB2312" w:hAnsi="仿宋_GB2312" w:cs="仿宋_GB2312" w:eastAsia="仿宋_GB2312"/>
                <w:sz w:val="18"/>
              </w:rPr>
              <w:t>5</w:t>
            </w:r>
            <w:r>
              <w:rPr>
                <w:rFonts w:ascii="仿宋_GB2312" w:hAnsi="仿宋_GB2312" w:cs="仿宋_GB2312" w:eastAsia="仿宋_GB2312"/>
                <w:sz w:val="18"/>
              </w:rPr>
              <w:t>年度运维总结报</w:t>
            </w:r>
            <w:r>
              <w:rPr>
                <w:rFonts w:ascii="仿宋_GB2312" w:hAnsi="仿宋_GB2312" w:cs="仿宋_GB2312" w:eastAsia="仿宋_GB2312"/>
                <w:sz w:val="18"/>
              </w:rPr>
              <w:t>告，必须包含漏洞扫描报告，巡检报告，运维问题报告等内容。</w:t>
            </w:r>
          </w:p>
          <w:p>
            <w:pPr>
              <w:pStyle w:val="null3"/>
            </w:pPr>
            <w:r>
              <w:rPr>
                <w:rFonts w:ascii="仿宋_GB2312" w:hAnsi="仿宋_GB2312" w:cs="仿宋_GB2312" w:eastAsia="仿宋_GB2312"/>
                <w:sz w:val="18"/>
              </w:rPr>
              <w:t>5.</w:t>
            </w:r>
            <w:r>
              <w:rPr>
                <w:rFonts w:ascii="仿宋_GB2312" w:hAnsi="仿宋_GB2312" w:cs="仿宋_GB2312" w:eastAsia="仿宋_GB2312"/>
                <w:sz w:val="18"/>
              </w:rPr>
              <w:t>投标人需提供项目组成员社保记录、简历和运维相关工作经验证明材料，需合同中体现人员名字。</w:t>
            </w:r>
          </w:p>
          <w:p>
            <w:pPr>
              <w:pStyle w:val="null3"/>
              <w:jc w:val="both"/>
            </w:pPr>
            <w:r>
              <w:rPr>
                <w:rFonts w:ascii="仿宋_GB2312" w:hAnsi="仿宋_GB2312" w:cs="仿宋_GB2312" w:eastAsia="仿宋_GB2312"/>
                <w:sz w:val="18"/>
              </w:rPr>
              <w:t>6.投标人需提供服务器、交换机等设备备品备件库，提供库房产权证明或房屋租赁合同。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rPr>
              <w:t>1.服务响应时间：响应时间为接到通知后15分钟以内；</w:t>
            </w:r>
          </w:p>
          <w:p>
            <w:pPr>
              <w:pStyle w:val="null3"/>
            </w:pPr>
            <w:r>
              <w:rPr>
                <w:rFonts w:ascii="仿宋_GB2312" w:hAnsi="仿宋_GB2312" w:cs="仿宋_GB2312" w:eastAsia="仿宋_GB2312"/>
                <w:sz w:val="18"/>
              </w:rPr>
              <w:t>2.驻场要求：全年驻场维护支持，安排专人常驻现场提供技术支持、研发测试、 UI设计等服务。工作时间为上午8:30-12:00，下午13:00-17:30；非工作日安排专人值班，确保系统正常运行，如遇工作需要，应随时提供服务保障；</w:t>
            </w:r>
          </w:p>
          <w:p>
            <w:pPr>
              <w:pStyle w:val="null3"/>
            </w:pPr>
            <w:r>
              <w:rPr>
                <w:rFonts w:ascii="仿宋_GB2312" w:hAnsi="仿宋_GB2312" w:cs="仿宋_GB2312" w:eastAsia="仿宋_GB2312"/>
                <w:sz w:val="18"/>
              </w:rPr>
              <w:t>3.服务要求：提供5*8小时的故障即时诊断、7*24小时电话服务或远程技术支持服务，并记录维护日志，通话录音；</w:t>
            </w:r>
          </w:p>
          <w:p>
            <w:pPr>
              <w:pStyle w:val="null3"/>
            </w:pPr>
            <w:r>
              <w:rPr>
                <w:rFonts w:ascii="仿宋_GB2312" w:hAnsi="仿宋_GB2312" w:cs="仿宋_GB2312" w:eastAsia="仿宋_GB2312"/>
                <w:sz w:val="18"/>
              </w:rPr>
              <w:t>4.投诉处理：投诉电话的接听和问题的记录、收集；反馈的咨询或投诉意见的处理；</w:t>
            </w:r>
          </w:p>
          <w:p>
            <w:pPr>
              <w:pStyle w:val="null3"/>
            </w:pPr>
            <w:r>
              <w:rPr>
                <w:rFonts w:ascii="仿宋_GB2312" w:hAnsi="仿宋_GB2312" w:cs="仿宋_GB2312" w:eastAsia="仿宋_GB2312"/>
                <w:sz w:val="18"/>
              </w:rPr>
              <w:t>5.故障解决时间：甲方出现重大系统故障，应在4小时内解决故障或恢复系统正常运行；解决问题后应出具书面总结报告反馈给甲方，若在4小时内，故障未能解决，可请第三方进行处理，费用由服务商承担；</w:t>
            </w:r>
          </w:p>
          <w:p>
            <w:pPr>
              <w:pStyle w:val="null3"/>
            </w:pPr>
            <w:r>
              <w:rPr>
                <w:rFonts w:ascii="仿宋_GB2312" w:hAnsi="仿宋_GB2312" w:cs="仿宋_GB2312" w:eastAsia="仿宋_GB2312"/>
                <w:sz w:val="18"/>
              </w:rPr>
              <w:t>6.定期回访用户单位，及时收集反馈意见；</w:t>
            </w:r>
          </w:p>
          <w:p>
            <w:pPr>
              <w:pStyle w:val="null3"/>
            </w:pPr>
            <w:r>
              <w:rPr>
                <w:rFonts w:ascii="仿宋_GB2312" w:hAnsi="仿宋_GB2312" w:cs="仿宋_GB2312" w:eastAsia="仿宋_GB2312"/>
                <w:sz w:val="18"/>
              </w:rPr>
              <w:t>7.确保客户现场人员和财产安全，上下班打卡进出，离开时确保办公设备电源关闭和门窗关闭；</w:t>
            </w:r>
          </w:p>
          <w:p>
            <w:pPr>
              <w:pStyle w:val="null3"/>
              <w:jc w:val="both"/>
            </w:pPr>
            <w:r>
              <w:rPr>
                <w:rFonts w:ascii="仿宋_GB2312" w:hAnsi="仿宋_GB2312" w:cs="仿宋_GB2312" w:eastAsia="仿宋_GB2312"/>
                <w:sz w:val="18"/>
              </w:rPr>
              <w:t>8.遵守大市场相关制度。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自签订合同日算起一年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指定的服务地点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3.合同签订时国家及行业现行的标准和技术规范。 4.中标服务商应向采购人提交项目实施过程中的所有资料，以便采购人日后管理和维护。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合同签订并完成前期准备工作</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年末中期验收完成</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项目结题并通过验收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服务商原因导致项目未按照约定完成前期或中期交付的，视服务商违约，采购方延迟支付款项。 服务商原因导致项目未按照约定完成终期交付的，第一次给予7个工作日宽限期，宽限期后扔未达到交付要求的，视服务商违约，采购方停止支付尾款，因违约期间造成的财产损失，由服务商承担。 争议解决途径：向西安仲裁委员会提请仲裁。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开标当天线下提交纸质版投标文件，正本壹份、副本贰份、电子版壹份（U盘一套标明供应商名称）。若线上电子投标文件与纸质投标文件不一致的，以线上电子投标文件为准；若正本和副本不符，以正本为准。 线下递交文件时间：详见本项目磋商公告提交投标文件截止时间；线下递交文件地点：西安市高新路2号西部国际广场1幢32层会议室1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的法人、其他组织或自然人，并出具合法有效的营业执照或事业单位法人证书等国家规定的相关证明，自然人参与的提供其身份证明；②提供2024年8月至今已缴纳的至少一个月的纳税证明或完税证明（任意税种），依法免税的单位应提供相关证明材料；③提供2024年8月至今已缴存的至少一个月的社会保障资金缴存单据或社保机构开具的社会保险参保缴费情况证明，依法不需要缴纳社会保障资金的单位应提供相关证明材料； ④ 提供具有履行合同所必需的设备和专业技术能力的承诺；⑤ 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 注：提供的审计报告须带有注册会计师行业统一监管平台(网址http://acc.mof.gov.cn,）备案的验证码。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非联合体不分包投标声明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法定代表人参加磋投标的，须出示身份证；法定代表人授权他人参加投标的，须提供法定代表人授权委托书及被授权人身份证复印件；非法人单位参照执行。</w:t>
            </w:r>
          </w:p>
        </w:tc>
        <w:tc>
          <w:tcPr>
            <w:tcW w:type="dxa" w:w="1661"/>
          </w:tcPr>
          <w:p>
            <w:pPr>
              <w:pStyle w:val="null3"/>
            </w:pPr>
            <w:r>
              <w:rPr>
                <w:rFonts w:ascii="仿宋_GB2312" w:hAnsi="仿宋_GB2312" w:cs="仿宋_GB2312" w:eastAsia="仿宋_GB2312"/>
              </w:rPr>
              <w:t>法定代表人授权委托书或身份证明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 (2)不满足本招标文件中“服务期限、服务地点、采购资金的支付方式及约定”的实质性条款要求的； (3)投标有效期不足的或无有效期的； (4)报价超过招标文件中规定的预算金额； (5)法律、法规和招标文件规定的其他无效情形。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w:t>
            </w:r>
          </w:p>
        </w:tc>
        <w:tc>
          <w:tcPr>
            <w:tcW w:type="dxa" w:w="2492"/>
          </w:tcPr>
          <w:p>
            <w:pPr>
              <w:pStyle w:val="null3"/>
            </w:pPr>
            <w:r>
              <w:rPr>
                <w:rFonts w:ascii="仿宋_GB2312" w:hAnsi="仿宋_GB2312" w:cs="仿宋_GB2312" w:eastAsia="仿宋_GB2312"/>
              </w:rPr>
              <w:t>1.提出完善的运维体系和实施方案，对总体要求响应正确完整；（得1-3分） 2.驻场分工明确，工作流程清晰；（得1-2分） 3.运维受理工作流程简捷可管可控，故障处理工作 有监督和评价；（得1-3分） 4.网络平台各设施和系统的巡检登记表格式完整，巡检方 法正确清楚；（得1-2分） 5.网络平台各设施和系统的监测数据格式完整，监测方法正 确清楚；（得1-2分） 6.网络平台各设施和系统的常见故障处理办法调研分析清晰；（ 得1-3分） 7.网络平台各设施和系统的检修、维护、安装部署、启动和关闭步骤方法正 确完整；（得1-3分） 8.网络平台各设施和系统的优化配置方案切实可行，业务系统内 容管理优化方法得当；（得1-3分） 9.安全运维体系符合网络平台各设施运维的实际需 要，安全风险防范措施完备；（得1-2分） 10.备品备件齐全，保障措施有力，更换维修方法说明清楚。（得1-2分）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团队资质</w:t>
            </w:r>
          </w:p>
        </w:tc>
        <w:tc>
          <w:tcPr>
            <w:tcW w:type="dxa" w:w="2492"/>
          </w:tcPr>
          <w:p>
            <w:pPr>
              <w:pStyle w:val="null3"/>
            </w:pPr>
            <w:r>
              <w:rPr>
                <w:rFonts w:ascii="仿宋_GB2312" w:hAnsi="仿宋_GB2312" w:cs="仿宋_GB2312" w:eastAsia="仿宋_GB2312"/>
              </w:rPr>
              <w:t>1.供应商具备信息技术服务标准符合性三级及以上证书或安防工程企业设计施工维护能力三级及以上证书得3分。 2.供应商具备ISO9001质量管理体系认证证书、ISO20000信息技术服务管理体系认证证书、ISO27001信息安全管理体系认证证书，每提供一份得1分，最多得3分。 3.项目经理提供计算机相关专业本科及以上学历，并提供高级信息系统项目管理师证书，得3分。 4.服务团队人员具有计算机相关专业大专及以上学历，并具有IT服务工程师证书、系统分析师(高级证书）、网络工程师证书、软件设计师(中级)证书、Linux认证工程师证书、数据安全专业人员认证证书等任意相关证书的每人得1分，最多得3分。 5.服务团队人员具有与本项目服务内容相关的认证证书，每提供一份得1分最多得3分。 注：服务团队人员必须满足服务要求中驻场人员基本要求，且提供上述人员相关证书复印件或扫描件及近一年内连续三个月由供应商缴纳的社保证明复印件并加盖供应商公章，未提供不得分。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1.调研分析编制网络平台各设施和系统应急预案完备；（得1-4分） 2.各系统应急预案的严重程度和影响范围分析清楚；（得1-4分） 3.各系统的应急保障措施安全可行实施性强。（得1-2分）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网络平台各设施及相关系统的管理手册、培训手册、故障处理手册完整详尽（得7-10分）；提供的手册内容不完整（得4-6分）；提供的手册内容严重缺失（得1-3分）。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1.在项目开发、运维期间安排网站系统工程师、网站内容策划和数据梳理人员、UI设计、技术开发和实施人员做好项目的维护和实施工作；（提供得1-5分，未提供不得分） 。 2.提供中标后具有良好的售后服务机构承诺，承诺内容完整（得1-5分）。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1.服务商具有国家版权局认证的与本项目服务内容相关的软件著作权登记证书。（每提供1个得1分，最多得5分。）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的运维业绩（须提供合同关键页扫描件，关键页包括合同标的、合同金额页、签字盖章页，否则一律不认可，并提供该业绩发票扫描件（任意一张发票扫描件），且提供不低于合同金额30%的相关银行收款进账凭证复印件），每提供1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经初审合格的供应商，其最后提交的磋商响应报价为有效响应报价。评审基准价：即满足磋商文件要求且价格最低的响应报价为评审基准价。 其他供应商的价格分统一按照下列公式计算。 响应报价得分=(评审基准价／响应报价)×15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详见附件：法定代表人授权委托书或身份证明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