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2F4FD">
      <w:pPr>
        <w:pageBreakBefore w:val="0"/>
        <w:kinsoku/>
        <w:wordWrap/>
        <w:overflowPunct/>
        <w:topLinePunct w:val="0"/>
        <w:bidi w:val="0"/>
        <w:snapToGrid/>
        <w:spacing w:line="536" w:lineRule="exact"/>
        <w:rPr>
          <w:rFonts w:ascii="仿宋" w:hAnsi="仿宋" w:eastAsia="仿宋"/>
          <w:sz w:val="32"/>
          <w:szCs w:val="32"/>
        </w:rPr>
      </w:pPr>
      <w:r>
        <w:rPr>
          <w:rFonts w:hint="eastAsia" w:ascii="仿宋" w:hAnsi="仿宋" w:eastAsia="仿宋"/>
          <w:sz w:val="32"/>
          <w:szCs w:val="32"/>
        </w:rPr>
        <w:t>政府采购项目</w:t>
      </w:r>
    </w:p>
    <w:p w14:paraId="03F3A635">
      <w:pPr>
        <w:pageBreakBefore w:val="0"/>
        <w:kinsoku/>
        <w:wordWrap/>
        <w:overflowPunct/>
        <w:topLinePunct w:val="0"/>
        <w:bidi w:val="0"/>
        <w:snapToGrid/>
        <w:spacing w:line="536" w:lineRule="exact"/>
        <w:rPr>
          <w:rFonts w:hint="default" w:ascii="仿宋" w:hAnsi="仿宋" w:eastAsia="仿宋" w:cs="Times New Roman"/>
          <w:sz w:val="32"/>
          <w:szCs w:val="32"/>
          <w:lang w:val="en-US" w:eastAsia="zh-CN"/>
        </w:rPr>
      </w:pPr>
      <w:r>
        <w:rPr>
          <w:rFonts w:hint="eastAsia" w:ascii="仿宋" w:hAnsi="仿宋" w:eastAsia="仿宋"/>
          <w:sz w:val="32"/>
          <w:szCs w:val="32"/>
        </w:rPr>
        <w:t>项目编号：</w:t>
      </w:r>
    </w:p>
    <w:p w14:paraId="5EFE1D85">
      <w:pPr>
        <w:pageBreakBefore w:val="0"/>
        <w:kinsoku/>
        <w:wordWrap/>
        <w:overflowPunct/>
        <w:topLinePunct w:val="0"/>
        <w:bidi w:val="0"/>
        <w:snapToGrid/>
        <w:spacing w:line="536" w:lineRule="exact"/>
        <w:rPr>
          <w:rFonts w:ascii="仿宋" w:hAnsi="仿宋" w:eastAsia="仿宋"/>
          <w:sz w:val="32"/>
          <w:szCs w:val="32"/>
        </w:rPr>
      </w:pPr>
    </w:p>
    <w:p w14:paraId="160E0912">
      <w:pPr>
        <w:pageBreakBefore w:val="0"/>
        <w:kinsoku/>
        <w:wordWrap/>
        <w:overflowPunct/>
        <w:topLinePunct w:val="0"/>
        <w:bidi w:val="0"/>
        <w:snapToGrid/>
        <w:spacing w:line="536" w:lineRule="exact"/>
        <w:rPr>
          <w:rFonts w:ascii="仿宋" w:hAnsi="仿宋" w:eastAsia="仿宋"/>
          <w:sz w:val="32"/>
          <w:szCs w:val="32"/>
        </w:rPr>
      </w:pPr>
    </w:p>
    <w:p w14:paraId="7E61995C">
      <w:pPr>
        <w:pageBreakBefore w:val="0"/>
        <w:kinsoku/>
        <w:wordWrap/>
        <w:overflowPunct/>
        <w:topLinePunct w:val="0"/>
        <w:bidi w:val="0"/>
        <w:snapToGrid/>
        <w:spacing w:line="536" w:lineRule="exact"/>
        <w:rPr>
          <w:rFonts w:ascii="仿宋" w:hAnsi="仿宋" w:eastAsia="仿宋"/>
          <w:sz w:val="32"/>
          <w:szCs w:val="32"/>
        </w:rPr>
      </w:pPr>
    </w:p>
    <w:p w14:paraId="2A6B6B77">
      <w:pPr>
        <w:pageBreakBefore w:val="0"/>
        <w:kinsoku/>
        <w:wordWrap/>
        <w:overflowPunct/>
        <w:topLinePunct w:val="0"/>
        <w:bidi w:val="0"/>
        <w:snapToGrid/>
        <w:spacing w:line="536" w:lineRule="exact"/>
        <w:jc w:val="center"/>
        <w:rPr>
          <w:rFonts w:hint="eastAsia" w:ascii="仿宋" w:hAnsi="仿宋" w:eastAsia="仿宋"/>
          <w:b/>
          <w:sz w:val="52"/>
          <w:szCs w:val="52"/>
        </w:rPr>
      </w:pPr>
      <w:r>
        <w:rPr>
          <w:rFonts w:hint="eastAsia" w:ascii="仿宋" w:hAnsi="仿宋" w:eastAsia="仿宋"/>
          <w:b/>
          <w:sz w:val="52"/>
          <w:szCs w:val="52"/>
          <w:lang w:eastAsia="zh-CN"/>
        </w:rPr>
        <w:t>西安科技大市场服务中心</w:t>
      </w:r>
    </w:p>
    <w:p w14:paraId="01006131">
      <w:pPr>
        <w:pageBreakBefore w:val="0"/>
        <w:kinsoku/>
        <w:wordWrap/>
        <w:overflowPunct/>
        <w:topLinePunct w:val="0"/>
        <w:bidi w:val="0"/>
        <w:snapToGrid/>
        <w:spacing w:line="536" w:lineRule="exact"/>
        <w:jc w:val="center"/>
        <w:rPr>
          <w:rFonts w:ascii="仿宋" w:hAnsi="仿宋" w:eastAsia="仿宋"/>
          <w:b/>
          <w:sz w:val="52"/>
          <w:szCs w:val="52"/>
        </w:rPr>
      </w:pPr>
      <w:r>
        <w:rPr>
          <w:rFonts w:hint="eastAsia" w:ascii="仿宋" w:hAnsi="仿宋" w:eastAsia="仿宋"/>
          <w:b/>
          <w:sz w:val="52"/>
          <w:szCs w:val="52"/>
          <w:lang w:eastAsia="zh-CN"/>
        </w:rPr>
        <w:t>2025年科技大市场网络平台运营及硬件维护项目</w:t>
      </w:r>
      <w:r>
        <w:rPr>
          <w:rFonts w:hint="eastAsia" w:ascii="仿宋" w:hAnsi="仿宋" w:eastAsia="仿宋"/>
          <w:b/>
          <w:sz w:val="52"/>
          <w:szCs w:val="52"/>
        </w:rPr>
        <w:t>合同</w:t>
      </w:r>
    </w:p>
    <w:p w14:paraId="5E1FA7B1">
      <w:pPr>
        <w:pageBreakBefore w:val="0"/>
        <w:kinsoku/>
        <w:wordWrap/>
        <w:overflowPunct/>
        <w:topLinePunct w:val="0"/>
        <w:bidi w:val="0"/>
        <w:snapToGrid/>
        <w:spacing w:line="536" w:lineRule="exact"/>
        <w:rPr>
          <w:rFonts w:ascii="仿宋" w:hAnsi="仿宋" w:eastAsia="仿宋"/>
          <w:sz w:val="32"/>
          <w:szCs w:val="32"/>
        </w:rPr>
      </w:pPr>
    </w:p>
    <w:p w14:paraId="2623D846">
      <w:pPr>
        <w:jc w:val="center"/>
        <w:rPr>
          <w:rFonts w:ascii="宋体" w:hAnsi="宋体" w:cs="宋体"/>
          <w:sz w:val="22"/>
          <w:u w:val="single"/>
        </w:rPr>
      </w:pPr>
      <w:bookmarkStart w:id="0" w:name="_Toc72310070"/>
      <w:bookmarkStart w:id="1" w:name="_Toc71298316"/>
      <w:bookmarkStart w:id="2" w:name="_Toc72309701"/>
      <w:r>
        <w:rPr>
          <w:rFonts w:hint="eastAsia" w:ascii="宋体" w:hAnsi="宋体" w:cs="宋体"/>
          <w:sz w:val="22"/>
          <w:u w:val="single"/>
        </w:rPr>
        <w:t>（本部分合同格式为成交后签订采购合同时参考使用文本）</w:t>
      </w:r>
      <w:bookmarkEnd w:id="0"/>
      <w:bookmarkEnd w:id="1"/>
      <w:bookmarkEnd w:id="2"/>
    </w:p>
    <w:p w14:paraId="11A94AD8">
      <w:pPr>
        <w:pageBreakBefore w:val="0"/>
        <w:kinsoku/>
        <w:wordWrap/>
        <w:overflowPunct/>
        <w:topLinePunct w:val="0"/>
        <w:bidi w:val="0"/>
        <w:snapToGrid/>
        <w:spacing w:line="536" w:lineRule="exact"/>
        <w:rPr>
          <w:rFonts w:ascii="仿宋" w:hAnsi="仿宋" w:eastAsia="仿宋"/>
          <w:sz w:val="32"/>
          <w:szCs w:val="32"/>
        </w:rPr>
      </w:pPr>
    </w:p>
    <w:p w14:paraId="62A9A967">
      <w:pPr>
        <w:pageBreakBefore w:val="0"/>
        <w:kinsoku/>
        <w:wordWrap/>
        <w:overflowPunct/>
        <w:topLinePunct w:val="0"/>
        <w:bidi w:val="0"/>
        <w:snapToGrid/>
        <w:spacing w:line="536" w:lineRule="exact"/>
        <w:rPr>
          <w:rFonts w:ascii="仿宋" w:hAnsi="仿宋" w:eastAsia="仿宋"/>
          <w:sz w:val="32"/>
          <w:szCs w:val="32"/>
        </w:rPr>
      </w:pPr>
    </w:p>
    <w:p w14:paraId="430E83B0">
      <w:pPr>
        <w:pageBreakBefore w:val="0"/>
        <w:kinsoku/>
        <w:wordWrap/>
        <w:overflowPunct/>
        <w:topLinePunct w:val="0"/>
        <w:bidi w:val="0"/>
        <w:snapToGrid/>
        <w:spacing w:line="536" w:lineRule="exact"/>
        <w:rPr>
          <w:rFonts w:ascii="仿宋" w:hAnsi="仿宋" w:eastAsia="仿宋"/>
          <w:sz w:val="32"/>
          <w:szCs w:val="32"/>
        </w:rPr>
      </w:pPr>
    </w:p>
    <w:p w14:paraId="0BFE039A">
      <w:pPr>
        <w:pageBreakBefore w:val="0"/>
        <w:kinsoku/>
        <w:wordWrap/>
        <w:overflowPunct/>
        <w:topLinePunct w:val="0"/>
        <w:bidi w:val="0"/>
        <w:snapToGrid/>
        <w:spacing w:line="536" w:lineRule="exact"/>
        <w:rPr>
          <w:rFonts w:ascii="仿宋" w:hAnsi="仿宋" w:eastAsia="仿宋"/>
          <w:sz w:val="32"/>
          <w:szCs w:val="32"/>
        </w:rPr>
      </w:pPr>
    </w:p>
    <w:p w14:paraId="166DF1B9">
      <w:pPr>
        <w:pageBreakBefore w:val="0"/>
        <w:kinsoku/>
        <w:wordWrap/>
        <w:overflowPunct/>
        <w:topLinePunct w:val="0"/>
        <w:bidi w:val="0"/>
        <w:snapToGrid/>
        <w:spacing w:line="536" w:lineRule="exact"/>
        <w:rPr>
          <w:rFonts w:ascii="仿宋" w:hAnsi="仿宋" w:eastAsia="仿宋"/>
          <w:sz w:val="32"/>
          <w:szCs w:val="32"/>
        </w:rPr>
      </w:pPr>
    </w:p>
    <w:p w14:paraId="423217F8">
      <w:pPr>
        <w:pageBreakBefore w:val="0"/>
        <w:kinsoku/>
        <w:wordWrap/>
        <w:overflowPunct/>
        <w:topLinePunct w:val="0"/>
        <w:bidi w:val="0"/>
        <w:snapToGrid/>
        <w:spacing w:line="536" w:lineRule="exact"/>
        <w:rPr>
          <w:rFonts w:ascii="仿宋" w:hAnsi="仿宋" w:eastAsia="仿宋"/>
          <w:sz w:val="32"/>
          <w:szCs w:val="32"/>
        </w:rPr>
      </w:pPr>
    </w:p>
    <w:p w14:paraId="62397ACB">
      <w:pPr>
        <w:pageBreakBefore w:val="0"/>
        <w:kinsoku/>
        <w:wordWrap/>
        <w:overflowPunct/>
        <w:topLinePunct w:val="0"/>
        <w:bidi w:val="0"/>
        <w:snapToGrid/>
        <w:spacing w:line="536" w:lineRule="exact"/>
        <w:jc w:val="center"/>
        <w:rPr>
          <w:rFonts w:hint="eastAsia" w:ascii="仿宋" w:hAnsi="仿宋" w:eastAsia="仿宋"/>
          <w:sz w:val="32"/>
          <w:szCs w:val="32"/>
        </w:rPr>
      </w:pPr>
    </w:p>
    <w:p w14:paraId="599DE598">
      <w:pPr>
        <w:pageBreakBefore w:val="0"/>
        <w:kinsoku/>
        <w:wordWrap/>
        <w:overflowPunct/>
        <w:topLinePunct w:val="0"/>
        <w:bidi w:val="0"/>
        <w:snapToGrid/>
        <w:spacing w:line="536" w:lineRule="exact"/>
        <w:jc w:val="center"/>
        <w:rPr>
          <w:rFonts w:hint="eastAsia" w:ascii="仿宋" w:hAnsi="仿宋" w:eastAsia="仿宋"/>
          <w:sz w:val="32"/>
          <w:szCs w:val="32"/>
        </w:rPr>
      </w:pPr>
    </w:p>
    <w:p w14:paraId="48489CAD">
      <w:pPr>
        <w:pageBreakBefore w:val="0"/>
        <w:kinsoku/>
        <w:wordWrap/>
        <w:overflowPunct/>
        <w:topLinePunct w:val="0"/>
        <w:bidi w:val="0"/>
        <w:snapToGrid/>
        <w:spacing w:line="536" w:lineRule="exact"/>
        <w:jc w:val="center"/>
        <w:rPr>
          <w:rFonts w:ascii="仿宋" w:hAnsi="仿宋" w:eastAsia="仿宋"/>
          <w:sz w:val="32"/>
          <w:szCs w:val="32"/>
        </w:rPr>
      </w:pPr>
      <w:r>
        <w:rPr>
          <w:rFonts w:hint="eastAsia" w:ascii="仿宋" w:hAnsi="仿宋" w:eastAsia="仿宋"/>
          <w:sz w:val="32"/>
          <w:szCs w:val="32"/>
        </w:rPr>
        <w:t>甲方：西安科技大市场服务中心</w:t>
      </w:r>
    </w:p>
    <w:p w14:paraId="00E73636">
      <w:pPr>
        <w:pageBreakBefore w:val="0"/>
        <w:kinsoku/>
        <w:wordWrap/>
        <w:overflowPunct/>
        <w:topLinePunct w:val="0"/>
        <w:bidi w:val="0"/>
        <w:snapToGrid/>
        <w:spacing w:line="536" w:lineRule="exact"/>
        <w:ind w:firstLine="1920" w:firstLineChars="600"/>
        <w:jc w:val="both"/>
        <w:rPr>
          <w:rFonts w:hint="default" w:ascii="仿宋" w:hAnsi="仿宋" w:eastAsia="仿宋"/>
          <w:sz w:val="32"/>
          <w:szCs w:val="32"/>
          <w:lang w:val="en-US"/>
        </w:rPr>
      </w:pPr>
      <w:r>
        <w:rPr>
          <w:rFonts w:hint="eastAsia" w:ascii="仿宋" w:hAnsi="仿宋" w:eastAsia="仿宋"/>
          <w:sz w:val="32"/>
          <w:szCs w:val="32"/>
        </w:rPr>
        <w:t>乙方：</w:t>
      </w:r>
      <w:r>
        <w:rPr>
          <w:rFonts w:hint="eastAsia" w:ascii="仿宋" w:hAnsi="仿宋" w:eastAsia="仿宋"/>
          <w:color w:val="auto"/>
          <w:sz w:val="32"/>
          <w:szCs w:val="32"/>
          <w:u w:val="single"/>
          <w:lang w:val="en-US" w:eastAsia="zh-CN"/>
        </w:rPr>
        <w:t xml:space="preserve">                      </w:t>
      </w:r>
    </w:p>
    <w:p w14:paraId="48A0FB2A">
      <w:pPr>
        <w:pageBreakBefore w:val="0"/>
        <w:kinsoku/>
        <w:wordWrap/>
        <w:overflowPunct/>
        <w:topLinePunct w:val="0"/>
        <w:bidi w:val="0"/>
        <w:snapToGrid/>
        <w:spacing w:line="536" w:lineRule="exact"/>
        <w:jc w:val="center"/>
        <w:rPr>
          <w:rFonts w:ascii="仿宋" w:hAnsi="仿宋" w:eastAsia="仿宋"/>
          <w:sz w:val="32"/>
          <w:szCs w:val="32"/>
        </w:rPr>
      </w:pPr>
    </w:p>
    <w:p w14:paraId="28667EF9">
      <w:pPr>
        <w:pageBreakBefore w:val="0"/>
        <w:kinsoku/>
        <w:wordWrap/>
        <w:overflowPunct/>
        <w:topLinePunct w:val="0"/>
        <w:bidi w:val="0"/>
        <w:snapToGrid/>
        <w:spacing w:line="536" w:lineRule="exact"/>
        <w:jc w:val="center"/>
        <w:rPr>
          <w:rFonts w:ascii="仿宋" w:hAnsi="仿宋" w:eastAsia="仿宋"/>
          <w:sz w:val="32"/>
          <w:szCs w:val="32"/>
        </w:rPr>
      </w:pPr>
    </w:p>
    <w:p w14:paraId="3256D45F">
      <w:pPr>
        <w:pageBreakBefore w:val="0"/>
        <w:kinsoku/>
        <w:wordWrap/>
        <w:overflowPunct/>
        <w:topLinePunct w:val="0"/>
        <w:bidi w:val="0"/>
        <w:snapToGrid/>
        <w:spacing w:line="536" w:lineRule="exact"/>
        <w:jc w:val="center"/>
        <w:rPr>
          <w:rFonts w:ascii="仿宋" w:hAnsi="仿宋" w:eastAsia="仿宋"/>
          <w:sz w:val="32"/>
          <w:szCs w:val="32"/>
        </w:rPr>
      </w:pPr>
    </w:p>
    <w:p w14:paraId="48E289C7">
      <w:pPr>
        <w:pageBreakBefore w:val="0"/>
        <w:kinsoku/>
        <w:wordWrap/>
        <w:overflowPunct/>
        <w:topLinePunct w:val="0"/>
        <w:bidi w:val="0"/>
        <w:snapToGrid/>
        <w:spacing w:line="536" w:lineRule="exact"/>
        <w:jc w:val="center"/>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5</w:t>
      </w:r>
      <w:r>
        <w:rPr>
          <w:rFonts w:ascii="仿宋" w:hAnsi="仿宋" w:eastAsia="仿宋"/>
          <w:sz w:val="32"/>
          <w:szCs w:val="32"/>
        </w:rPr>
        <w:t>年</w:t>
      </w:r>
      <w:r>
        <w:rPr>
          <w:rFonts w:hint="eastAsia" w:ascii="仿宋" w:hAnsi="仿宋" w:eastAsia="仿宋"/>
          <w:sz w:val="32"/>
          <w:szCs w:val="32"/>
          <w:u w:val="single"/>
          <w:lang w:val="en-US" w:eastAsia="zh-CN"/>
        </w:rPr>
        <w:t xml:space="preserve">  </w:t>
      </w:r>
      <w:r>
        <w:rPr>
          <w:rFonts w:ascii="仿宋" w:hAnsi="仿宋" w:eastAsia="仿宋"/>
          <w:sz w:val="32"/>
          <w:szCs w:val="32"/>
        </w:rPr>
        <w:t>月</w:t>
      </w:r>
    </w:p>
    <w:p w14:paraId="11CB480E">
      <w:pPr>
        <w:pageBreakBefore w:val="0"/>
        <w:kinsoku/>
        <w:wordWrap/>
        <w:overflowPunct/>
        <w:topLinePunct w:val="0"/>
        <w:bidi w:val="0"/>
        <w:snapToGrid/>
        <w:spacing w:line="536" w:lineRule="exact"/>
        <w:jc w:val="center"/>
        <w:rPr>
          <w:rFonts w:ascii="仿宋" w:hAnsi="仿宋" w:eastAsia="仿宋"/>
          <w:sz w:val="32"/>
          <w:szCs w:val="32"/>
        </w:rPr>
      </w:pPr>
      <w:r>
        <w:rPr>
          <w:rFonts w:hint="eastAsia" w:ascii="仿宋" w:hAnsi="仿宋" w:eastAsia="仿宋"/>
          <w:sz w:val="32"/>
          <w:szCs w:val="32"/>
        </w:rPr>
        <w:t>陕西 西安</w:t>
      </w:r>
    </w:p>
    <w:p w14:paraId="2718AD82">
      <w:pPr>
        <w:pageBreakBefore w:val="0"/>
        <w:kinsoku/>
        <w:wordWrap/>
        <w:overflowPunct/>
        <w:topLinePunct w:val="0"/>
        <w:bidi w:val="0"/>
        <w:snapToGrid/>
        <w:spacing w:line="536" w:lineRule="exact"/>
        <w:jc w:val="left"/>
        <w:rPr>
          <w:rFonts w:hint="eastAsia" w:ascii="仿宋" w:hAnsi="仿宋" w:eastAsia="仿宋"/>
          <w:sz w:val="32"/>
          <w:szCs w:val="32"/>
        </w:rPr>
        <w:sectPr>
          <w:pgSz w:w="11906" w:h="16838"/>
          <w:pgMar w:top="1440" w:right="1800" w:bottom="1440" w:left="1800" w:header="851" w:footer="992" w:gutter="0"/>
          <w:cols w:space="425" w:num="1"/>
          <w:docGrid w:type="lines" w:linePitch="312" w:charSpace="0"/>
        </w:sectPr>
      </w:pPr>
    </w:p>
    <w:p w14:paraId="2C1ED1E3">
      <w:pPr>
        <w:pageBreakBefore w:val="0"/>
        <w:kinsoku/>
        <w:wordWrap/>
        <w:overflowPunct/>
        <w:topLinePunct w:val="0"/>
        <w:bidi w:val="0"/>
        <w:snapToGrid/>
        <w:spacing w:line="536" w:lineRule="exact"/>
        <w:jc w:val="left"/>
        <w:rPr>
          <w:rFonts w:ascii="仿宋" w:hAnsi="仿宋" w:eastAsia="仿宋"/>
          <w:sz w:val="32"/>
          <w:szCs w:val="32"/>
        </w:rPr>
      </w:pPr>
      <w:r>
        <w:rPr>
          <w:rFonts w:hint="eastAsia" w:ascii="仿宋" w:hAnsi="仿宋" w:eastAsia="仿宋"/>
          <w:sz w:val="32"/>
          <w:szCs w:val="32"/>
        </w:rPr>
        <w:t>甲方：西安科技大市场服务中心</w:t>
      </w:r>
    </w:p>
    <w:p w14:paraId="30728D1D">
      <w:pPr>
        <w:pageBreakBefore w:val="0"/>
        <w:kinsoku/>
        <w:wordWrap/>
        <w:overflowPunct/>
        <w:topLinePunct w:val="0"/>
        <w:bidi w:val="0"/>
        <w:snapToGrid/>
        <w:spacing w:line="536" w:lineRule="exact"/>
        <w:jc w:val="left"/>
        <w:rPr>
          <w:rFonts w:hint="default" w:ascii="仿宋" w:hAnsi="仿宋" w:eastAsia="仿宋"/>
          <w:sz w:val="32"/>
          <w:szCs w:val="32"/>
          <w:u w:val="single"/>
          <w:lang w:val="en-US" w:eastAsia="zh-CN"/>
        </w:rPr>
      </w:pPr>
      <w:r>
        <w:rPr>
          <w:rFonts w:hint="eastAsia" w:ascii="仿宋" w:hAnsi="仿宋" w:eastAsia="仿宋"/>
          <w:sz w:val="32"/>
          <w:szCs w:val="32"/>
        </w:rPr>
        <w:t>乙方：</w:t>
      </w:r>
      <w:r>
        <w:rPr>
          <w:rFonts w:hint="eastAsia" w:ascii="仿宋" w:hAnsi="仿宋" w:eastAsia="仿宋"/>
          <w:color w:val="auto"/>
          <w:sz w:val="32"/>
          <w:szCs w:val="32"/>
          <w:u w:val="single"/>
          <w:lang w:val="en-US" w:eastAsia="zh-CN"/>
        </w:rPr>
        <w:t xml:space="preserve">                      </w:t>
      </w:r>
    </w:p>
    <w:p w14:paraId="77B69FD9">
      <w:pPr>
        <w:keepNext w:val="0"/>
        <w:keepLines w:val="0"/>
        <w:pageBreakBefore w:val="0"/>
        <w:widowControl w:val="0"/>
        <w:kinsoku/>
        <w:wordWrap/>
        <w:overflowPunct/>
        <w:topLinePunct w:val="0"/>
        <w:autoSpaceDE/>
        <w:autoSpaceDN/>
        <w:bidi w:val="0"/>
        <w:adjustRightInd/>
        <w:snapToGrid/>
        <w:spacing w:line="536" w:lineRule="exact"/>
        <w:ind w:firstLine="640" w:firstLineChars="200"/>
        <w:jc w:val="left"/>
        <w:textAlignment w:val="auto"/>
        <w:rPr>
          <w:rFonts w:ascii="仿宋" w:hAnsi="仿宋" w:eastAsia="仿宋"/>
          <w:sz w:val="32"/>
          <w:szCs w:val="32"/>
        </w:rPr>
      </w:pPr>
      <w:r>
        <w:rPr>
          <w:rFonts w:hint="eastAsia" w:ascii="仿宋" w:hAnsi="仿宋" w:eastAsia="仿宋" w:cs="仿宋"/>
          <w:sz w:val="32"/>
          <w:szCs w:val="32"/>
          <w:u w:val="single"/>
          <w:lang w:eastAsia="zh-CN"/>
        </w:rPr>
        <w:t>2025年科技大市场网络平台运营及硬件维护项目</w:t>
      </w:r>
      <w:r>
        <w:rPr>
          <w:rFonts w:hint="eastAsia" w:ascii="仿宋" w:hAnsi="仿宋" w:eastAsia="仿宋" w:cs="仿宋"/>
          <w:sz w:val="32"/>
          <w:szCs w:val="32"/>
          <w:u w:val="single"/>
        </w:rPr>
        <w:t>（项目编号：</w:t>
      </w:r>
      <w:r>
        <w:rPr>
          <w:rFonts w:hint="eastAsia" w:ascii="仿宋" w:hAnsi="仿宋" w:eastAsia="仿宋" w:cs="Times New Roman"/>
          <w:sz w:val="32"/>
          <w:szCs w:val="32"/>
          <w:u w:val="single"/>
          <w:lang w:eastAsia="zh-CN"/>
        </w:rPr>
        <w:t>ZCSP-西安市-2025-00691（HYZ【2025】006号）</w:t>
      </w:r>
      <w:r>
        <w:rPr>
          <w:rFonts w:hint="eastAsia" w:ascii="仿宋" w:hAnsi="仿宋" w:eastAsia="仿宋" w:cs="仿宋"/>
          <w:sz w:val="32"/>
          <w:szCs w:val="32"/>
          <w:u w:val="single"/>
        </w:rPr>
        <w:t>）</w:t>
      </w:r>
      <w:r>
        <w:rPr>
          <w:rFonts w:hint="eastAsia" w:ascii="仿宋" w:hAnsi="仿宋" w:eastAsia="仿宋" w:cs="仿宋"/>
          <w:sz w:val="32"/>
          <w:szCs w:val="32"/>
        </w:rPr>
        <w:t>项目，由</w:t>
      </w:r>
      <w:r>
        <w:rPr>
          <w:rFonts w:hint="eastAsia" w:ascii="仿宋" w:hAnsi="仿宋" w:eastAsia="仿宋" w:cs="仿宋"/>
          <w:sz w:val="32"/>
          <w:szCs w:val="32"/>
          <w:u w:val="single"/>
          <w:lang w:eastAsia="zh-CN"/>
        </w:rPr>
        <w:t>宏业国际项目管理有限公司</w:t>
      </w:r>
      <w:r>
        <w:rPr>
          <w:rFonts w:hint="eastAsia" w:ascii="仿宋" w:hAnsi="仿宋" w:eastAsia="仿宋" w:cs="仿宋"/>
          <w:sz w:val="32"/>
          <w:szCs w:val="32"/>
        </w:rPr>
        <w:t>组织</w:t>
      </w:r>
      <w:r>
        <w:rPr>
          <w:rFonts w:hint="eastAsia" w:ascii="仿宋" w:hAnsi="仿宋" w:eastAsia="仿宋" w:cs="仿宋"/>
          <w:sz w:val="32"/>
          <w:szCs w:val="32"/>
          <w:lang w:val="en-US" w:eastAsia="zh-CN"/>
        </w:rPr>
        <w:t>竞争性磋商</w:t>
      </w:r>
      <w:r>
        <w:rPr>
          <w:rFonts w:hint="eastAsia" w:ascii="仿宋" w:hAnsi="仿宋" w:eastAsia="仿宋" w:cs="仿宋"/>
          <w:sz w:val="32"/>
          <w:szCs w:val="32"/>
        </w:rPr>
        <w:t>，</w:t>
      </w:r>
      <w:r>
        <w:rPr>
          <w:rFonts w:hint="eastAsia" w:ascii="仿宋" w:hAnsi="仿宋" w:eastAsia="仿宋" w:cs="仿宋"/>
          <w:sz w:val="32"/>
          <w:szCs w:val="32"/>
          <w:u w:val="single"/>
        </w:rPr>
        <w:t>西安科技大市场服务中心</w:t>
      </w:r>
      <w:r>
        <w:rPr>
          <w:rFonts w:hint="eastAsia" w:ascii="仿宋" w:hAnsi="仿宋" w:eastAsia="仿宋" w:cs="仿宋"/>
          <w:sz w:val="32"/>
          <w:szCs w:val="32"/>
        </w:rPr>
        <w:t>（以下简称“甲方”）确定</w:t>
      </w:r>
      <w:r>
        <w:rPr>
          <w:rFonts w:hint="eastAsia" w:ascii="仿宋" w:hAnsi="仿宋" w:eastAsia="仿宋"/>
          <w:color w:val="auto"/>
          <w:sz w:val="32"/>
          <w:szCs w:val="32"/>
          <w:u w:val="single"/>
          <w:lang w:val="en-US" w:eastAsia="zh-CN"/>
        </w:rPr>
        <w:t xml:space="preserve">              </w:t>
      </w:r>
      <w:r>
        <w:rPr>
          <w:rFonts w:hint="eastAsia" w:ascii="仿宋" w:hAnsi="仿宋" w:eastAsia="仿宋" w:cs="仿宋"/>
          <w:color w:val="auto"/>
          <w:sz w:val="32"/>
          <w:szCs w:val="32"/>
        </w:rPr>
        <w:t>（以下简称“乙方”）为本项目</w:t>
      </w:r>
      <w:r>
        <w:rPr>
          <w:rFonts w:hint="eastAsia" w:ascii="仿宋" w:hAnsi="仿宋" w:eastAsia="仿宋" w:cs="仿宋"/>
          <w:sz w:val="32"/>
          <w:szCs w:val="32"/>
        </w:rPr>
        <w:t>的中标人。</w:t>
      </w:r>
      <w:r>
        <w:rPr>
          <w:rFonts w:hint="eastAsia" w:ascii="仿宋" w:hAnsi="仿宋" w:eastAsia="仿宋"/>
          <w:sz w:val="32"/>
          <w:szCs w:val="32"/>
        </w:rPr>
        <w:t>依据《中华人民共和国</w:t>
      </w:r>
      <w:r>
        <w:rPr>
          <w:rFonts w:hint="eastAsia" w:ascii="仿宋" w:hAnsi="仿宋" w:eastAsia="仿宋"/>
          <w:sz w:val="32"/>
          <w:szCs w:val="32"/>
          <w:lang w:val="en-US" w:eastAsia="zh-CN"/>
        </w:rPr>
        <w:t>民法典</w:t>
      </w:r>
      <w:r>
        <w:rPr>
          <w:rFonts w:hint="eastAsia" w:ascii="仿宋" w:hAnsi="仿宋" w:eastAsia="仿宋"/>
          <w:sz w:val="32"/>
          <w:szCs w:val="32"/>
        </w:rPr>
        <w:t>》、《中华人民共和国政府采购法》及相关的法律法规之规定，在自愿平等、协商一致的基础上，订立本合同。</w:t>
      </w:r>
    </w:p>
    <w:p w14:paraId="0D15B836">
      <w:pPr>
        <w:pageBreakBefore w:val="0"/>
        <w:numPr>
          <w:ilvl w:val="0"/>
          <w:numId w:val="1"/>
        </w:numPr>
        <w:kinsoku/>
        <w:wordWrap/>
        <w:overflowPunct/>
        <w:topLinePunct w:val="0"/>
        <w:bidi w:val="0"/>
        <w:snapToGrid/>
        <w:spacing w:line="536" w:lineRule="exact"/>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服务地点及期限</w:t>
      </w:r>
    </w:p>
    <w:p w14:paraId="7B068C93">
      <w:pPr>
        <w:pageBreakBefore w:val="0"/>
        <w:kinsoku/>
        <w:wordWrap/>
        <w:overflowPunct/>
        <w:topLinePunct w:val="0"/>
        <w:bidi w:val="0"/>
        <w:snapToGrid/>
        <w:spacing w:line="536" w:lineRule="exact"/>
        <w:ind w:firstLine="640" w:firstLineChars="200"/>
        <w:rPr>
          <w:rFonts w:ascii="仿宋" w:hAnsi="仿宋" w:eastAsia="仿宋"/>
          <w:color w:val="auto"/>
          <w:sz w:val="32"/>
          <w:szCs w:val="32"/>
        </w:rPr>
      </w:pPr>
      <w:r>
        <w:rPr>
          <w:rFonts w:hint="eastAsia" w:ascii="仿宋" w:hAnsi="仿宋" w:eastAsia="仿宋"/>
          <w:sz w:val="32"/>
          <w:szCs w:val="32"/>
        </w:rPr>
        <w:t>服务地点：</w:t>
      </w:r>
    </w:p>
    <w:p w14:paraId="1DCAA44B">
      <w:pPr>
        <w:pageBreakBefore w:val="0"/>
        <w:kinsoku/>
        <w:wordWrap/>
        <w:overflowPunct/>
        <w:topLinePunct w:val="0"/>
        <w:bidi w:val="0"/>
        <w:snapToGrid/>
        <w:spacing w:line="536" w:lineRule="exact"/>
        <w:ind w:firstLine="640" w:firstLineChars="200"/>
        <w:rPr>
          <w:rFonts w:hint="eastAsia" w:ascii="仿宋" w:hAnsi="仿宋" w:eastAsia="仿宋"/>
          <w:sz w:val="32"/>
          <w:szCs w:val="32"/>
        </w:rPr>
      </w:pPr>
      <w:r>
        <w:rPr>
          <w:rFonts w:hint="eastAsia" w:ascii="仿宋" w:hAnsi="仿宋" w:eastAsia="仿宋"/>
          <w:sz w:val="32"/>
          <w:szCs w:val="32"/>
        </w:rPr>
        <w:t>服务期：一年，</w:t>
      </w:r>
      <w:r>
        <w:rPr>
          <w:rFonts w:hint="eastAsia" w:ascii="仿宋" w:hAnsi="仿宋" w:eastAsia="仿宋"/>
          <w:color w:val="auto"/>
          <w:sz w:val="32"/>
          <w:szCs w:val="32"/>
          <w:lang w:val="en-US" w:eastAsia="zh-CN"/>
        </w:rPr>
        <w:t>自</w:t>
      </w:r>
      <w:r>
        <w:rPr>
          <w:rFonts w:hint="eastAsia" w:ascii="仿宋" w:hAnsi="仿宋" w:eastAsia="仿宋"/>
          <w:color w:val="auto"/>
          <w:sz w:val="32"/>
          <w:szCs w:val="32"/>
        </w:rPr>
        <w:t>202</w:t>
      </w:r>
      <w:r>
        <w:rPr>
          <w:rFonts w:hint="eastAsia" w:ascii="仿宋" w:hAnsi="仿宋" w:eastAsia="仿宋"/>
          <w:color w:val="auto"/>
          <w:sz w:val="32"/>
          <w:szCs w:val="32"/>
          <w:u w:val="single"/>
          <w:lang w:val="en-US" w:eastAsia="zh-CN"/>
        </w:rPr>
        <w:t xml:space="preserve"> </w:t>
      </w:r>
      <w:r>
        <w:rPr>
          <w:rFonts w:hint="eastAsia" w:ascii="仿宋" w:hAnsi="仿宋" w:eastAsia="仿宋"/>
          <w:color w:val="auto"/>
          <w:sz w:val="32"/>
          <w:szCs w:val="32"/>
        </w:rPr>
        <w:t>年</w:t>
      </w:r>
      <w:r>
        <w:rPr>
          <w:rFonts w:hint="eastAsia" w:ascii="仿宋" w:hAnsi="仿宋" w:eastAsia="仿宋"/>
          <w:color w:val="auto"/>
          <w:sz w:val="32"/>
          <w:szCs w:val="32"/>
          <w:u w:val="single"/>
          <w:lang w:val="en-US" w:eastAsia="zh-CN"/>
        </w:rPr>
        <w:t xml:space="preserve">   </w:t>
      </w:r>
      <w:r>
        <w:rPr>
          <w:rFonts w:hint="eastAsia" w:ascii="仿宋" w:hAnsi="仿宋" w:eastAsia="仿宋"/>
          <w:color w:val="auto"/>
          <w:sz w:val="32"/>
          <w:szCs w:val="32"/>
        </w:rPr>
        <w:t>月</w:t>
      </w:r>
      <w:r>
        <w:rPr>
          <w:rFonts w:hint="eastAsia" w:ascii="仿宋" w:hAnsi="仿宋" w:eastAsia="仿宋"/>
          <w:color w:val="auto"/>
          <w:sz w:val="32"/>
          <w:szCs w:val="32"/>
          <w:u w:val="single"/>
          <w:lang w:val="en-US" w:eastAsia="zh-CN"/>
        </w:rPr>
        <w:t xml:space="preserve">   </w:t>
      </w:r>
      <w:r>
        <w:rPr>
          <w:rFonts w:hint="eastAsia" w:ascii="仿宋" w:hAnsi="仿宋" w:eastAsia="仿宋"/>
          <w:color w:val="auto"/>
          <w:sz w:val="32"/>
          <w:szCs w:val="32"/>
        </w:rPr>
        <w:t>日</w:t>
      </w:r>
      <w:r>
        <w:rPr>
          <w:rFonts w:hint="eastAsia" w:ascii="仿宋" w:hAnsi="仿宋" w:eastAsia="仿宋"/>
          <w:color w:val="auto"/>
          <w:sz w:val="32"/>
          <w:szCs w:val="32"/>
          <w:lang w:val="en-US" w:eastAsia="zh-CN"/>
        </w:rPr>
        <w:t>至</w:t>
      </w:r>
      <w:r>
        <w:rPr>
          <w:rFonts w:hint="eastAsia" w:ascii="仿宋" w:hAnsi="仿宋" w:eastAsia="仿宋"/>
          <w:sz w:val="32"/>
          <w:szCs w:val="32"/>
        </w:rPr>
        <w:t>202</w:t>
      </w:r>
      <w:r>
        <w:rPr>
          <w:rFonts w:hint="eastAsia" w:ascii="仿宋" w:hAnsi="仿宋" w:eastAsia="仿宋"/>
          <w:sz w:val="32"/>
          <w:szCs w:val="32"/>
          <w:u w:val="single"/>
          <w:lang w:val="en-US" w:eastAsia="zh-CN"/>
        </w:rPr>
        <w:t xml:space="preserve"> </w:t>
      </w:r>
      <w:r>
        <w:rPr>
          <w:rFonts w:hint="eastAsia" w:ascii="仿宋" w:hAnsi="仿宋" w:eastAsia="仿宋"/>
          <w:sz w:val="32"/>
          <w:szCs w:val="32"/>
        </w:rPr>
        <w:t>年</w:t>
      </w:r>
      <w:r>
        <w:rPr>
          <w:rFonts w:hint="eastAsia" w:ascii="仿宋" w:hAnsi="仿宋" w:eastAsia="仿宋"/>
          <w:sz w:val="32"/>
          <w:szCs w:val="32"/>
          <w:u w:val="single"/>
          <w:lang w:val="en-US" w:eastAsia="zh-CN"/>
        </w:rPr>
        <w:t xml:space="preserve">  </w:t>
      </w:r>
      <w:r>
        <w:rPr>
          <w:rFonts w:hint="eastAsia" w:ascii="仿宋" w:hAnsi="仿宋" w:eastAsia="仿宋"/>
          <w:sz w:val="32"/>
          <w:szCs w:val="32"/>
        </w:rPr>
        <w:t>月</w:t>
      </w:r>
      <w:r>
        <w:rPr>
          <w:rFonts w:hint="eastAsia" w:ascii="仿宋" w:hAnsi="仿宋" w:eastAsia="仿宋"/>
          <w:sz w:val="32"/>
          <w:szCs w:val="32"/>
          <w:u w:val="single"/>
          <w:lang w:val="en-US" w:eastAsia="zh-CN"/>
        </w:rPr>
        <w:t xml:space="preserve">  </w:t>
      </w:r>
      <w:r>
        <w:rPr>
          <w:rFonts w:hint="eastAsia" w:ascii="仿宋" w:hAnsi="仿宋" w:eastAsia="仿宋"/>
          <w:sz w:val="32"/>
          <w:szCs w:val="32"/>
        </w:rPr>
        <w:t>日。</w:t>
      </w:r>
    </w:p>
    <w:p w14:paraId="4F38F40C">
      <w:pPr>
        <w:pageBreakBefore w:val="0"/>
        <w:numPr>
          <w:ilvl w:val="0"/>
          <w:numId w:val="1"/>
        </w:numPr>
        <w:kinsoku/>
        <w:wordWrap/>
        <w:overflowPunct/>
        <w:topLinePunct w:val="0"/>
        <w:bidi w:val="0"/>
        <w:snapToGrid/>
        <w:spacing w:line="536" w:lineRule="exact"/>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合同价款及款项结算</w:t>
      </w:r>
    </w:p>
    <w:p w14:paraId="3EB5DED2">
      <w:pPr>
        <w:pageBreakBefore w:val="0"/>
        <w:kinsoku/>
        <w:wordWrap/>
        <w:overflowPunct/>
        <w:topLinePunct w:val="0"/>
        <w:bidi w:val="0"/>
        <w:snapToGrid/>
        <w:spacing w:line="536" w:lineRule="exact"/>
        <w:rPr>
          <w:rFonts w:ascii="仿宋" w:hAnsi="仿宋" w:eastAsia="仿宋"/>
          <w:b/>
          <w:sz w:val="32"/>
          <w:szCs w:val="32"/>
        </w:rPr>
      </w:pPr>
      <w:r>
        <w:rPr>
          <w:rFonts w:hint="eastAsia" w:ascii="仿宋" w:hAnsi="仿宋" w:eastAsia="仿宋"/>
          <w:b/>
          <w:sz w:val="32"/>
          <w:szCs w:val="32"/>
          <w:lang w:eastAsia="zh-CN"/>
        </w:rPr>
        <w:t>（</w:t>
      </w:r>
      <w:r>
        <w:rPr>
          <w:rFonts w:hint="eastAsia" w:ascii="仿宋" w:hAnsi="仿宋" w:eastAsia="仿宋"/>
          <w:b/>
          <w:sz w:val="32"/>
          <w:szCs w:val="32"/>
          <w:lang w:val="en-US" w:eastAsia="zh-CN"/>
        </w:rPr>
        <w:t>一</w:t>
      </w:r>
      <w:r>
        <w:rPr>
          <w:rFonts w:hint="eastAsia" w:ascii="仿宋" w:hAnsi="仿宋" w:eastAsia="仿宋"/>
          <w:b/>
          <w:sz w:val="32"/>
          <w:szCs w:val="32"/>
          <w:lang w:eastAsia="zh-CN"/>
        </w:rPr>
        <w:t>）</w:t>
      </w:r>
      <w:r>
        <w:rPr>
          <w:rFonts w:hint="eastAsia" w:ascii="仿宋" w:hAnsi="仿宋" w:eastAsia="仿宋"/>
          <w:b/>
          <w:sz w:val="32"/>
          <w:szCs w:val="32"/>
        </w:rPr>
        <w:t>合同价款</w:t>
      </w:r>
    </w:p>
    <w:p w14:paraId="37FD09FF">
      <w:pPr>
        <w:pageBreakBefore w:val="0"/>
        <w:kinsoku/>
        <w:wordWrap/>
        <w:overflowPunct/>
        <w:topLinePunct w:val="0"/>
        <w:bidi w:val="0"/>
        <w:snapToGrid/>
        <w:spacing w:line="536" w:lineRule="exact"/>
        <w:ind w:firstLine="640" w:firstLineChars="200"/>
        <w:rPr>
          <w:rFonts w:hint="eastAsia" w:ascii="仿宋" w:hAnsi="仿宋" w:eastAsia="仿宋"/>
          <w:color w:val="auto"/>
          <w:sz w:val="32"/>
          <w:szCs w:val="32"/>
          <w:lang w:val="en-US" w:eastAsia="zh-CN"/>
        </w:rPr>
      </w:pPr>
      <w:r>
        <w:rPr>
          <w:rFonts w:hint="eastAsia" w:ascii="仿宋" w:hAnsi="仿宋" w:eastAsia="仿宋"/>
          <w:sz w:val="32"/>
          <w:szCs w:val="32"/>
          <w:lang w:val="en-US" w:eastAsia="zh-CN"/>
        </w:rPr>
        <w:t>1.合同价款为人民币（大写）</w:t>
      </w:r>
      <w:r>
        <w:rPr>
          <w:rFonts w:hint="eastAsia" w:ascii="仿宋" w:hAnsi="仿宋" w:eastAsia="仿宋"/>
          <w:color w:val="auto"/>
          <w:sz w:val="32"/>
          <w:szCs w:val="32"/>
          <w:u w:val="single"/>
          <w:lang w:val="en-US" w:eastAsia="zh-CN"/>
        </w:rPr>
        <w:t xml:space="preserve">           </w:t>
      </w:r>
      <w:r>
        <w:rPr>
          <w:rFonts w:hint="eastAsia" w:ascii="仿宋" w:hAnsi="仿宋" w:eastAsia="仿宋"/>
          <w:color w:val="auto"/>
          <w:sz w:val="32"/>
          <w:szCs w:val="32"/>
          <w:lang w:val="en-US" w:eastAsia="zh-CN"/>
        </w:rPr>
        <w:t>（¥</w:t>
      </w:r>
      <w:r>
        <w:rPr>
          <w:rFonts w:hint="eastAsia" w:ascii="仿宋" w:hAnsi="仿宋" w:eastAsia="仿宋"/>
          <w:color w:val="auto"/>
          <w:sz w:val="32"/>
          <w:szCs w:val="32"/>
          <w:u w:val="single"/>
          <w:lang w:val="en-US" w:eastAsia="zh-CN"/>
        </w:rPr>
        <w:t xml:space="preserve">      </w:t>
      </w:r>
      <w:r>
        <w:rPr>
          <w:rFonts w:hint="eastAsia" w:ascii="仿宋" w:hAnsi="仿宋" w:eastAsia="仿宋"/>
          <w:color w:val="auto"/>
          <w:sz w:val="32"/>
          <w:szCs w:val="32"/>
          <w:lang w:val="en-US" w:eastAsia="zh-CN"/>
        </w:rPr>
        <w:t>元整）。</w:t>
      </w:r>
    </w:p>
    <w:p w14:paraId="15D42507">
      <w:pPr>
        <w:pageBreakBefore w:val="0"/>
        <w:kinsoku/>
        <w:wordWrap/>
        <w:overflowPunct/>
        <w:topLinePunct w:val="0"/>
        <w:bidi w:val="0"/>
        <w:snapToGrid/>
        <w:spacing w:line="536"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lang w:val="en-US" w:eastAsia="zh-CN"/>
        </w:rPr>
        <w:t>2.合同价款包括但不限于</w:t>
      </w:r>
      <w:r>
        <w:rPr>
          <w:rFonts w:hint="eastAsia" w:ascii="仿宋" w:hAnsi="仿宋" w:eastAsia="仿宋"/>
          <w:sz w:val="32"/>
          <w:szCs w:val="32"/>
          <w:highlight w:val="none"/>
          <w:lang w:val="en-US" w:eastAsia="zh-CN"/>
        </w:rPr>
        <w:t>人员工资、管理费、维保费、税金、</w:t>
      </w:r>
      <w:r>
        <w:rPr>
          <w:rFonts w:hint="eastAsia" w:ascii="仿宋" w:hAnsi="仿宋" w:eastAsia="仿宋"/>
          <w:color w:val="auto"/>
          <w:sz w:val="32"/>
          <w:szCs w:val="32"/>
          <w:highlight w:val="none"/>
          <w:lang w:val="en-US" w:eastAsia="zh-CN"/>
        </w:rPr>
        <w:t>防火墙license费、网站安全证书费、域名费、微信小程序认证费、短信验证码费、机房精密空调更换费、备品备件费</w:t>
      </w:r>
      <w:r>
        <w:rPr>
          <w:rFonts w:hint="eastAsia" w:ascii="仿宋" w:hAnsi="仿宋" w:eastAsia="仿宋"/>
          <w:sz w:val="32"/>
          <w:szCs w:val="32"/>
          <w:highlight w:val="none"/>
          <w:lang w:val="en-US" w:eastAsia="zh-CN"/>
        </w:rPr>
        <w:t>等完成本项目所需的全部费用。</w:t>
      </w:r>
    </w:p>
    <w:p w14:paraId="122FB65C">
      <w:pPr>
        <w:pageBreakBefore w:val="0"/>
        <w:kinsoku/>
        <w:wordWrap/>
        <w:overflowPunct/>
        <w:topLinePunct w:val="0"/>
        <w:bidi w:val="0"/>
        <w:snapToGrid/>
        <w:spacing w:line="53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3.合同价款在执行过程中，除发生重大政策调整（例如：预算消减之类）等情况，其他情况下合同总价一次性包死，不受市场价格变化等因素的影响；如若发生重大政策调整，由甲乙双方协商决定。</w:t>
      </w:r>
    </w:p>
    <w:p w14:paraId="394E1271">
      <w:pPr>
        <w:pStyle w:val="5"/>
        <w:pageBreakBefore w:val="0"/>
        <w:widowControl w:val="0"/>
        <w:kinsoku/>
        <w:wordWrap/>
        <w:overflowPunct/>
        <w:topLinePunct w:val="0"/>
        <w:autoSpaceDE/>
        <w:autoSpaceDN/>
        <w:bidi w:val="0"/>
        <w:adjustRightInd/>
        <w:snapToGrid/>
        <w:spacing w:before="0" w:after="0" w:line="536" w:lineRule="exact"/>
        <w:textAlignment w:val="auto"/>
        <w:rPr>
          <w:rFonts w:hint="eastAsia" w:ascii="仿宋" w:hAnsi="仿宋" w:eastAsia="仿宋" w:cs="Times New Roman"/>
          <w:color w:val="FF0000"/>
          <w:sz w:val="32"/>
          <w:szCs w:val="32"/>
        </w:rPr>
      </w:pPr>
      <w:r>
        <w:rPr>
          <w:rFonts w:hint="eastAsia" w:ascii="仿宋" w:hAnsi="仿宋" w:eastAsia="仿宋"/>
          <w:b/>
          <w:sz w:val="32"/>
          <w:szCs w:val="32"/>
          <w:lang w:eastAsia="zh-CN"/>
        </w:rPr>
        <w:t>（</w:t>
      </w:r>
      <w:r>
        <w:rPr>
          <w:rFonts w:hint="eastAsia" w:ascii="仿宋" w:hAnsi="仿宋"/>
          <w:b/>
          <w:sz w:val="32"/>
          <w:szCs w:val="32"/>
          <w:lang w:val="en-US" w:eastAsia="zh-CN"/>
        </w:rPr>
        <w:t>二</w:t>
      </w:r>
      <w:r>
        <w:rPr>
          <w:rFonts w:hint="eastAsia" w:ascii="仿宋" w:hAnsi="仿宋" w:eastAsia="仿宋"/>
          <w:b/>
          <w:sz w:val="32"/>
          <w:szCs w:val="32"/>
          <w:lang w:eastAsia="zh-CN"/>
        </w:rPr>
        <w:t>）</w:t>
      </w:r>
      <w:r>
        <w:rPr>
          <w:rFonts w:hint="eastAsia"/>
        </w:rPr>
        <w:t>款项结算</w:t>
      </w:r>
    </w:p>
    <w:p w14:paraId="44E6AB42">
      <w:pPr>
        <w:pageBreakBefore w:val="0"/>
        <w:widowControl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s="Times New Roman"/>
          <w:color w:val="auto"/>
          <w:sz w:val="32"/>
          <w:szCs w:val="32"/>
        </w:rPr>
      </w:pPr>
      <w:r>
        <w:rPr>
          <w:rFonts w:hint="eastAsia" w:ascii="仿宋" w:hAnsi="仿宋" w:eastAsia="仿宋" w:cs="Times New Roman"/>
          <w:color w:val="auto"/>
          <w:sz w:val="32"/>
          <w:szCs w:val="32"/>
        </w:rPr>
        <w:t>1.合同签订并完成前期准备工作后，支付合同价款的50%款项；</w:t>
      </w:r>
      <w:r>
        <w:rPr>
          <w:rFonts w:hint="eastAsia" w:ascii="仿宋" w:hAnsi="仿宋" w:eastAsia="仿宋" w:cs="Times New Roman"/>
          <w:color w:val="auto"/>
          <w:sz w:val="32"/>
          <w:szCs w:val="32"/>
          <w:lang w:eastAsia="zh-CN"/>
        </w:rPr>
        <w:t>年末</w:t>
      </w:r>
      <w:r>
        <w:rPr>
          <w:rFonts w:hint="eastAsia" w:ascii="仿宋" w:hAnsi="仿宋" w:eastAsia="仿宋" w:cs="Times New Roman"/>
          <w:color w:val="auto"/>
          <w:sz w:val="32"/>
          <w:szCs w:val="32"/>
        </w:rPr>
        <w:t>中期验收完成</w:t>
      </w:r>
      <w:r>
        <w:rPr>
          <w:rFonts w:hint="eastAsia" w:ascii="仿宋" w:hAnsi="仿宋" w:eastAsia="仿宋" w:cs="Times New Roman"/>
          <w:color w:val="auto"/>
          <w:sz w:val="32"/>
          <w:szCs w:val="32"/>
          <w:lang w:val="en-US" w:eastAsia="zh-CN"/>
        </w:rPr>
        <w:t>后</w:t>
      </w:r>
      <w:r>
        <w:rPr>
          <w:rFonts w:hint="eastAsia" w:ascii="仿宋" w:hAnsi="仿宋" w:eastAsia="仿宋" w:cs="Times New Roman"/>
          <w:color w:val="auto"/>
          <w:sz w:val="32"/>
          <w:szCs w:val="32"/>
        </w:rPr>
        <w:t>，支付合同价款的</w:t>
      </w:r>
      <w:r>
        <w:rPr>
          <w:rFonts w:hint="eastAsia" w:ascii="仿宋" w:hAnsi="仿宋" w:eastAsia="仿宋" w:cs="Times New Roman"/>
          <w:color w:val="auto"/>
          <w:sz w:val="32"/>
          <w:szCs w:val="32"/>
          <w:lang w:val="en-US" w:eastAsia="zh-CN"/>
        </w:rPr>
        <w:t>10</w:t>
      </w:r>
      <w:r>
        <w:rPr>
          <w:rFonts w:hint="eastAsia" w:ascii="仿宋" w:hAnsi="仿宋" w:eastAsia="仿宋" w:cs="Times New Roman"/>
          <w:color w:val="auto"/>
          <w:sz w:val="32"/>
          <w:szCs w:val="32"/>
        </w:rPr>
        <w:t>%；项目结题并通过验收后，支付合同价款的</w:t>
      </w:r>
      <w:r>
        <w:rPr>
          <w:rFonts w:hint="eastAsia" w:ascii="仿宋" w:hAnsi="仿宋" w:eastAsia="仿宋" w:cs="Times New Roman"/>
          <w:color w:val="auto"/>
          <w:sz w:val="32"/>
          <w:szCs w:val="32"/>
          <w:lang w:val="en-US" w:eastAsia="zh-CN"/>
        </w:rPr>
        <w:t>40</w:t>
      </w:r>
      <w:r>
        <w:rPr>
          <w:rFonts w:hint="eastAsia" w:ascii="仿宋" w:hAnsi="仿宋" w:eastAsia="仿宋" w:cs="Times New Roman"/>
          <w:color w:val="auto"/>
          <w:sz w:val="32"/>
          <w:szCs w:val="32"/>
        </w:rPr>
        <w:t>%。</w:t>
      </w:r>
    </w:p>
    <w:p w14:paraId="71702E8A">
      <w:pPr>
        <w:pageBreakBefore w:val="0"/>
        <w:widowControl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s="Times New Roman"/>
          <w:color w:val="auto"/>
          <w:sz w:val="32"/>
          <w:szCs w:val="32"/>
        </w:rPr>
      </w:pPr>
      <w:r>
        <w:rPr>
          <w:rFonts w:hint="eastAsia" w:ascii="仿宋" w:hAnsi="仿宋" w:eastAsia="仿宋" w:cs="Times New Roman"/>
          <w:color w:val="auto"/>
          <w:sz w:val="32"/>
          <w:szCs w:val="32"/>
        </w:rPr>
        <w:t>2.甲方如遇到经费被相关部门调减、压缩等情况，在合同总金额不变前提下双方商议后可订立补充合同调整第二笔及第三笔支付比例。</w:t>
      </w:r>
    </w:p>
    <w:p w14:paraId="022CC29A">
      <w:pPr>
        <w:pageBreakBefore w:val="0"/>
        <w:widowControl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s="Times New Roman"/>
          <w:color w:val="auto"/>
          <w:sz w:val="32"/>
          <w:szCs w:val="32"/>
        </w:rPr>
      </w:pPr>
      <w:r>
        <w:rPr>
          <w:rFonts w:hint="eastAsia" w:ascii="仿宋" w:hAnsi="仿宋" w:eastAsia="仿宋" w:cs="Times New Roman"/>
          <w:color w:val="auto"/>
          <w:sz w:val="32"/>
          <w:szCs w:val="32"/>
        </w:rPr>
        <w:t>3.乙方未按要求完成运维工作，甲方延迟支付合同经费。</w:t>
      </w:r>
    </w:p>
    <w:p w14:paraId="7713266A">
      <w:pPr>
        <w:pageBreakBefore w:val="0"/>
        <w:widowControl w:val="0"/>
        <w:kinsoku/>
        <w:wordWrap/>
        <w:overflowPunct/>
        <w:topLinePunct w:val="0"/>
        <w:autoSpaceDE/>
        <w:autoSpaceDN/>
        <w:bidi w:val="0"/>
        <w:adjustRightInd/>
        <w:snapToGrid/>
        <w:spacing w:line="536" w:lineRule="exact"/>
        <w:ind w:firstLine="640" w:firstLineChars="200"/>
        <w:textAlignment w:val="auto"/>
        <w:rPr>
          <w:rFonts w:hint="default"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4.乙方</w:t>
      </w:r>
      <w:r>
        <w:rPr>
          <w:rFonts w:hint="eastAsia" w:ascii="仿宋" w:hAnsi="仿宋" w:eastAsia="仿宋"/>
          <w:color w:val="auto"/>
          <w:sz w:val="32"/>
          <w:szCs w:val="32"/>
          <w:lang w:val="en-US" w:eastAsia="zh-CN"/>
        </w:rPr>
        <w:t>若未达到合同要求，将根据服务内容的费用占比扣除一定比例的合同价款。</w:t>
      </w:r>
    </w:p>
    <w:p w14:paraId="70A5B918">
      <w:pPr>
        <w:pStyle w:val="3"/>
        <w:keepNext/>
        <w:keepLines/>
        <w:pageBreakBefore w:val="0"/>
        <w:widowControl w:val="0"/>
        <w:kinsoku/>
        <w:wordWrap/>
        <w:overflowPunct/>
        <w:topLinePunct w:val="0"/>
        <w:autoSpaceDE/>
        <w:autoSpaceDN/>
        <w:bidi w:val="0"/>
        <w:adjustRightInd/>
        <w:snapToGrid/>
        <w:spacing w:before="0" w:after="0" w:line="536" w:lineRule="exact"/>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三、服务工作内容</w:t>
      </w:r>
    </w:p>
    <w:tbl>
      <w:tblPr>
        <w:tblStyle w:val="11"/>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0"/>
        <w:gridCol w:w="6981"/>
      </w:tblGrid>
      <w:tr w14:paraId="618B1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670" w:type="dxa"/>
          </w:tcPr>
          <w:p w14:paraId="56F8250D">
            <w:pPr>
              <w:pStyle w:val="25"/>
              <w:rPr>
                <w:rFonts w:ascii="仿宋_GB2312" w:hAnsi="仿宋_GB2312" w:eastAsia="仿宋_GB2312" w:cs="仿宋_GB2312"/>
              </w:rPr>
            </w:pPr>
            <w:bookmarkStart w:id="3" w:name="_Hlk527021430"/>
            <w:r>
              <w:rPr>
                <w:rFonts w:ascii="仿宋_GB2312" w:hAnsi="仿宋_GB2312" w:eastAsia="仿宋_GB2312" w:cs="仿宋_GB2312"/>
              </w:rPr>
              <w:t>序号</w:t>
            </w:r>
          </w:p>
        </w:tc>
        <w:tc>
          <w:tcPr>
            <w:tcW w:w="6981" w:type="dxa"/>
          </w:tcPr>
          <w:p w14:paraId="53626A55">
            <w:pPr>
              <w:pStyle w:val="25"/>
              <w:rPr>
                <w:rFonts w:hint="default" w:ascii="仿宋_GB2312" w:hAnsi="仿宋_GB2312" w:eastAsia="仿宋_GB2312" w:cs="仿宋_GB2312"/>
                <w:lang w:val="en-US" w:eastAsia="zh-CN"/>
              </w:rPr>
            </w:pPr>
            <w:r>
              <w:rPr>
                <w:rFonts w:ascii="仿宋_GB2312" w:hAnsi="仿宋_GB2312" w:eastAsia="仿宋_GB2312" w:cs="仿宋_GB2312"/>
              </w:rPr>
              <w:t xml:space="preserve"> </w:t>
            </w:r>
            <w:r>
              <w:rPr>
                <w:rFonts w:hint="eastAsia" w:ascii="仿宋_GB2312" w:hAnsi="仿宋_GB2312" w:eastAsia="仿宋_GB2312" w:cs="仿宋_GB2312"/>
                <w:lang w:val="en-US" w:eastAsia="zh-CN"/>
              </w:rPr>
              <w:t>服务内容</w:t>
            </w:r>
          </w:p>
        </w:tc>
      </w:tr>
      <w:tr w14:paraId="21F87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670" w:type="dxa"/>
          </w:tcPr>
          <w:p w14:paraId="4A63A9BD">
            <w:pPr>
              <w:pStyle w:val="25"/>
              <w:rPr>
                <w:rFonts w:ascii="仿宋_GB2312" w:hAnsi="仿宋_GB2312" w:eastAsia="仿宋_GB2312" w:cs="仿宋_GB2312"/>
              </w:rPr>
            </w:pPr>
            <w:r>
              <w:rPr>
                <w:rFonts w:ascii="仿宋_GB2312" w:hAnsi="仿宋_GB2312" w:eastAsia="仿宋_GB2312" w:cs="仿宋_GB2312"/>
              </w:rPr>
              <w:t>1</w:t>
            </w:r>
          </w:p>
        </w:tc>
        <w:tc>
          <w:tcPr>
            <w:tcW w:w="6981" w:type="dxa"/>
          </w:tcPr>
          <w:p w14:paraId="063D7E89">
            <w:pPr>
              <w:pStyle w:val="25"/>
              <w:rPr>
                <w:rFonts w:hint="eastAsia" w:ascii="仿宋_GB2312" w:hAnsi="仿宋_GB2312" w:eastAsia="仿宋_GB2312" w:cs="仿宋_GB2312"/>
              </w:rPr>
            </w:pPr>
            <w:r>
              <w:rPr>
                <w:rFonts w:ascii="仿宋_GB2312" w:hAnsi="仿宋_GB2312" w:eastAsia="仿宋_GB2312" w:cs="仿宋_GB2312"/>
              </w:rPr>
              <w:t>服务商要通过专业规范的运维服务和管理办法，为网络平台的安全与稳定运行提供技术支撑和保障，保障机房基础设施安全稳定运行。协助相关管理部门制定运维流</w:t>
            </w:r>
            <w:r>
              <w:rPr>
                <w:rFonts w:hint="eastAsia" w:ascii="仿宋_GB2312" w:hAnsi="仿宋_GB2312" w:eastAsia="仿宋_GB2312" w:cs="仿宋_GB2312"/>
              </w:rPr>
              <w:t>程、操作规范和管理制度，例如机房管理规定和应急处置预案等；完成大市场管理部门交办的相关协助工作，服从大市场统一管理，遵守大市场各项驻场管理规定。</w:t>
            </w:r>
            <w:bookmarkStart w:id="4" w:name="_GoBack"/>
            <w:bookmarkEnd w:id="4"/>
          </w:p>
          <w:p w14:paraId="1BEEBC1B">
            <w:pPr>
              <w:pStyle w:val="25"/>
              <w:rPr>
                <w:rFonts w:hint="eastAsia" w:ascii="仿宋_GB2312" w:hAnsi="仿宋_GB2312" w:eastAsia="仿宋_GB2312" w:cs="仿宋_GB2312"/>
              </w:rPr>
            </w:pPr>
            <w:r>
              <w:rPr>
                <w:rFonts w:hint="eastAsia" w:ascii="仿宋_GB2312" w:hAnsi="仿宋_GB2312" w:eastAsia="仿宋_GB2312" w:cs="仿宋_GB2312"/>
              </w:rPr>
              <w:t>网络平台主要包括：机房基础设施、办公信息网络、大市场服务大厅、创新科技服务展厅、魔方控制系统、会议室多媒体系统、门户站群系统、技术转移公共服务系统、设备共享公共服务系统、知识产权公共服务系统、科技政策公共服务系统、人才创业服务系统、网络存储系统、大数据平台、数据库系统、秦创原系列应用系统等，主要设施如下：</w:t>
            </w:r>
          </w:p>
          <w:p w14:paraId="6A9879FC">
            <w:pPr>
              <w:pStyle w:val="25"/>
              <w:rPr>
                <w:rFonts w:ascii="仿宋_GB2312" w:hAnsi="仿宋_GB2312" w:eastAsia="仿宋_GB2312" w:cs="仿宋_GB2312"/>
              </w:rPr>
            </w:pPr>
            <w:r>
              <w:rPr>
                <w:rFonts w:ascii="仿宋_GB2312" w:hAnsi="仿宋_GB2312" w:eastAsia="仿宋_GB2312" w:cs="仿宋_GB2312"/>
              </w:rPr>
              <w:t>西安科技大市场网络平台主要设施清单</w:t>
            </w:r>
          </w:p>
          <w:tbl>
            <w:tblPr>
              <w:tblStyle w:val="11"/>
              <w:tblW w:w="6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81"/>
              <w:gridCol w:w="1992"/>
              <w:gridCol w:w="1261"/>
              <w:gridCol w:w="1574"/>
            </w:tblGrid>
            <w:tr w14:paraId="6C0458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3D414DD6">
                  <w:pPr>
                    <w:pStyle w:val="25"/>
                    <w:rPr>
                      <w:rFonts w:ascii="仿宋_GB2312" w:hAnsi="仿宋_GB2312" w:eastAsia="仿宋_GB2312" w:cs="仿宋_GB2312"/>
                    </w:rPr>
                  </w:pPr>
                  <w:r>
                    <w:rPr>
                      <w:rFonts w:ascii="仿宋_GB2312" w:hAnsi="仿宋_GB2312" w:eastAsia="仿宋_GB2312" w:cs="仿宋_GB2312"/>
                    </w:rPr>
                    <w:t>类型</w:t>
                  </w:r>
                </w:p>
              </w:tc>
              <w:tc>
                <w:tcPr>
                  <w:tcW w:w="1792" w:type="dxa"/>
                </w:tcPr>
                <w:p w14:paraId="2F83F9C7">
                  <w:pPr>
                    <w:pStyle w:val="25"/>
                    <w:rPr>
                      <w:rFonts w:ascii="仿宋_GB2312" w:hAnsi="仿宋_GB2312" w:eastAsia="仿宋_GB2312" w:cs="仿宋_GB2312"/>
                    </w:rPr>
                  </w:pPr>
                  <w:r>
                    <w:rPr>
                      <w:rFonts w:ascii="仿宋_GB2312" w:hAnsi="仿宋_GB2312" w:eastAsia="仿宋_GB2312" w:cs="仿宋_GB2312"/>
                    </w:rPr>
                    <w:t>品牌型号</w:t>
                  </w:r>
                </w:p>
              </w:tc>
              <w:tc>
                <w:tcPr>
                  <w:tcW w:w="1135" w:type="dxa"/>
                </w:tcPr>
                <w:p w14:paraId="19DF9241">
                  <w:pPr>
                    <w:pStyle w:val="25"/>
                    <w:rPr>
                      <w:rFonts w:ascii="仿宋_GB2312" w:hAnsi="仿宋_GB2312" w:eastAsia="仿宋_GB2312" w:cs="仿宋_GB2312"/>
                    </w:rPr>
                  </w:pPr>
                  <w:r>
                    <w:rPr>
                      <w:rFonts w:ascii="仿宋_GB2312" w:hAnsi="仿宋_GB2312" w:eastAsia="仿宋_GB2312" w:cs="仿宋_GB2312"/>
                    </w:rPr>
                    <w:t>数量</w:t>
                  </w:r>
                </w:p>
              </w:tc>
              <w:tc>
                <w:tcPr>
                  <w:tcW w:w="1416" w:type="dxa"/>
                </w:tcPr>
                <w:p w14:paraId="03540541">
                  <w:pPr>
                    <w:pStyle w:val="25"/>
                    <w:rPr>
                      <w:rFonts w:ascii="仿宋_GB2312" w:hAnsi="仿宋_GB2312" w:eastAsia="仿宋_GB2312" w:cs="仿宋_GB2312"/>
                    </w:rPr>
                  </w:pPr>
                  <w:r>
                    <w:rPr>
                      <w:rFonts w:ascii="仿宋_GB2312" w:hAnsi="仿宋_GB2312" w:eastAsia="仿宋_GB2312" w:cs="仿宋_GB2312"/>
                    </w:rPr>
                    <w:t>备注</w:t>
                  </w:r>
                </w:p>
              </w:tc>
            </w:tr>
            <w:tr w14:paraId="3B987C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6CEFC308">
                  <w:pPr>
                    <w:pStyle w:val="25"/>
                    <w:rPr>
                      <w:rFonts w:ascii="仿宋_GB2312" w:hAnsi="仿宋_GB2312" w:eastAsia="仿宋_GB2312" w:cs="仿宋_GB2312"/>
                    </w:rPr>
                  </w:pPr>
                  <w:r>
                    <w:rPr>
                      <w:rFonts w:ascii="仿宋_GB2312" w:hAnsi="仿宋_GB2312" w:eastAsia="仿宋_GB2312" w:cs="仿宋_GB2312"/>
                    </w:rPr>
                    <w:t>机房基础设施</w:t>
                  </w:r>
                </w:p>
              </w:tc>
              <w:tc>
                <w:tcPr>
                  <w:tcW w:w="1792" w:type="dxa"/>
                </w:tcPr>
                <w:p w14:paraId="629CE5C5">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3CE0C146">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73800C0E">
                  <w:pPr>
                    <w:pStyle w:val="25"/>
                    <w:rPr>
                      <w:rFonts w:ascii="仿宋_GB2312" w:hAnsi="仿宋_GB2312" w:eastAsia="仿宋_GB2312" w:cs="仿宋_GB2312"/>
                    </w:rPr>
                  </w:pPr>
                  <w:r>
                    <w:rPr>
                      <w:rFonts w:ascii="仿宋_GB2312" w:hAnsi="仿宋_GB2312" w:eastAsia="仿宋_GB2312" w:cs="仿宋_GB2312"/>
                    </w:rPr>
                    <w:t>机房基础设施</w:t>
                  </w:r>
                </w:p>
              </w:tc>
            </w:tr>
            <w:tr w14:paraId="4BB3E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FDD691E">
                  <w:pPr>
                    <w:pStyle w:val="25"/>
                    <w:rPr>
                      <w:rFonts w:ascii="仿宋_GB2312" w:hAnsi="仿宋_GB2312" w:eastAsia="仿宋_GB2312" w:cs="仿宋_GB2312"/>
                    </w:rPr>
                  </w:pPr>
                  <w:r>
                    <w:rPr>
                      <w:rFonts w:ascii="仿宋_GB2312" w:hAnsi="仿宋_GB2312" w:eastAsia="仿宋_GB2312" w:cs="仿宋_GB2312"/>
                    </w:rPr>
                    <w:t>办公信息网络</w:t>
                  </w:r>
                </w:p>
              </w:tc>
              <w:tc>
                <w:tcPr>
                  <w:tcW w:w="1792" w:type="dxa"/>
                </w:tcPr>
                <w:p w14:paraId="75D9B73F">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516D5611">
                  <w:pPr>
                    <w:pStyle w:val="25"/>
                    <w:rPr>
                      <w:rFonts w:ascii="仿宋_GB2312" w:hAnsi="仿宋_GB2312" w:eastAsia="仿宋_GB2312" w:cs="仿宋_GB2312"/>
                    </w:rPr>
                  </w:pPr>
                  <w:r>
                    <w:rPr>
                      <w:rFonts w:ascii="仿宋_GB2312" w:hAnsi="仿宋_GB2312" w:eastAsia="仿宋_GB2312" w:cs="仿宋_GB2312"/>
                    </w:rPr>
                    <w:t>3套</w:t>
                  </w:r>
                </w:p>
              </w:tc>
              <w:tc>
                <w:tcPr>
                  <w:tcW w:w="1416" w:type="dxa"/>
                </w:tcPr>
                <w:p w14:paraId="7BB0CB8A">
                  <w:pPr>
                    <w:pStyle w:val="25"/>
                    <w:rPr>
                      <w:rFonts w:ascii="仿宋_GB2312" w:hAnsi="仿宋_GB2312" w:eastAsia="仿宋_GB2312" w:cs="仿宋_GB2312"/>
                    </w:rPr>
                  </w:pPr>
                  <w:r>
                    <w:rPr>
                      <w:rFonts w:ascii="仿宋_GB2312" w:hAnsi="仿宋_GB2312" w:eastAsia="仿宋_GB2312" w:cs="仿宋_GB2312"/>
                    </w:rPr>
                    <w:t>办公信息网络</w:t>
                  </w:r>
                </w:p>
              </w:tc>
            </w:tr>
            <w:tr w14:paraId="794417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745BA88">
                  <w:pPr>
                    <w:pStyle w:val="25"/>
                    <w:rPr>
                      <w:rFonts w:ascii="仿宋_GB2312" w:hAnsi="仿宋_GB2312" w:eastAsia="仿宋_GB2312" w:cs="仿宋_GB2312"/>
                    </w:rPr>
                  </w:pPr>
                  <w:r>
                    <w:rPr>
                      <w:rFonts w:ascii="仿宋_GB2312" w:hAnsi="仿宋_GB2312" w:eastAsia="仿宋_GB2312" w:cs="仿宋_GB2312"/>
                    </w:rPr>
                    <w:t>运营商互联网接入</w:t>
                  </w:r>
                </w:p>
              </w:tc>
              <w:tc>
                <w:tcPr>
                  <w:tcW w:w="1792" w:type="dxa"/>
                </w:tcPr>
                <w:p w14:paraId="429AB094">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743979DC">
                  <w:pPr>
                    <w:pStyle w:val="25"/>
                    <w:rPr>
                      <w:rFonts w:ascii="仿宋_GB2312" w:hAnsi="仿宋_GB2312" w:eastAsia="仿宋_GB2312" w:cs="仿宋_GB2312"/>
                    </w:rPr>
                  </w:pPr>
                  <w:r>
                    <w:rPr>
                      <w:rFonts w:ascii="仿宋_GB2312" w:hAnsi="仿宋_GB2312" w:eastAsia="仿宋_GB2312" w:cs="仿宋_GB2312"/>
                    </w:rPr>
                    <w:t>3套</w:t>
                  </w:r>
                </w:p>
              </w:tc>
              <w:tc>
                <w:tcPr>
                  <w:tcW w:w="1416" w:type="dxa"/>
                </w:tcPr>
                <w:p w14:paraId="11980A02">
                  <w:pPr>
                    <w:pStyle w:val="25"/>
                    <w:rPr>
                      <w:rFonts w:ascii="仿宋_GB2312" w:hAnsi="仿宋_GB2312" w:eastAsia="仿宋_GB2312" w:cs="仿宋_GB2312"/>
                    </w:rPr>
                  </w:pPr>
                  <w:r>
                    <w:rPr>
                      <w:rFonts w:ascii="仿宋_GB2312" w:hAnsi="仿宋_GB2312" w:eastAsia="仿宋_GB2312" w:cs="仿宋_GB2312"/>
                    </w:rPr>
                    <w:t>互联网接入</w:t>
                  </w:r>
                </w:p>
              </w:tc>
            </w:tr>
            <w:tr w14:paraId="31744C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373C9DCF">
                  <w:pPr>
                    <w:pStyle w:val="25"/>
                    <w:rPr>
                      <w:rFonts w:ascii="仿宋_GB2312" w:hAnsi="仿宋_GB2312" w:eastAsia="仿宋_GB2312" w:cs="仿宋_GB2312"/>
                    </w:rPr>
                  </w:pPr>
                  <w:r>
                    <w:rPr>
                      <w:rFonts w:ascii="仿宋_GB2312" w:hAnsi="仿宋_GB2312" w:eastAsia="仿宋_GB2312" w:cs="仿宋_GB2312"/>
                    </w:rPr>
                    <w:t>大市场服务大厅</w:t>
                  </w:r>
                </w:p>
              </w:tc>
              <w:tc>
                <w:tcPr>
                  <w:tcW w:w="1792" w:type="dxa"/>
                </w:tcPr>
                <w:p w14:paraId="5BE00276">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02DC21BB">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26556F07">
                  <w:pPr>
                    <w:pStyle w:val="25"/>
                    <w:rPr>
                      <w:rFonts w:ascii="仿宋_GB2312" w:hAnsi="仿宋_GB2312" w:eastAsia="仿宋_GB2312" w:cs="仿宋_GB2312"/>
                    </w:rPr>
                  </w:pPr>
                  <w:r>
                    <w:rPr>
                      <w:rFonts w:ascii="仿宋_GB2312" w:hAnsi="仿宋_GB2312" w:eastAsia="仿宋_GB2312" w:cs="仿宋_GB2312"/>
                    </w:rPr>
                    <w:t>综合应用系统</w:t>
                  </w:r>
                </w:p>
              </w:tc>
            </w:tr>
            <w:tr w14:paraId="00A164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C094BBF">
                  <w:pPr>
                    <w:pStyle w:val="25"/>
                    <w:rPr>
                      <w:rFonts w:ascii="仿宋_GB2312" w:hAnsi="仿宋_GB2312" w:eastAsia="仿宋_GB2312" w:cs="仿宋_GB2312"/>
                    </w:rPr>
                  </w:pPr>
                  <w:r>
                    <w:rPr>
                      <w:rFonts w:ascii="仿宋_GB2312" w:hAnsi="仿宋_GB2312" w:eastAsia="仿宋_GB2312" w:cs="仿宋_GB2312"/>
                    </w:rPr>
                    <w:t>创新科技服务展厅</w:t>
                  </w:r>
                </w:p>
              </w:tc>
              <w:tc>
                <w:tcPr>
                  <w:tcW w:w="1792" w:type="dxa"/>
                </w:tcPr>
                <w:p w14:paraId="28152563">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6E1245FE">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11F7156E">
                  <w:pPr>
                    <w:pStyle w:val="25"/>
                    <w:rPr>
                      <w:rFonts w:ascii="仿宋_GB2312" w:hAnsi="仿宋_GB2312" w:eastAsia="仿宋_GB2312" w:cs="仿宋_GB2312"/>
                    </w:rPr>
                  </w:pPr>
                  <w:r>
                    <w:rPr>
                      <w:rFonts w:ascii="仿宋_GB2312" w:hAnsi="仿宋_GB2312" w:eastAsia="仿宋_GB2312" w:cs="仿宋_GB2312"/>
                    </w:rPr>
                    <w:t>综合视频系统</w:t>
                  </w:r>
                </w:p>
              </w:tc>
            </w:tr>
            <w:tr w14:paraId="57B098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0DDB62AF">
                  <w:pPr>
                    <w:pStyle w:val="25"/>
                    <w:rPr>
                      <w:rFonts w:ascii="仿宋_GB2312" w:hAnsi="仿宋_GB2312" w:eastAsia="仿宋_GB2312" w:cs="仿宋_GB2312"/>
                    </w:rPr>
                  </w:pPr>
                  <w:r>
                    <w:rPr>
                      <w:rFonts w:ascii="仿宋_GB2312" w:hAnsi="仿宋_GB2312" w:eastAsia="仿宋_GB2312" w:cs="仿宋_GB2312"/>
                    </w:rPr>
                    <w:t>会议室多媒体系统</w:t>
                  </w:r>
                </w:p>
              </w:tc>
              <w:tc>
                <w:tcPr>
                  <w:tcW w:w="1792" w:type="dxa"/>
                </w:tcPr>
                <w:p w14:paraId="788DCF8C">
                  <w:pPr>
                    <w:pStyle w:val="25"/>
                    <w:rPr>
                      <w:rFonts w:ascii="仿宋_GB2312" w:hAnsi="仿宋_GB2312" w:eastAsia="仿宋_GB2312" w:cs="仿宋_GB2312"/>
                    </w:rPr>
                  </w:pPr>
                  <w:r>
                    <w:rPr>
                      <w:rFonts w:ascii="仿宋_GB2312" w:hAnsi="仿宋_GB2312" w:eastAsia="仿宋_GB2312" w:cs="仿宋_GB2312"/>
                    </w:rPr>
                    <w:t>大市场自建</w:t>
                  </w:r>
                </w:p>
              </w:tc>
              <w:tc>
                <w:tcPr>
                  <w:tcW w:w="1135" w:type="dxa"/>
                </w:tcPr>
                <w:p w14:paraId="3A3CC197">
                  <w:pPr>
                    <w:pStyle w:val="25"/>
                    <w:rPr>
                      <w:rFonts w:ascii="仿宋_GB2312" w:hAnsi="仿宋_GB2312" w:eastAsia="仿宋_GB2312" w:cs="仿宋_GB2312"/>
                    </w:rPr>
                  </w:pPr>
                  <w:r>
                    <w:rPr>
                      <w:rFonts w:ascii="仿宋_GB2312" w:hAnsi="仿宋_GB2312" w:eastAsia="仿宋_GB2312" w:cs="仿宋_GB2312"/>
                    </w:rPr>
                    <w:t>4套</w:t>
                  </w:r>
                </w:p>
              </w:tc>
              <w:tc>
                <w:tcPr>
                  <w:tcW w:w="1416" w:type="dxa"/>
                </w:tcPr>
                <w:p w14:paraId="682E5885">
                  <w:pPr>
                    <w:pStyle w:val="25"/>
                    <w:rPr>
                      <w:rFonts w:ascii="仿宋_GB2312" w:hAnsi="仿宋_GB2312" w:eastAsia="仿宋_GB2312" w:cs="仿宋_GB2312"/>
                    </w:rPr>
                  </w:pPr>
                  <w:r>
                    <w:rPr>
                      <w:rFonts w:ascii="仿宋_GB2312" w:hAnsi="仿宋_GB2312" w:eastAsia="仿宋_GB2312" w:cs="仿宋_GB2312"/>
                    </w:rPr>
                    <w:t>会议室系统</w:t>
                  </w:r>
                </w:p>
              </w:tc>
            </w:tr>
            <w:tr w14:paraId="2AA525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2C0158D">
                  <w:pPr>
                    <w:pStyle w:val="25"/>
                    <w:rPr>
                      <w:rFonts w:ascii="仿宋_GB2312" w:hAnsi="仿宋_GB2312" w:eastAsia="仿宋_GB2312" w:cs="仿宋_GB2312"/>
                    </w:rPr>
                  </w:pPr>
                  <w:r>
                    <w:rPr>
                      <w:rFonts w:ascii="仿宋_GB2312" w:hAnsi="仿宋_GB2312" w:eastAsia="仿宋_GB2312" w:cs="仿宋_GB2312"/>
                    </w:rPr>
                    <w:t>门户站群系统</w:t>
                  </w:r>
                </w:p>
              </w:tc>
              <w:tc>
                <w:tcPr>
                  <w:tcW w:w="1792" w:type="dxa"/>
                </w:tcPr>
                <w:p w14:paraId="12F5A4CE">
                  <w:pPr>
                    <w:pStyle w:val="25"/>
                    <w:rPr>
                      <w:rFonts w:ascii="仿宋_GB2312" w:hAnsi="仿宋_GB2312" w:eastAsia="仿宋_GB2312" w:cs="仿宋_GB2312"/>
                    </w:rPr>
                  </w:pPr>
                  <w:r>
                    <w:rPr>
                      <w:rFonts w:ascii="仿宋_GB2312" w:hAnsi="仿宋_GB2312" w:eastAsia="仿宋_GB2312" w:cs="仿宋_GB2312"/>
                    </w:rPr>
                    <w:t>FusionPortal</w:t>
                  </w:r>
                </w:p>
              </w:tc>
              <w:tc>
                <w:tcPr>
                  <w:tcW w:w="1135" w:type="dxa"/>
                </w:tcPr>
                <w:p w14:paraId="739B9937">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3B6717F4">
                  <w:pPr>
                    <w:pStyle w:val="25"/>
                    <w:rPr>
                      <w:rFonts w:ascii="仿宋_GB2312" w:hAnsi="仿宋_GB2312" w:eastAsia="仿宋_GB2312" w:cs="仿宋_GB2312"/>
                    </w:rPr>
                  </w:pPr>
                  <w:r>
                    <w:rPr>
                      <w:rFonts w:ascii="仿宋_GB2312" w:hAnsi="仿宋_GB2312" w:eastAsia="仿宋_GB2312" w:cs="仿宋_GB2312"/>
                    </w:rPr>
                    <w:t>应用系统</w:t>
                  </w:r>
                </w:p>
              </w:tc>
            </w:tr>
            <w:tr w14:paraId="4DC60D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7C305BA">
                  <w:pPr>
                    <w:pStyle w:val="25"/>
                    <w:rPr>
                      <w:rFonts w:ascii="仿宋_GB2312" w:hAnsi="仿宋_GB2312" w:eastAsia="仿宋_GB2312" w:cs="仿宋_GB2312"/>
                    </w:rPr>
                  </w:pPr>
                  <w:r>
                    <w:rPr>
                      <w:rFonts w:ascii="仿宋_GB2312" w:hAnsi="仿宋_GB2312" w:eastAsia="仿宋_GB2312" w:cs="仿宋_GB2312"/>
                    </w:rPr>
                    <w:t>技术转移公共服务</w:t>
                  </w:r>
                </w:p>
              </w:tc>
              <w:tc>
                <w:tcPr>
                  <w:tcW w:w="1792" w:type="dxa"/>
                </w:tcPr>
                <w:p w14:paraId="13ED161F">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71AF7578">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252391B5">
                  <w:pPr>
                    <w:pStyle w:val="25"/>
                    <w:rPr>
                      <w:rFonts w:ascii="仿宋_GB2312" w:hAnsi="仿宋_GB2312" w:eastAsia="仿宋_GB2312" w:cs="仿宋_GB2312"/>
                    </w:rPr>
                  </w:pPr>
                  <w:r>
                    <w:rPr>
                      <w:rFonts w:ascii="仿宋_GB2312" w:hAnsi="仿宋_GB2312" w:eastAsia="仿宋_GB2312" w:cs="仿宋_GB2312"/>
                    </w:rPr>
                    <w:t>应用系统</w:t>
                  </w:r>
                </w:p>
              </w:tc>
            </w:tr>
            <w:tr w14:paraId="3C6E5E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783" w:type="dxa"/>
                </w:tcPr>
                <w:p w14:paraId="2984A4DA">
                  <w:pPr>
                    <w:pStyle w:val="25"/>
                    <w:rPr>
                      <w:rFonts w:ascii="仿宋_GB2312" w:hAnsi="仿宋_GB2312" w:eastAsia="仿宋_GB2312" w:cs="仿宋_GB2312"/>
                    </w:rPr>
                  </w:pPr>
                  <w:r>
                    <w:rPr>
                      <w:rFonts w:ascii="仿宋_GB2312" w:hAnsi="仿宋_GB2312" w:eastAsia="仿宋_GB2312" w:cs="仿宋_GB2312"/>
                    </w:rPr>
                    <w:t>仪器设备共享公共服务</w:t>
                  </w:r>
                </w:p>
              </w:tc>
              <w:tc>
                <w:tcPr>
                  <w:tcW w:w="1792" w:type="dxa"/>
                </w:tcPr>
                <w:p w14:paraId="45774C75">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6879896E">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1E69324C">
                  <w:pPr>
                    <w:pStyle w:val="25"/>
                    <w:rPr>
                      <w:rFonts w:ascii="仿宋_GB2312" w:hAnsi="仿宋_GB2312" w:eastAsia="仿宋_GB2312" w:cs="仿宋_GB2312"/>
                    </w:rPr>
                  </w:pPr>
                  <w:r>
                    <w:rPr>
                      <w:rFonts w:ascii="仿宋_GB2312" w:hAnsi="仿宋_GB2312" w:eastAsia="仿宋_GB2312" w:cs="仿宋_GB2312"/>
                    </w:rPr>
                    <w:t>应用系统</w:t>
                  </w:r>
                </w:p>
              </w:tc>
            </w:tr>
            <w:tr w14:paraId="4D0876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D0BAE3B">
                  <w:pPr>
                    <w:pStyle w:val="25"/>
                    <w:rPr>
                      <w:rFonts w:ascii="仿宋_GB2312" w:hAnsi="仿宋_GB2312" w:eastAsia="仿宋_GB2312" w:cs="仿宋_GB2312"/>
                    </w:rPr>
                  </w:pPr>
                  <w:r>
                    <w:rPr>
                      <w:rFonts w:ascii="仿宋_GB2312" w:hAnsi="仿宋_GB2312" w:eastAsia="仿宋_GB2312" w:cs="仿宋_GB2312"/>
                    </w:rPr>
                    <w:t>知识产权公共服务</w:t>
                  </w:r>
                </w:p>
              </w:tc>
              <w:tc>
                <w:tcPr>
                  <w:tcW w:w="1792" w:type="dxa"/>
                </w:tcPr>
                <w:p w14:paraId="6381591A">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1F1BFD0D">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11589902">
                  <w:pPr>
                    <w:pStyle w:val="25"/>
                    <w:rPr>
                      <w:rFonts w:ascii="仿宋_GB2312" w:hAnsi="仿宋_GB2312" w:eastAsia="仿宋_GB2312" w:cs="仿宋_GB2312"/>
                    </w:rPr>
                  </w:pPr>
                  <w:r>
                    <w:rPr>
                      <w:rFonts w:ascii="仿宋_GB2312" w:hAnsi="仿宋_GB2312" w:eastAsia="仿宋_GB2312" w:cs="仿宋_GB2312"/>
                    </w:rPr>
                    <w:t>应用系统</w:t>
                  </w:r>
                </w:p>
              </w:tc>
            </w:tr>
            <w:tr w14:paraId="2D2764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08177776">
                  <w:pPr>
                    <w:pStyle w:val="25"/>
                    <w:rPr>
                      <w:rFonts w:ascii="仿宋_GB2312" w:hAnsi="仿宋_GB2312" w:eastAsia="仿宋_GB2312" w:cs="仿宋_GB2312"/>
                    </w:rPr>
                  </w:pPr>
                  <w:r>
                    <w:rPr>
                      <w:rFonts w:ascii="仿宋_GB2312" w:hAnsi="仿宋_GB2312" w:eastAsia="仿宋_GB2312" w:cs="仿宋_GB2312"/>
                    </w:rPr>
                    <w:t>科技政策公共服务</w:t>
                  </w:r>
                </w:p>
              </w:tc>
              <w:tc>
                <w:tcPr>
                  <w:tcW w:w="1792" w:type="dxa"/>
                </w:tcPr>
                <w:p w14:paraId="3CC5DE52">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4C6B3105">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4B94B30B">
                  <w:pPr>
                    <w:pStyle w:val="25"/>
                    <w:rPr>
                      <w:rFonts w:ascii="仿宋_GB2312" w:hAnsi="仿宋_GB2312" w:eastAsia="仿宋_GB2312" w:cs="仿宋_GB2312"/>
                    </w:rPr>
                  </w:pPr>
                  <w:r>
                    <w:rPr>
                      <w:rFonts w:ascii="仿宋_GB2312" w:hAnsi="仿宋_GB2312" w:eastAsia="仿宋_GB2312" w:cs="仿宋_GB2312"/>
                    </w:rPr>
                    <w:t>应用系统</w:t>
                  </w:r>
                </w:p>
              </w:tc>
            </w:tr>
            <w:tr w14:paraId="37751D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42593B2B">
                  <w:pPr>
                    <w:pStyle w:val="25"/>
                    <w:rPr>
                      <w:rFonts w:ascii="仿宋_GB2312" w:hAnsi="仿宋_GB2312" w:eastAsia="仿宋_GB2312" w:cs="仿宋_GB2312"/>
                    </w:rPr>
                  </w:pPr>
                  <w:r>
                    <w:rPr>
                      <w:rFonts w:ascii="仿宋_GB2312" w:hAnsi="仿宋_GB2312" w:eastAsia="仿宋_GB2312" w:cs="仿宋_GB2312"/>
                    </w:rPr>
                    <w:t>人才创业服务</w:t>
                  </w:r>
                </w:p>
              </w:tc>
              <w:tc>
                <w:tcPr>
                  <w:tcW w:w="1792" w:type="dxa"/>
                </w:tcPr>
                <w:p w14:paraId="51171B00">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0C25B724">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4A881CE0">
                  <w:pPr>
                    <w:pStyle w:val="25"/>
                    <w:rPr>
                      <w:rFonts w:ascii="仿宋_GB2312" w:hAnsi="仿宋_GB2312" w:eastAsia="仿宋_GB2312" w:cs="仿宋_GB2312"/>
                    </w:rPr>
                  </w:pPr>
                  <w:r>
                    <w:rPr>
                      <w:rFonts w:ascii="仿宋_GB2312" w:hAnsi="仿宋_GB2312" w:eastAsia="仿宋_GB2312" w:cs="仿宋_GB2312"/>
                    </w:rPr>
                    <w:t>应用系统</w:t>
                  </w:r>
                </w:p>
              </w:tc>
            </w:tr>
            <w:tr w14:paraId="5B846D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2F8E0DF">
                  <w:pPr>
                    <w:pStyle w:val="25"/>
                    <w:rPr>
                      <w:rFonts w:ascii="仿宋_GB2312" w:hAnsi="仿宋_GB2312" w:eastAsia="仿宋_GB2312" w:cs="仿宋_GB2312"/>
                    </w:rPr>
                  </w:pPr>
                  <w:r>
                    <w:rPr>
                      <w:rFonts w:ascii="仿宋_GB2312" w:hAnsi="仿宋_GB2312" w:eastAsia="仿宋_GB2312" w:cs="仿宋_GB2312"/>
                    </w:rPr>
                    <w:t>大数据平台</w:t>
                  </w:r>
                </w:p>
              </w:tc>
              <w:tc>
                <w:tcPr>
                  <w:tcW w:w="1792" w:type="dxa"/>
                </w:tcPr>
                <w:p w14:paraId="25B0708C">
                  <w:pPr>
                    <w:pStyle w:val="25"/>
                    <w:rPr>
                      <w:rFonts w:ascii="仿宋_GB2312" w:hAnsi="仿宋_GB2312" w:eastAsia="仿宋_GB2312" w:cs="仿宋_GB2312"/>
                    </w:rPr>
                  </w:pPr>
                  <w:r>
                    <w:rPr>
                      <w:rFonts w:ascii="仿宋_GB2312" w:hAnsi="仿宋_GB2312" w:eastAsia="仿宋_GB2312" w:cs="仿宋_GB2312"/>
                    </w:rPr>
                    <w:t>Mongodb</w:t>
                  </w:r>
                </w:p>
              </w:tc>
              <w:tc>
                <w:tcPr>
                  <w:tcW w:w="1135" w:type="dxa"/>
                </w:tcPr>
                <w:p w14:paraId="2BB49943">
                  <w:pPr>
                    <w:pStyle w:val="25"/>
                    <w:rPr>
                      <w:rFonts w:ascii="仿宋_GB2312" w:hAnsi="仿宋_GB2312" w:eastAsia="仿宋_GB2312" w:cs="仿宋_GB2312"/>
                    </w:rPr>
                  </w:pPr>
                  <w:r>
                    <w:rPr>
                      <w:rFonts w:ascii="仿宋_GB2312" w:hAnsi="仿宋_GB2312" w:eastAsia="仿宋_GB2312" w:cs="仿宋_GB2312"/>
                    </w:rPr>
                    <w:t>3个</w:t>
                  </w:r>
                </w:p>
              </w:tc>
              <w:tc>
                <w:tcPr>
                  <w:tcW w:w="1416" w:type="dxa"/>
                </w:tcPr>
                <w:p w14:paraId="51D44882">
                  <w:pPr>
                    <w:pStyle w:val="25"/>
                    <w:rPr>
                      <w:rFonts w:ascii="仿宋_GB2312" w:hAnsi="仿宋_GB2312" w:eastAsia="仿宋_GB2312" w:cs="仿宋_GB2312"/>
                    </w:rPr>
                  </w:pPr>
                  <w:r>
                    <w:rPr>
                      <w:rFonts w:ascii="仿宋_GB2312" w:hAnsi="仿宋_GB2312" w:eastAsia="仿宋_GB2312" w:cs="仿宋_GB2312"/>
                    </w:rPr>
                    <w:t>集群分布式</w:t>
                  </w:r>
                </w:p>
              </w:tc>
            </w:tr>
            <w:tr w14:paraId="4D953C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663DA75">
                  <w:pPr>
                    <w:pStyle w:val="25"/>
                    <w:rPr>
                      <w:rFonts w:ascii="仿宋_GB2312" w:hAnsi="仿宋_GB2312" w:eastAsia="仿宋_GB2312" w:cs="仿宋_GB2312"/>
                    </w:rPr>
                  </w:pPr>
                  <w:r>
                    <w:rPr>
                      <w:rFonts w:ascii="仿宋_GB2312" w:hAnsi="仿宋_GB2312" w:eastAsia="仿宋_GB2312" w:cs="仿宋_GB2312"/>
                    </w:rPr>
                    <w:t>大数据平台</w:t>
                  </w:r>
                </w:p>
              </w:tc>
              <w:tc>
                <w:tcPr>
                  <w:tcW w:w="1792" w:type="dxa"/>
                </w:tcPr>
                <w:p w14:paraId="405AD95A">
                  <w:pPr>
                    <w:pStyle w:val="25"/>
                    <w:rPr>
                      <w:rFonts w:ascii="仿宋_GB2312" w:hAnsi="仿宋_GB2312" w:eastAsia="仿宋_GB2312" w:cs="仿宋_GB2312"/>
                    </w:rPr>
                  </w:pPr>
                  <w:r>
                    <w:rPr>
                      <w:rFonts w:ascii="仿宋_GB2312" w:hAnsi="仿宋_GB2312" w:eastAsia="仿宋_GB2312" w:cs="仿宋_GB2312"/>
                    </w:rPr>
                    <w:t>Hadoop</w:t>
                  </w:r>
                </w:p>
              </w:tc>
              <w:tc>
                <w:tcPr>
                  <w:tcW w:w="1135" w:type="dxa"/>
                </w:tcPr>
                <w:p w14:paraId="43EFBDD0">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298B0673">
                  <w:pPr>
                    <w:pStyle w:val="25"/>
                    <w:rPr>
                      <w:rFonts w:ascii="仿宋_GB2312" w:hAnsi="仿宋_GB2312" w:eastAsia="仿宋_GB2312" w:cs="仿宋_GB2312"/>
                    </w:rPr>
                  </w:pPr>
                  <w:r>
                    <w:rPr>
                      <w:rFonts w:ascii="仿宋_GB2312" w:hAnsi="仿宋_GB2312" w:eastAsia="仿宋_GB2312" w:cs="仿宋_GB2312"/>
                    </w:rPr>
                    <w:t>集群分布式</w:t>
                  </w:r>
                </w:p>
              </w:tc>
            </w:tr>
            <w:tr w14:paraId="3BAC83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0E263257">
                  <w:pPr>
                    <w:pStyle w:val="25"/>
                    <w:rPr>
                      <w:rFonts w:ascii="仿宋_GB2312" w:hAnsi="仿宋_GB2312" w:eastAsia="仿宋_GB2312" w:cs="仿宋_GB2312"/>
                    </w:rPr>
                  </w:pPr>
                  <w:r>
                    <w:rPr>
                      <w:rFonts w:ascii="仿宋_GB2312" w:hAnsi="仿宋_GB2312" w:eastAsia="仿宋_GB2312" w:cs="仿宋_GB2312"/>
                    </w:rPr>
                    <w:t>大数据检索</w:t>
                  </w:r>
                </w:p>
              </w:tc>
              <w:tc>
                <w:tcPr>
                  <w:tcW w:w="1792" w:type="dxa"/>
                </w:tcPr>
                <w:p w14:paraId="1A8DC133">
                  <w:pPr>
                    <w:pStyle w:val="25"/>
                    <w:rPr>
                      <w:rFonts w:ascii="仿宋_GB2312" w:hAnsi="仿宋_GB2312" w:eastAsia="仿宋_GB2312" w:cs="仿宋_GB2312"/>
                    </w:rPr>
                  </w:pPr>
                  <w:r>
                    <w:rPr>
                      <w:rFonts w:ascii="仿宋_GB2312" w:hAnsi="仿宋_GB2312" w:eastAsia="仿宋_GB2312" w:cs="仿宋_GB2312"/>
                    </w:rPr>
                    <w:t>ElaticSearch</w:t>
                  </w:r>
                </w:p>
              </w:tc>
              <w:tc>
                <w:tcPr>
                  <w:tcW w:w="1135" w:type="dxa"/>
                </w:tcPr>
                <w:p w14:paraId="12F1EF5A">
                  <w:pPr>
                    <w:pStyle w:val="25"/>
                    <w:rPr>
                      <w:rFonts w:ascii="仿宋_GB2312" w:hAnsi="仿宋_GB2312" w:eastAsia="仿宋_GB2312" w:cs="仿宋_GB2312"/>
                    </w:rPr>
                  </w:pPr>
                  <w:r>
                    <w:rPr>
                      <w:rFonts w:ascii="仿宋_GB2312" w:hAnsi="仿宋_GB2312" w:eastAsia="仿宋_GB2312" w:cs="仿宋_GB2312"/>
                    </w:rPr>
                    <w:t>10个</w:t>
                  </w:r>
                </w:p>
              </w:tc>
              <w:tc>
                <w:tcPr>
                  <w:tcW w:w="1416" w:type="dxa"/>
                </w:tcPr>
                <w:p w14:paraId="3B54FE54">
                  <w:pPr>
                    <w:pStyle w:val="25"/>
                    <w:rPr>
                      <w:rFonts w:ascii="仿宋_GB2312" w:hAnsi="仿宋_GB2312" w:eastAsia="仿宋_GB2312" w:cs="仿宋_GB2312"/>
                    </w:rPr>
                  </w:pPr>
                  <w:r>
                    <w:rPr>
                      <w:rFonts w:ascii="仿宋_GB2312" w:hAnsi="仿宋_GB2312" w:eastAsia="仿宋_GB2312" w:cs="仿宋_GB2312"/>
                    </w:rPr>
                    <w:t>集群分布式</w:t>
                  </w:r>
                </w:p>
              </w:tc>
            </w:tr>
            <w:tr w14:paraId="338EDE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5B3E4B8">
                  <w:pPr>
                    <w:pStyle w:val="25"/>
                    <w:rPr>
                      <w:rFonts w:ascii="仿宋_GB2312" w:hAnsi="仿宋_GB2312" w:eastAsia="仿宋_GB2312" w:cs="仿宋_GB2312"/>
                    </w:rPr>
                  </w:pPr>
                  <w:r>
                    <w:rPr>
                      <w:rFonts w:ascii="仿宋_GB2312" w:hAnsi="仿宋_GB2312" w:eastAsia="仿宋_GB2312" w:cs="仿宋_GB2312"/>
                    </w:rPr>
                    <w:t>网络存储系统</w:t>
                  </w:r>
                </w:p>
              </w:tc>
              <w:tc>
                <w:tcPr>
                  <w:tcW w:w="1792" w:type="dxa"/>
                </w:tcPr>
                <w:p w14:paraId="2EE09A39">
                  <w:pPr>
                    <w:pStyle w:val="25"/>
                    <w:rPr>
                      <w:rFonts w:ascii="仿宋_GB2312" w:hAnsi="仿宋_GB2312" w:eastAsia="仿宋_GB2312" w:cs="仿宋_GB2312"/>
                    </w:rPr>
                  </w:pPr>
                  <w:r>
                    <w:rPr>
                      <w:rFonts w:ascii="仿宋_GB2312" w:hAnsi="仿宋_GB2312" w:eastAsia="仿宋_GB2312" w:cs="仿宋_GB2312"/>
                    </w:rPr>
                    <w:t>DELL 7020</w:t>
                  </w:r>
                </w:p>
              </w:tc>
              <w:tc>
                <w:tcPr>
                  <w:tcW w:w="1135" w:type="dxa"/>
                </w:tcPr>
                <w:p w14:paraId="457B40F1">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2BCB0582">
                  <w:pPr>
                    <w:pStyle w:val="25"/>
                    <w:rPr>
                      <w:rFonts w:ascii="仿宋_GB2312" w:hAnsi="仿宋_GB2312" w:eastAsia="仿宋_GB2312" w:cs="仿宋_GB2312"/>
                    </w:rPr>
                  </w:pPr>
                  <w:r>
                    <w:rPr>
                      <w:rFonts w:ascii="仿宋_GB2312" w:hAnsi="仿宋_GB2312" w:eastAsia="仿宋_GB2312" w:cs="仿宋_GB2312"/>
                    </w:rPr>
                    <w:t>网络存储系统</w:t>
                  </w:r>
                </w:p>
              </w:tc>
            </w:tr>
            <w:tr w14:paraId="07EED6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A6FA278">
                  <w:pPr>
                    <w:pStyle w:val="25"/>
                    <w:rPr>
                      <w:rFonts w:ascii="仿宋_GB2312" w:hAnsi="仿宋_GB2312" w:eastAsia="仿宋_GB2312" w:cs="仿宋_GB2312"/>
                    </w:rPr>
                  </w:pPr>
                  <w:r>
                    <w:rPr>
                      <w:rFonts w:ascii="仿宋_GB2312" w:hAnsi="仿宋_GB2312" w:eastAsia="仿宋_GB2312" w:cs="仿宋_GB2312"/>
                    </w:rPr>
                    <w:t>FC光纤网络交换机</w:t>
                  </w:r>
                </w:p>
              </w:tc>
              <w:tc>
                <w:tcPr>
                  <w:tcW w:w="1792" w:type="dxa"/>
                </w:tcPr>
                <w:p w14:paraId="4298791E">
                  <w:pPr>
                    <w:pStyle w:val="25"/>
                    <w:rPr>
                      <w:rFonts w:ascii="仿宋_GB2312" w:hAnsi="仿宋_GB2312" w:eastAsia="仿宋_GB2312" w:cs="仿宋_GB2312"/>
                    </w:rPr>
                  </w:pPr>
                  <w:r>
                    <w:rPr>
                      <w:rFonts w:ascii="仿宋_GB2312" w:hAnsi="仿宋_GB2312" w:eastAsia="仿宋_GB2312" w:cs="仿宋_GB2312"/>
                    </w:rPr>
                    <w:t>DS 6506B</w:t>
                  </w:r>
                </w:p>
              </w:tc>
              <w:tc>
                <w:tcPr>
                  <w:tcW w:w="1135" w:type="dxa"/>
                </w:tcPr>
                <w:p w14:paraId="5DB0772B">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5B3EAFC5">
                  <w:pPr>
                    <w:pStyle w:val="25"/>
                    <w:rPr>
                      <w:rFonts w:ascii="仿宋_GB2312" w:hAnsi="仿宋_GB2312" w:eastAsia="仿宋_GB2312" w:cs="仿宋_GB2312"/>
                    </w:rPr>
                  </w:pPr>
                  <w:r>
                    <w:rPr>
                      <w:rFonts w:ascii="仿宋_GB2312" w:hAnsi="仿宋_GB2312" w:eastAsia="仿宋_GB2312" w:cs="仿宋_GB2312"/>
                    </w:rPr>
                    <w:t>光纤交换机</w:t>
                  </w:r>
                </w:p>
              </w:tc>
            </w:tr>
            <w:tr w14:paraId="6993DA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C8E04A0">
                  <w:pPr>
                    <w:pStyle w:val="25"/>
                    <w:rPr>
                      <w:rFonts w:ascii="仿宋_GB2312" w:hAnsi="仿宋_GB2312" w:eastAsia="仿宋_GB2312" w:cs="仿宋_GB2312"/>
                    </w:rPr>
                  </w:pPr>
                  <w:r>
                    <w:rPr>
                      <w:rFonts w:ascii="仿宋_GB2312" w:hAnsi="仿宋_GB2312" w:eastAsia="仿宋_GB2312" w:cs="仿宋_GB2312"/>
                    </w:rPr>
                    <w:t>FC光纤交换网络</w:t>
                  </w:r>
                </w:p>
              </w:tc>
              <w:tc>
                <w:tcPr>
                  <w:tcW w:w="1792" w:type="dxa"/>
                </w:tcPr>
                <w:p w14:paraId="2140322B">
                  <w:pPr>
                    <w:pStyle w:val="25"/>
                    <w:rPr>
                      <w:rFonts w:ascii="仿宋_GB2312" w:hAnsi="仿宋_GB2312" w:eastAsia="仿宋_GB2312" w:cs="仿宋_GB2312"/>
                    </w:rPr>
                  </w:pPr>
                  <w:r>
                    <w:rPr>
                      <w:rFonts w:ascii="仿宋_GB2312" w:hAnsi="仿宋_GB2312" w:eastAsia="仿宋_GB2312" w:cs="仿宋_GB2312"/>
                    </w:rPr>
                    <w:t>DELL EMC</w:t>
                  </w:r>
                </w:p>
              </w:tc>
              <w:tc>
                <w:tcPr>
                  <w:tcW w:w="1135" w:type="dxa"/>
                </w:tcPr>
                <w:p w14:paraId="631D5A67">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6F65334D">
                  <w:pPr>
                    <w:pStyle w:val="25"/>
                    <w:rPr>
                      <w:rFonts w:ascii="仿宋_GB2312" w:hAnsi="仿宋_GB2312" w:eastAsia="仿宋_GB2312" w:cs="仿宋_GB2312"/>
                    </w:rPr>
                  </w:pPr>
                  <w:r>
                    <w:rPr>
                      <w:rFonts w:ascii="仿宋_GB2312" w:hAnsi="仿宋_GB2312" w:eastAsia="仿宋_GB2312" w:cs="仿宋_GB2312"/>
                    </w:rPr>
                    <w:t>光纤交换网络</w:t>
                  </w:r>
                </w:p>
              </w:tc>
            </w:tr>
            <w:tr w14:paraId="11BEA8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65A623B2">
                  <w:pPr>
                    <w:pStyle w:val="25"/>
                    <w:rPr>
                      <w:rFonts w:ascii="仿宋_GB2312" w:hAnsi="仿宋_GB2312" w:eastAsia="仿宋_GB2312" w:cs="仿宋_GB2312"/>
                    </w:rPr>
                  </w:pPr>
                  <w:r>
                    <w:rPr>
                      <w:rFonts w:ascii="仿宋_GB2312" w:hAnsi="仿宋_GB2312" w:eastAsia="仿宋_GB2312" w:cs="仿宋_GB2312"/>
                    </w:rPr>
                    <w:t>数据库系统</w:t>
                  </w:r>
                </w:p>
              </w:tc>
              <w:tc>
                <w:tcPr>
                  <w:tcW w:w="1792" w:type="dxa"/>
                </w:tcPr>
                <w:p w14:paraId="442254FE">
                  <w:pPr>
                    <w:pStyle w:val="25"/>
                    <w:rPr>
                      <w:rFonts w:ascii="仿宋_GB2312" w:hAnsi="仿宋_GB2312" w:eastAsia="仿宋_GB2312" w:cs="仿宋_GB2312"/>
                    </w:rPr>
                  </w:pPr>
                  <w:r>
                    <w:rPr>
                      <w:rFonts w:ascii="仿宋_GB2312" w:hAnsi="仿宋_GB2312" w:eastAsia="仿宋_GB2312" w:cs="仿宋_GB2312"/>
                    </w:rPr>
                    <w:t>Oracle 11G</w:t>
                  </w:r>
                </w:p>
              </w:tc>
              <w:tc>
                <w:tcPr>
                  <w:tcW w:w="1135" w:type="dxa"/>
                </w:tcPr>
                <w:p w14:paraId="5EF72B6F">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72AED82D">
                  <w:pPr>
                    <w:pStyle w:val="25"/>
                    <w:rPr>
                      <w:rFonts w:ascii="仿宋_GB2312" w:hAnsi="仿宋_GB2312" w:eastAsia="仿宋_GB2312" w:cs="仿宋_GB2312"/>
                    </w:rPr>
                  </w:pPr>
                  <w:r>
                    <w:rPr>
                      <w:rFonts w:ascii="仿宋_GB2312" w:hAnsi="仿宋_GB2312" w:eastAsia="仿宋_GB2312" w:cs="仿宋_GB2312"/>
                    </w:rPr>
                    <w:t>应用支撑平台</w:t>
                  </w:r>
                </w:p>
              </w:tc>
            </w:tr>
            <w:tr w14:paraId="0E578B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089AD162">
                  <w:pPr>
                    <w:pStyle w:val="25"/>
                    <w:rPr>
                      <w:rFonts w:ascii="仿宋_GB2312" w:hAnsi="仿宋_GB2312" w:eastAsia="仿宋_GB2312" w:cs="仿宋_GB2312"/>
                    </w:rPr>
                  </w:pPr>
                  <w:r>
                    <w:rPr>
                      <w:rFonts w:ascii="仿宋_GB2312" w:hAnsi="仿宋_GB2312" w:eastAsia="仿宋_GB2312" w:cs="仿宋_GB2312"/>
                    </w:rPr>
                    <w:t>数据库系统</w:t>
                  </w:r>
                </w:p>
              </w:tc>
              <w:tc>
                <w:tcPr>
                  <w:tcW w:w="1792" w:type="dxa"/>
                </w:tcPr>
                <w:p w14:paraId="40460F5C">
                  <w:pPr>
                    <w:pStyle w:val="25"/>
                    <w:rPr>
                      <w:rFonts w:ascii="仿宋_GB2312" w:hAnsi="仿宋_GB2312" w:eastAsia="仿宋_GB2312" w:cs="仿宋_GB2312"/>
                    </w:rPr>
                  </w:pPr>
                  <w:r>
                    <w:rPr>
                      <w:rFonts w:ascii="仿宋_GB2312" w:hAnsi="仿宋_GB2312" w:eastAsia="仿宋_GB2312" w:cs="仿宋_GB2312"/>
                    </w:rPr>
                    <w:t>Mysql 5.7</w:t>
                  </w:r>
                </w:p>
              </w:tc>
              <w:tc>
                <w:tcPr>
                  <w:tcW w:w="1135" w:type="dxa"/>
                </w:tcPr>
                <w:p w14:paraId="3EAFC1CD">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0187890F">
                  <w:pPr>
                    <w:pStyle w:val="25"/>
                    <w:rPr>
                      <w:rFonts w:ascii="仿宋_GB2312" w:hAnsi="仿宋_GB2312" w:eastAsia="仿宋_GB2312" w:cs="仿宋_GB2312"/>
                    </w:rPr>
                  </w:pPr>
                  <w:r>
                    <w:rPr>
                      <w:rFonts w:ascii="仿宋_GB2312" w:hAnsi="仿宋_GB2312" w:eastAsia="仿宋_GB2312" w:cs="仿宋_GB2312"/>
                    </w:rPr>
                    <w:t>应用支撑平台</w:t>
                  </w:r>
                </w:p>
              </w:tc>
            </w:tr>
            <w:tr w14:paraId="21F396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319C12D5">
                  <w:pPr>
                    <w:pStyle w:val="25"/>
                    <w:rPr>
                      <w:rFonts w:ascii="仿宋_GB2312" w:hAnsi="仿宋_GB2312" w:eastAsia="仿宋_GB2312" w:cs="仿宋_GB2312"/>
                    </w:rPr>
                  </w:pPr>
                  <w:r>
                    <w:rPr>
                      <w:rFonts w:ascii="仿宋_GB2312" w:hAnsi="仿宋_GB2312" w:eastAsia="仿宋_GB2312" w:cs="仿宋_GB2312"/>
                    </w:rPr>
                    <w:t>代理web服务器</w:t>
                  </w:r>
                </w:p>
              </w:tc>
              <w:tc>
                <w:tcPr>
                  <w:tcW w:w="1792" w:type="dxa"/>
                </w:tcPr>
                <w:p w14:paraId="539FE784">
                  <w:pPr>
                    <w:pStyle w:val="25"/>
                    <w:rPr>
                      <w:rFonts w:ascii="仿宋_GB2312" w:hAnsi="仿宋_GB2312" w:eastAsia="仿宋_GB2312" w:cs="仿宋_GB2312"/>
                    </w:rPr>
                  </w:pPr>
                  <w:r>
                    <w:rPr>
                      <w:rFonts w:ascii="仿宋_GB2312" w:hAnsi="仿宋_GB2312" w:eastAsia="仿宋_GB2312" w:cs="仿宋_GB2312"/>
                    </w:rPr>
                    <w:t>Nginx</w:t>
                  </w:r>
                </w:p>
              </w:tc>
              <w:tc>
                <w:tcPr>
                  <w:tcW w:w="1135" w:type="dxa"/>
                </w:tcPr>
                <w:p w14:paraId="055DCA4C">
                  <w:pPr>
                    <w:pStyle w:val="25"/>
                    <w:rPr>
                      <w:rFonts w:ascii="仿宋_GB2312" w:hAnsi="仿宋_GB2312" w:eastAsia="仿宋_GB2312" w:cs="仿宋_GB2312"/>
                    </w:rPr>
                  </w:pPr>
                  <w:r>
                    <w:rPr>
                      <w:rFonts w:ascii="仿宋_GB2312" w:hAnsi="仿宋_GB2312" w:eastAsia="仿宋_GB2312" w:cs="仿宋_GB2312"/>
                    </w:rPr>
                    <w:t>2个</w:t>
                  </w:r>
                </w:p>
              </w:tc>
              <w:tc>
                <w:tcPr>
                  <w:tcW w:w="1416" w:type="dxa"/>
                </w:tcPr>
                <w:p w14:paraId="0FE3B20C">
                  <w:pPr>
                    <w:pStyle w:val="25"/>
                    <w:rPr>
                      <w:rFonts w:ascii="仿宋_GB2312" w:hAnsi="仿宋_GB2312" w:eastAsia="仿宋_GB2312" w:cs="仿宋_GB2312"/>
                    </w:rPr>
                  </w:pPr>
                  <w:r>
                    <w:rPr>
                      <w:rFonts w:ascii="仿宋_GB2312" w:hAnsi="仿宋_GB2312" w:eastAsia="仿宋_GB2312" w:cs="仿宋_GB2312"/>
                    </w:rPr>
                    <w:t>应用支撑平台</w:t>
                  </w:r>
                </w:p>
              </w:tc>
            </w:tr>
            <w:tr w14:paraId="42A095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48430BD">
                  <w:pPr>
                    <w:pStyle w:val="25"/>
                    <w:rPr>
                      <w:rFonts w:ascii="仿宋_GB2312" w:hAnsi="仿宋_GB2312" w:eastAsia="仿宋_GB2312" w:cs="仿宋_GB2312"/>
                    </w:rPr>
                  </w:pPr>
                  <w:r>
                    <w:rPr>
                      <w:rFonts w:ascii="仿宋_GB2312" w:hAnsi="仿宋_GB2312" w:eastAsia="仿宋_GB2312" w:cs="仿宋_GB2312"/>
                    </w:rPr>
                    <w:t>运维管理系统</w:t>
                  </w:r>
                </w:p>
              </w:tc>
              <w:tc>
                <w:tcPr>
                  <w:tcW w:w="1792" w:type="dxa"/>
                </w:tcPr>
                <w:p w14:paraId="37207042">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7EBB9187">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0CB30272">
                  <w:pPr>
                    <w:pStyle w:val="25"/>
                    <w:rPr>
                      <w:rFonts w:ascii="仿宋_GB2312" w:hAnsi="仿宋_GB2312" w:eastAsia="仿宋_GB2312" w:cs="仿宋_GB2312"/>
                    </w:rPr>
                  </w:pPr>
                  <w:r>
                    <w:rPr>
                      <w:rFonts w:ascii="仿宋_GB2312" w:hAnsi="仿宋_GB2312" w:eastAsia="仿宋_GB2312" w:cs="仿宋_GB2312"/>
                    </w:rPr>
                    <w:t>应用支撑平台</w:t>
                  </w:r>
                </w:p>
              </w:tc>
            </w:tr>
            <w:tr w14:paraId="4A4131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06E7157">
                  <w:pPr>
                    <w:pStyle w:val="25"/>
                    <w:rPr>
                      <w:rFonts w:ascii="仿宋_GB2312" w:hAnsi="仿宋_GB2312" w:eastAsia="仿宋_GB2312" w:cs="仿宋_GB2312"/>
                    </w:rPr>
                  </w:pPr>
                  <w:r>
                    <w:rPr>
                      <w:rFonts w:ascii="仿宋_GB2312" w:hAnsi="仿宋_GB2312" w:eastAsia="仿宋_GB2312" w:cs="仿宋_GB2312"/>
                    </w:rPr>
                    <w:t>监测报警系统</w:t>
                  </w:r>
                </w:p>
              </w:tc>
              <w:tc>
                <w:tcPr>
                  <w:tcW w:w="1792" w:type="dxa"/>
                </w:tcPr>
                <w:p w14:paraId="72EC2AD7">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21DC2A83">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1BCFCC7F">
                  <w:pPr>
                    <w:pStyle w:val="25"/>
                    <w:rPr>
                      <w:rFonts w:ascii="仿宋_GB2312" w:hAnsi="仿宋_GB2312" w:eastAsia="仿宋_GB2312" w:cs="仿宋_GB2312"/>
                    </w:rPr>
                  </w:pPr>
                  <w:r>
                    <w:rPr>
                      <w:rFonts w:ascii="仿宋_GB2312" w:hAnsi="仿宋_GB2312" w:eastAsia="仿宋_GB2312" w:cs="仿宋_GB2312"/>
                    </w:rPr>
                    <w:t>应用支撑平台</w:t>
                  </w:r>
                </w:p>
              </w:tc>
            </w:tr>
            <w:tr w14:paraId="3F162C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47F2B843">
                  <w:pPr>
                    <w:pStyle w:val="25"/>
                    <w:rPr>
                      <w:rFonts w:ascii="仿宋_GB2312" w:hAnsi="仿宋_GB2312" w:eastAsia="仿宋_GB2312" w:cs="仿宋_GB2312"/>
                    </w:rPr>
                  </w:pPr>
                  <w:r>
                    <w:rPr>
                      <w:rFonts w:ascii="仿宋_GB2312" w:hAnsi="仿宋_GB2312" w:eastAsia="仿宋_GB2312" w:cs="仿宋_GB2312"/>
                    </w:rPr>
                    <w:t>专利检索系统</w:t>
                  </w:r>
                </w:p>
              </w:tc>
              <w:tc>
                <w:tcPr>
                  <w:tcW w:w="1792" w:type="dxa"/>
                </w:tcPr>
                <w:p w14:paraId="6AA0E3D7">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65008CEB">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5D8247B0">
                  <w:pPr>
                    <w:pStyle w:val="25"/>
                    <w:rPr>
                      <w:rFonts w:ascii="仿宋_GB2312" w:hAnsi="仿宋_GB2312" w:eastAsia="仿宋_GB2312" w:cs="仿宋_GB2312"/>
                    </w:rPr>
                  </w:pPr>
                  <w:r>
                    <w:rPr>
                      <w:rFonts w:ascii="仿宋_GB2312" w:hAnsi="仿宋_GB2312" w:eastAsia="仿宋_GB2312" w:cs="仿宋_GB2312"/>
                    </w:rPr>
                    <w:t>应用系统</w:t>
                  </w:r>
                </w:p>
              </w:tc>
            </w:tr>
            <w:tr w14:paraId="472E4D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604F575">
                  <w:pPr>
                    <w:pStyle w:val="25"/>
                    <w:rPr>
                      <w:rFonts w:ascii="仿宋_GB2312" w:hAnsi="仿宋_GB2312" w:eastAsia="仿宋_GB2312" w:cs="仿宋_GB2312"/>
                    </w:rPr>
                  </w:pPr>
                  <w:r>
                    <w:rPr>
                      <w:rFonts w:ascii="仿宋_GB2312" w:hAnsi="仿宋_GB2312" w:eastAsia="仿宋_GB2312" w:cs="仿宋_GB2312"/>
                    </w:rPr>
                    <w:t>研发公共服务</w:t>
                  </w:r>
                </w:p>
              </w:tc>
              <w:tc>
                <w:tcPr>
                  <w:tcW w:w="1792" w:type="dxa"/>
                </w:tcPr>
                <w:p w14:paraId="61F239CC">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0D70B466">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3A46EAD1">
                  <w:pPr>
                    <w:pStyle w:val="25"/>
                    <w:rPr>
                      <w:rFonts w:ascii="仿宋_GB2312" w:hAnsi="仿宋_GB2312" w:eastAsia="仿宋_GB2312" w:cs="仿宋_GB2312"/>
                    </w:rPr>
                  </w:pPr>
                  <w:r>
                    <w:rPr>
                      <w:rFonts w:ascii="仿宋_GB2312" w:hAnsi="仿宋_GB2312" w:eastAsia="仿宋_GB2312" w:cs="仿宋_GB2312"/>
                    </w:rPr>
                    <w:t>应用系统</w:t>
                  </w:r>
                </w:p>
              </w:tc>
            </w:tr>
            <w:tr w14:paraId="53D178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12134C30">
                  <w:pPr>
                    <w:pStyle w:val="25"/>
                    <w:rPr>
                      <w:rFonts w:ascii="仿宋_GB2312" w:hAnsi="仿宋_GB2312" w:eastAsia="仿宋_GB2312" w:cs="仿宋_GB2312"/>
                    </w:rPr>
                  </w:pPr>
                  <w:r>
                    <w:rPr>
                      <w:rFonts w:ascii="仿宋_GB2312" w:hAnsi="仿宋_GB2312" w:eastAsia="仿宋_GB2312" w:cs="仿宋_GB2312"/>
                    </w:rPr>
                    <w:t>专家系统</w:t>
                  </w:r>
                </w:p>
              </w:tc>
              <w:tc>
                <w:tcPr>
                  <w:tcW w:w="1792" w:type="dxa"/>
                </w:tcPr>
                <w:p w14:paraId="7BF82B57">
                  <w:pPr>
                    <w:pStyle w:val="25"/>
                    <w:rPr>
                      <w:rFonts w:ascii="仿宋_GB2312" w:hAnsi="仿宋_GB2312" w:eastAsia="仿宋_GB2312" w:cs="仿宋_GB2312"/>
                    </w:rPr>
                  </w:pPr>
                  <w:r>
                    <w:rPr>
                      <w:rFonts w:ascii="仿宋_GB2312" w:hAnsi="仿宋_GB2312" w:eastAsia="仿宋_GB2312" w:cs="仿宋_GB2312"/>
                    </w:rPr>
                    <w:t>XaTrm CentOS</w:t>
                  </w:r>
                </w:p>
              </w:tc>
              <w:tc>
                <w:tcPr>
                  <w:tcW w:w="1135" w:type="dxa"/>
                </w:tcPr>
                <w:p w14:paraId="71BBFBB0">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7E031FA4">
                  <w:pPr>
                    <w:pStyle w:val="25"/>
                    <w:rPr>
                      <w:rFonts w:ascii="仿宋_GB2312" w:hAnsi="仿宋_GB2312" w:eastAsia="仿宋_GB2312" w:cs="仿宋_GB2312"/>
                    </w:rPr>
                  </w:pPr>
                  <w:r>
                    <w:rPr>
                      <w:rFonts w:ascii="仿宋_GB2312" w:hAnsi="仿宋_GB2312" w:eastAsia="仿宋_GB2312" w:cs="仿宋_GB2312"/>
                    </w:rPr>
                    <w:t>应用系统</w:t>
                  </w:r>
                </w:p>
              </w:tc>
            </w:tr>
            <w:tr w14:paraId="613A94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ACFA0D2">
                  <w:pPr>
                    <w:pStyle w:val="25"/>
                    <w:rPr>
                      <w:rFonts w:ascii="仿宋_GB2312" w:hAnsi="仿宋_GB2312" w:eastAsia="仿宋_GB2312" w:cs="仿宋_GB2312"/>
                    </w:rPr>
                  </w:pPr>
                  <w:r>
                    <w:rPr>
                      <w:rFonts w:ascii="仿宋_GB2312" w:hAnsi="仿宋_GB2312" w:eastAsia="仿宋_GB2312" w:cs="仿宋_GB2312"/>
                    </w:rPr>
                    <w:t>内部办公系统</w:t>
                  </w:r>
                </w:p>
              </w:tc>
              <w:tc>
                <w:tcPr>
                  <w:tcW w:w="1792" w:type="dxa"/>
                </w:tcPr>
                <w:p w14:paraId="5A0E0D2F">
                  <w:pPr>
                    <w:pStyle w:val="25"/>
                    <w:rPr>
                      <w:rFonts w:ascii="仿宋_GB2312" w:hAnsi="仿宋_GB2312" w:eastAsia="仿宋_GB2312" w:cs="仿宋_GB2312"/>
                    </w:rPr>
                  </w:pPr>
                  <w:r>
                    <w:rPr>
                      <w:rFonts w:ascii="仿宋_GB2312" w:hAnsi="仿宋_GB2312" w:eastAsia="仿宋_GB2312" w:cs="仿宋_GB2312"/>
                    </w:rPr>
                    <w:t>XaTrm Redhat</w:t>
                  </w:r>
                </w:p>
              </w:tc>
              <w:tc>
                <w:tcPr>
                  <w:tcW w:w="1135" w:type="dxa"/>
                </w:tcPr>
                <w:p w14:paraId="36FA3BCD">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2A35EAE3">
                  <w:pPr>
                    <w:pStyle w:val="25"/>
                    <w:rPr>
                      <w:rFonts w:ascii="仿宋_GB2312" w:hAnsi="仿宋_GB2312" w:eastAsia="仿宋_GB2312" w:cs="仿宋_GB2312"/>
                    </w:rPr>
                  </w:pPr>
                  <w:r>
                    <w:rPr>
                      <w:rFonts w:ascii="仿宋_GB2312" w:hAnsi="仿宋_GB2312" w:eastAsia="仿宋_GB2312" w:cs="仿宋_GB2312"/>
                    </w:rPr>
                    <w:t>应用系统</w:t>
                  </w:r>
                </w:p>
              </w:tc>
            </w:tr>
            <w:tr w14:paraId="1FD2F5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35052AB6">
                  <w:pPr>
                    <w:pStyle w:val="25"/>
                    <w:rPr>
                      <w:rFonts w:ascii="仿宋_GB2312" w:hAnsi="仿宋_GB2312" w:eastAsia="仿宋_GB2312" w:cs="仿宋_GB2312"/>
                    </w:rPr>
                  </w:pPr>
                  <w:r>
                    <w:rPr>
                      <w:rFonts w:ascii="仿宋_GB2312" w:hAnsi="仿宋_GB2312" w:eastAsia="仿宋_GB2312" w:cs="仿宋_GB2312"/>
                    </w:rPr>
                    <w:t>门户站群</w:t>
                  </w:r>
                </w:p>
              </w:tc>
              <w:tc>
                <w:tcPr>
                  <w:tcW w:w="1792" w:type="dxa"/>
                </w:tcPr>
                <w:p w14:paraId="48B97B02">
                  <w:pPr>
                    <w:pStyle w:val="25"/>
                    <w:rPr>
                      <w:rFonts w:ascii="仿宋_GB2312" w:hAnsi="仿宋_GB2312" w:eastAsia="仿宋_GB2312" w:cs="仿宋_GB2312"/>
                    </w:rPr>
                  </w:pPr>
                  <w:r>
                    <w:rPr>
                      <w:rFonts w:ascii="仿宋_GB2312" w:hAnsi="仿宋_GB2312" w:eastAsia="仿宋_GB2312" w:cs="仿宋_GB2312"/>
                    </w:rPr>
                    <w:t>XaTrm Redhat</w:t>
                  </w:r>
                </w:p>
              </w:tc>
              <w:tc>
                <w:tcPr>
                  <w:tcW w:w="1135" w:type="dxa"/>
                </w:tcPr>
                <w:p w14:paraId="6028955B">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74C634F8">
                  <w:pPr>
                    <w:pStyle w:val="25"/>
                    <w:rPr>
                      <w:rFonts w:ascii="仿宋_GB2312" w:hAnsi="仿宋_GB2312" w:eastAsia="仿宋_GB2312" w:cs="仿宋_GB2312"/>
                    </w:rPr>
                  </w:pPr>
                  <w:r>
                    <w:rPr>
                      <w:rFonts w:ascii="仿宋_GB2312" w:hAnsi="仿宋_GB2312" w:eastAsia="仿宋_GB2312" w:cs="仿宋_GB2312"/>
                    </w:rPr>
                    <w:t>应用系统</w:t>
                  </w:r>
                </w:p>
              </w:tc>
            </w:tr>
            <w:tr w14:paraId="6AD511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6DE02825">
                  <w:pPr>
                    <w:pStyle w:val="25"/>
                    <w:rPr>
                      <w:rFonts w:ascii="仿宋_GB2312" w:hAnsi="仿宋_GB2312" w:eastAsia="仿宋_GB2312" w:cs="仿宋_GB2312"/>
                    </w:rPr>
                  </w:pPr>
                  <w:r>
                    <w:rPr>
                      <w:rFonts w:ascii="仿宋_GB2312" w:hAnsi="仿宋_GB2312" w:eastAsia="仿宋_GB2312" w:cs="仿宋_GB2312"/>
                    </w:rPr>
                    <w:t>客户信息管理</w:t>
                  </w:r>
                </w:p>
              </w:tc>
              <w:tc>
                <w:tcPr>
                  <w:tcW w:w="1792" w:type="dxa"/>
                </w:tcPr>
                <w:p w14:paraId="0F898AA8">
                  <w:pPr>
                    <w:pStyle w:val="25"/>
                    <w:rPr>
                      <w:rFonts w:ascii="仿宋_GB2312" w:hAnsi="仿宋_GB2312" w:eastAsia="仿宋_GB2312" w:cs="仿宋_GB2312"/>
                    </w:rPr>
                  </w:pPr>
                  <w:r>
                    <w:rPr>
                      <w:rFonts w:ascii="仿宋_GB2312" w:hAnsi="仿宋_GB2312" w:eastAsia="仿宋_GB2312" w:cs="仿宋_GB2312"/>
                    </w:rPr>
                    <w:t>XaTrm Redhat</w:t>
                  </w:r>
                </w:p>
              </w:tc>
              <w:tc>
                <w:tcPr>
                  <w:tcW w:w="1135" w:type="dxa"/>
                </w:tcPr>
                <w:p w14:paraId="08E11CB5">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18899A9A">
                  <w:pPr>
                    <w:pStyle w:val="25"/>
                    <w:rPr>
                      <w:rFonts w:ascii="仿宋_GB2312" w:hAnsi="仿宋_GB2312" w:eastAsia="仿宋_GB2312" w:cs="仿宋_GB2312"/>
                    </w:rPr>
                  </w:pPr>
                  <w:r>
                    <w:rPr>
                      <w:rFonts w:ascii="仿宋_GB2312" w:hAnsi="仿宋_GB2312" w:eastAsia="仿宋_GB2312" w:cs="仿宋_GB2312"/>
                    </w:rPr>
                    <w:t>应用系统</w:t>
                  </w:r>
                </w:p>
              </w:tc>
            </w:tr>
            <w:tr w14:paraId="027E21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7B81294D">
                  <w:pPr>
                    <w:pStyle w:val="25"/>
                    <w:rPr>
                      <w:rFonts w:ascii="仿宋_GB2312" w:hAnsi="仿宋_GB2312" w:eastAsia="仿宋_GB2312" w:cs="仿宋_GB2312"/>
                    </w:rPr>
                  </w:pPr>
                  <w:r>
                    <w:rPr>
                      <w:rFonts w:ascii="仿宋_GB2312" w:hAnsi="仿宋_GB2312" w:eastAsia="仿宋_GB2312" w:cs="仿宋_GB2312"/>
                    </w:rPr>
                    <w:t>资料管理系统</w:t>
                  </w:r>
                </w:p>
              </w:tc>
              <w:tc>
                <w:tcPr>
                  <w:tcW w:w="1792" w:type="dxa"/>
                </w:tcPr>
                <w:p w14:paraId="7A7045B3">
                  <w:pPr>
                    <w:pStyle w:val="25"/>
                    <w:rPr>
                      <w:rFonts w:ascii="仿宋_GB2312" w:hAnsi="仿宋_GB2312" w:eastAsia="仿宋_GB2312" w:cs="仿宋_GB2312"/>
                    </w:rPr>
                  </w:pPr>
                  <w:r>
                    <w:rPr>
                      <w:rFonts w:ascii="仿宋_GB2312" w:hAnsi="仿宋_GB2312" w:eastAsia="仿宋_GB2312" w:cs="仿宋_GB2312"/>
                    </w:rPr>
                    <w:t>XaTrm Redhat</w:t>
                  </w:r>
                </w:p>
              </w:tc>
              <w:tc>
                <w:tcPr>
                  <w:tcW w:w="1135" w:type="dxa"/>
                </w:tcPr>
                <w:p w14:paraId="7D255B94">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7F83A041">
                  <w:pPr>
                    <w:pStyle w:val="25"/>
                    <w:rPr>
                      <w:rFonts w:ascii="仿宋_GB2312" w:hAnsi="仿宋_GB2312" w:eastAsia="仿宋_GB2312" w:cs="仿宋_GB2312"/>
                    </w:rPr>
                  </w:pPr>
                  <w:r>
                    <w:rPr>
                      <w:rFonts w:ascii="仿宋_GB2312" w:hAnsi="仿宋_GB2312" w:eastAsia="仿宋_GB2312" w:cs="仿宋_GB2312"/>
                    </w:rPr>
                    <w:t>应用系统</w:t>
                  </w:r>
                </w:p>
              </w:tc>
            </w:tr>
            <w:tr w14:paraId="6A0740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335FEC8">
                  <w:pPr>
                    <w:pStyle w:val="25"/>
                    <w:rPr>
                      <w:rFonts w:ascii="仿宋_GB2312" w:hAnsi="仿宋_GB2312" w:eastAsia="仿宋_GB2312" w:cs="仿宋_GB2312"/>
                    </w:rPr>
                  </w:pPr>
                  <w:r>
                    <w:rPr>
                      <w:rFonts w:ascii="仿宋_GB2312" w:hAnsi="仿宋_GB2312" w:eastAsia="仿宋_GB2312" w:cs="仿宋_GB2312"/>
                    </w:rPr>
                    <w:t>创新创业服务</w:t>
                  </w:r>
                </w:p>
              </w:tc>
              <w:tc>
                <w:tcPr>
                  <w:tcW w:w="1792" w:type="dxa"/>
                </w:tcPr>
                <w:p w14:paraId="595B2C3D">
                  <w:pPr>
                    <w:pStyle w:val="25"/>
                    <w:rPr>
                      <w:rFonts w:ascii="仿宋_GB2312" w:hAnsi="仿宋_GB2312" w:eastAsia="仿宋_GB2312" w:cs="仿宋_GB2312"/>
                    </w:rPr>
                  </w:pPr>
                  <w:r>
                    <w:rPr>
                      <w:rFonts w:ascii="仿宋_GB2312" w:hAnsi="仿宋_GB2312" w:eastAsia="仿宋_GB2312" w:cs="仿宋_GB2312"/>
                    </w:rPr>
                    <w:t>XaTrm Redhat</w:t>
                  </w:r>
                </w:p>
              </w:tc>
              <w:tc>
                <w:tcPr>
                  <w:tcW w:w="1135" w:type="dxa"/>
                </w:tcPr>
                <w:p w14:paraId="1D439755">
                  <w:pPr>
                    <w:pStyle w:val="25"/>
                    <w:rPr>
                      <w:rFonts w:ascii="仿宋_GB2312" w:hAnsi="仿宋_GB2312" w:eastAsia="仿宋_GB2312" w:cs="仿宋_GB2312"/>
                    </w:rPr>
                  </w:pPr>
                  <w:r>
                    <w:rPr>
                      <w:rFonts w:ascii="仿宋_GB2312" w:hAnsi="仿宋_GB2312" w:eastAsia="仿宋_GB2312" w:cs="仿宋_GB2312"/>
                    </w:rPr>
                    <w:t>1个</w:t>
                  </w:r>
                </w:p>
              </w:tc>
              <w:tc>
                <w:tcPr>
                  <w:tcW w:w="1416" w:type="dxa"/>
                </w:tcPr>
                <w:p w14:paraId="47C9FADF">
                  <w:pPr>
                    <w:pStyle w:val="25"/>
                    <w:rPr>
                      <w:rFonts w:ascii="仿宋_GB2312" w:hAnsi="仿宋_GB2312" w:eastAsia="仿宋_GB2312" w:cs="仿宋_GB2312"/>
                    </w:rPr>
                  </w:pPr>
                  <w:r>
                    <w:rPr>
                      <w:rFonts w:ascii="仿宋_GB2312" w:hAnsi="仿宋_GB2312" w:eastAsia="仿宋_GB2312" w:cs="仿宋_GB2312"/>
                    </w:rPr>
                    <w:t>应用系统</w:t>
                  </w:r>
                </w:p>
              </w:tc>
            </w:tr>
            <w:tr w14:paraId="06E3CF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3507F4B">
                  <w:pPr>
                    <w:pStyle w:val="25"/>
                    <w:rPr>
                      <w:rFonts w:ascii="仿宋_GB2312" w:hAnsi="仿宋_GB2312" w:eastAsia="仿宋_GB2312" w:cs="仿宋_GB2312"/>
                    </w:rPr>
                  </w:pPr>
                  <w:r>
                    <w:rPr>
                      <w:rFonts w:ascii="仿宋_GB2312" w:hAnsi="仿宋_GB2312" w:eastAsia="仿宋_GB2312" w:cs="仿宋_GB2312"/>
                    </w:rPr>
                    <w:t>视频监控系统</w:t>
                  </w:r>
                </w:p>
              </w:tc>
              <w:tc>
                <w:tcPr>
                  <w:tcW w:w="1792" w:type="dxa"/>
                </w:tcPr>
                <w:p w14:paraId="36216DE8">
                  <w:pPr>
                    <w:pStyle w:val="25"/>
                    <w:rPr>
                      <w:rFonts w:ascii="仿宋_GB2312" w:hAnsi="仿宋_GB2312" w:eastAsia="仿宋_GB2312" w:cs="仿宋_GB2312"/>
                    </w:rPr>
                  </w:pPr>
                  <w:r>
                    <w:rPr>
                      <w:rFonts w:ascii="仿宋_GB2312" w:hAnsi="仿宋_GB2312" w:eastAsia="仿宋_GB2312" w:cs="仿宋_GB2312"/>
                    </w:rPr>
                    <w:t>HUAWEI</w:t>
                  </w:r>
                </w:p>
              </w:tc>
              <w:tc>
                <w:tcPr>
                  <w:tcW w:w="1135" w:type="dxa"/>
                </w:tcPr>
                <w:p w14:paraId="49235770">
                  <w:pPr>
                    <w:pStyle w:val="25"/>
                    <w:rPr>
                      <w:rFonts w:ascii="仿宋_GB2312" w:hAnsi="仿宋_GB2312" w:eastAsia="仿宋_GB2312" w:cs="仿宋_GB2312"/>
                    </w:rPr>
                  </w:pPr>
                  <w:r>
                    <w:rPr>
                      <w:rFonts w:ascii="仿宋_GB2312" w:hAnsi="仿宋_GB2312" w:eastAsia="仿宋_GB2312" w:cs="仿宋_GB2312"/>
                    </w:rPr>
                    <w:t>1台</w:t>
                  </w:r>
                </w:p>
              </w:tc>
              <w:tc>
                <w:tcPr>
                  <w:tcW w:w="1416" w:type="dxa"/>
                </w:tcPr>
                <w:p w14:paraId="0E4462F6">
                  <w:pPr>
                    <w:pStyle w:val="25"/>
                    <w:rPr>
                      <w:rFonts w:ascii="仿宋_GB2312" w:hAnsi="仿宋_GB2312" w:eastAsia="仿宋_GB2312" w:cs="仿宋_GB2312"/>
                    </w:rPr>
                  </w:pPr>
                  <w:r>
                    <w:rPr>
                      <w:rFonts w:ascii="仿宋_GB2312" w:hAnsi="仿宋_GB2312" w:eastAsia="仿宋_GB2312" w:cs="仿宋_GB2312"/>
                    </w:rPr>
                    <w:t>监控系统</w:t>
                  </w:r>
                </w:p>
              </w:tc>
            </w:tr>
            <w:tr w14:paraId="2B5052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A3BA178">
                  <w:pPr>
                    <w:pStyle w:val="25"/>
                    <w:rPr>
                      <w:rFonts w:ascii="仿宋_GB2312" w:hAnsi="仿宋_GB2312" w:eastAsia="仿宋_GB2312" w:cs="仿宋_GB2312"/>
                    </w:rPr>
                  </w:pPr>
                  <w:r>
                    <w:rPr>
                      <w:rFonts w:ascii="仿宋_GB2312" w:hAnsi="仿宋_GB2312" w:eastAsia="仿宋_GB2312" w:cs="仿宋_GB2312"/>
                    </w:rPr>
                    <w:t>门禁管理系统</w:t>
                  </w:r>
                </w:p>
              </w:tc>
              <w:tc>
                <w:tcPr>
                  <w:tcW w:w="1792" w:type="dxa"/>
                </w:tcPr>
                <w:p w14:paraId="4BD3F50B">
                  <w:pPr>
                    <w:pStyle w:val="25"/>
                    <w:rPr>
                      <w:rFonts w:ascii="仿宋_GB2312" w:hAnsi="仿宋_GB2312" w:eastAsia="仿宋_GB2312" w:cs="仿宋_GB2312"/>
                    </w:rPr>
                  </w:pPr>
                  <w:r>
                    <w:rPr>
                      <w:rFonts w:ascii="仿宋_GB2312" w:hAnsi="仿宋_GB2312" w:eastAsia="仿宋_GB2312" w:cs="仿宋_GB2312"/>
                    </w:rPr>
                    <w:t>XaTrm 自建</w:t>
                  </w:r>
                </w:p>
              </w:tc>
              <w:tc>
                <w:tcPr>
                  <w:tcW w:w="1135" w:type="dxa"/>
                </w:tcPr>
                <w:p w14:paraId="6C7AA7D4">
                  <w:pPr>
                    <w:pStyle w:val="25"/>
                    <w:rPr>
                      <w:rFonts w:ascii="仿宋_GB2312" w:hAnsi="仿宋_GB2312" w:eastAsia="仿宋_GB2312" w:cs="仿宋_GB2312"/>
                    </w:rPr>
                  </w:pPr>
                  <w:r>
                    <w:rPr>
                      <w:rFonts w:ascii="仿宋_GB2312" w:hAnsi="仿宋_GB2312" w:eastAsia="仿宋_GB2312" w:cs="仿宋_GB2312"/>
                    </w:rPr>
                    <w:t>1套</w:t>
                  </w:r>
                </w:p>
              </w:tc>
              <w:tc>
                <w:tcPr>
                  <w:tcW w:w="1416" w:type="dxa"/>
                </w:tcPr>
                <w:p w14:paraId="3CAF95B5">
                  <w:pPr>
                    <w:pStyle w:val="25"/>
                    <w:rPr>
                      <w:rFonts w:ascii="仿宋_GB2312" w:hAnsi="仿宋_GB2312" w:eastAsia="仿宋_GB2312" w:cs="仿宋_GB2312"/>
                    </w:rPr>
                  </w:pPr>
                  <w:r>
                    <w:rPr>
                      <w:rFonts w:ascii="仿宋_GB2312" w:hAnsi="仿宋_GB2312" w:eastAsia="仿宋_GB2312" w:cs="仿宋_GB2312"/>
                    </w:rPr>
                    <w:t>监控系统</w:t>
                  </w:r>
                </w:p>
              </w:tc>
            </w:tr>
            <w:tr w14:paraId="0E9062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restart"/>
                </w:tcPr>
                <w:p w14:paraId="262327FA">
                  <w:pPr>
                    <w:pStyle w:val="25"/>
                    <w:rPr>
                      <w:rFonts w:ascii="仿宋_GB2312" w:hAnsi="仿宋_GB2312" w:eastAsia="仿宋_GB2312" w:cs="仿宋_GB2312"/>
                    </w:rPr>
                  </w:pPr>
                </w:p>
                <w:p w14:paraId="7453142F">
                  <w:pPr>
                    <w:pStyle w:val="25"/>
                    <w:rPr>
                      <w:rFonts w:ascii="仿宋_GB2312" w:hAnsi="仿宋_GB2312" w:eastAsia="仿宋_GB2312" w:cs="仿宋_GB2312"/>
                    </w:rPr>
                  </w:pPr>
                </w:p>
                <w:p w14:paraId="5374600B">
                  <w:pPr>
                    <w:pStyle w:val="25"/>
                    <w:rPr>
                      <w:rFonts w:ascii="仿宋_GB2312" w:hAnsi="仿宋_GB2312" w:eastAsia="仿宋_GB2312" w:cs="仿宋_GB2312"/>
                    </w:rPr>
                  </w:pPr>
                  <w:r>
                    <w:rPr>
                      <w:rFonts w:ascii="仿宋_GB2312" w:hAnsi="仿宋_GB2312" w:eastAsia="仿宋_GB2312" w:cs="仿宋_GB2312"/>
                    </w:rPr>
                    <w:t>服务器</w:t>
                  </w:r>
                </w:p>
              </w:tc>
              <w:tc>
                <w:tcPr>
                  <w:tcW w:w="1792" w:type="dxa"/>
                </w:tcPr>
                <w:p w14:paraId="2FCF9D5C">
                  <w:pPr>
                    <w:pStyle w:val="25"/>
                    <w:rPr>
                      <w:rFonts w:ascii="仿宋_GB2312" w:hAnsi="仿宋_GB2312" w:eastAsia="仿宋_GB2312" w:cs="仿宋_GB2312"/>
                    </w:rPr>
                  </w:pPr>
                  <w:r>
                    <w:rPr>
                      <w:rFonts w:ascii="仿宋_GB2312" w:hAnsi="仿宋_GB2312" w:eastAsia="仿宋_GB2312" w:cs="仿宋_GB2312"/>
                    </w:rPr>
                    <w:t>IBM3650M3</w:t>
                  </w:r>
                </w:p>
              </w:tc>
              <w:tc>
                <w:tcPr>
                  <w:tcW w:w="1135" w:type="dxa"/>
                </w:tcPr>
                <w:p w14:paraId="05EF5230">
                  <w:pPr>
                    <w:pStyle w:val="25"/>
                    <w:rPr>
                      <w:rFonts w:ascii="仿宋_GB2312" w:hAnsi="仿宋_GB2312" w:eastAsia="仿宋_GB2312" w:cs="仿宋_GB2312"/>
                    </w:rPr>
                  </w:pPr>
                  <w:r>
                    <w:rPr>
                      <w:rFonts w:ascii="仿宋_GB2312" w:hAnsi="仿宋_GB2312" w:eastAsia="仿宋_GB2312" w:cs="仿宋_GB2312"/>
                    </w:rPr>
                    <w:t>12台</w:t>
                  </w:r>
                </w:p>
              </w:tc>
              <w:tc>
                <w:tcPr>
                  <w:tcW w:w="1416" w:type="dxa"/>
                </w:tcPr>
                <w:p w14:paraId="72A26CB1">
                  <w:pPr>
                    <w:pStyle w:val="25"/>
                    <w:rPr>
                      <w:rFonts w:ascii="仿宋_GB2312" w:hAnsi="仿宋_GB2312" w:eastAsia="仿宋_GB2312" w:cs="仿宋_GB2312"/>
                    </w:rPr>
                  </w:pPr>
                  <w:r>
                    <w:rPr>
                      <w:rFonts w:ascii="仿宋_GB2312" w:hAnsi="仿宋_GB2312" w:eastAsia="仿宋_GB2312" w:cs="仿宋_GB2312"/>
                    </w:rPr>
                    <w:t>应用服务器</w:t>
                  </w:r>
                </w:p>
              </w:tc>
            </w:tr>
            <w:tr w14:paraId="6C3378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continue"/>
                  <w:tcBorders>
                    <w:top w:val="nil"/>
                  </w:tcBorders>
                </w:tcPr>
                <w:p w14:paraId="4D19140F">
                  <w:pPr>
                    <w:pStyle w:val="25"/>
                    <w:rPr>
                      <w:rFonts w:ascii="仿宋_GB2312" w:hAnsi="仿宋_GB2312" w:eastAsia="仿宋_GB2312" w:cs="仿宋_GB2312"/>
                    </w:rPr>
                  </w:pPr>
                </w:p>
              </w:tc>
              <w:tc>
                <w:tcPr>
                  <w:tcW w:w="1792" w:type="dxa"/>
                </w:tcPr>
                <w:p w14:paraId="32E9A683">
                  <w:pPr>
                    <w:pStyle w:val="25"/>
                    <w:rPr>
                      <w:rFonts w:ascii="仿宋_GB2312" w:hAnsi="仿宋_GB2312" w:eastAsia="仿宋_GB2312" w:cs="仿宋_GB2312"/>
                    </w:rPr>
                  </w:pPr>
                  <w:r>
                    <w:rPr>
                      <w:rFonts w:ascii="仿宋_GB2312" w:hAnsi="仿宋_GB2312" w:eastAsia="仿宋_GB2312" w:cs="仿宋_GB2312"/>
                    </w:rPr>
                    <w:t>Lenovo</w:t>
                  </w:r>
                </w:p>
              </w:tc>
              <w:tc>
                <w:tcPr>
                  <w:tcW w:w="1135" w:type="dxa"/>
                </w:tcPr>
                <w:p w14:paraId="1C77E08F">
                  <w:pPr>
                    <w:pStyle w:val="25"/>
                    <w:rPr>
                      <w:rFonts w:ascii="仿宋_GB2312" w:hAnsi="仿宋_GB2312" w:eastAsia="仿宋_GB2312" w:cs="仿宋_GB2312"/>
                    </w:rPr>
                  </w:pPr>
                  <w:r>
                    <w:rPr>
                      <w:rFonts w:ascii="仿宋_GB2312" w:hAnsi="仿宋_GB2312" w:eastAsia="仿宋_GB2312" w:cs="仿宋_GB2312"/>
                    </w:rPr>
                    <w:t>2台</w:t>
                  </w:r>
                </w:p>
              </w:tc>
              <w:tc>
                <w:tcPr>
                  <w:tcW w:w="1416" w:type="dxa"/>
                </w:tcPr>
                <w:p w14:paraId="50EF0662">
                  <w:pPr>
                    <w:pStyle w:val="25"/>
                    <w:rPr>
                      <w:rFonts w:ascii="仿宋_GB2312" w:hAnsi="仿宋_GB2312" w:eastAsia="仿宋_GB2312" w:cs="仿宋_GB2312"/>
                    </w:rPr>
                  </w:pPr>
                  <w:r>
                    <w:rPr>
                      <w:rFonts w:ascii="仿宋_GB2312" w:hAnsi="仿宋_GB2312" w:eastAsia="仿宋_GB2312" w:cs="仿宋_GB2312"/>
                    </w:rPr>
                    <w:t>应用服务器</w:t>
                  </w:r>
                </w:p>
              </w:tc>
            </w:tr>
            <w:tr w14:paraId="4BD00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continue"/>
                  <w:tcBorders>
                    <w:top w:val="nil"/>
                  </w:tcBorders>
                </w:tcPr>
                <w:p w14:paraId="4E152452">
                  <w:pPr>
                    <w:pStyle w:val="25"/>
                    <w:rPr>
                      <w:rFonts w:ascii="仿宋_GB2312" w:hAnsi="仿宋_GB2312" w:eastAsia="仿宋_GB2312" w:cs="仿宋_GB2312"/>
                    </w:rPr>
                  </w:pPr>
                </w:p>
              </w:tc>
              <w:tc>
                <w:tcPr>
                  <w:tcW w:w="1792" w:type="dxa"/>
                </w:tcPr>
                <w:p w14:paraId="22AFA500">
                  <w:pPr>
                    <w:pStyle w:val="25"/>
                    <w:rPr>
                      <w:rFonts w:ascii="仿宋_GB2312" w:hAnsi="仿宋_GB2312" w:eastAsia="仿宋_GB2312" w:cs="仿宋_GB2312"/>
                    </w:rPr>
                  </w:pPr>
                  <w:r>
                    <w:rPr>
                      <w:rFonts w:ascii="仿宋_GB2312" w:hAnsi="仿宋_GB2312" w:eastAsia="仿宋_GB2312" w:cs="仿宋_GB2312"/>
                    </w:rPr>
                    <w:t>曙光 A620</w:t>
                  </w:r>
                </w:p>
              </w:tc>
              <w:tc>
                <w:tcPr>
                  <w:tcW w:w="1135" w:type="dxa"/>
                </w:tcPr>
                <w:p w14:paraId="184968DF">
                  <w:pPr>
                    <w:pStyle w:val="25"/>
                    <w:rPr>
                      <w:rFonts w:ascii="仿宋_GB2312" w:hAnsi="仿宋_GB2312" w:eastAsia="仿宋_GB2312" w:cs="仿宋_GB2312"/>
                    </w:rPr>
                  </w:pPr>
                  <w:r>
                    <w:rPr>
                      <w:rFonts w:ascii="仿宋_GB2312" w:hAnsi="仿宋_GB2312" w:eastAsia="仿宋_GB2312" w:cs="仿宋_GB2312"/>
                    </w:rPr>
                    <w:t>12台</w:t>
                  </w:r>
                </w:p>
              </w:tc>
              <w:tc>
                <w:tcPr>
                  <w:tcW w:w="1416" w:type="dxa"/>
                </w:tcPr>
                <w:p w14:paraId="14461561">
                  <w:pPr>
                    <w:pStyle w:val="25"/>
                    <w:rPr>
                      <w:rFonts w:ascii="仿宋_GB2312" w:hAnsi="仿宋_GB2312" w:eastAsia="仿宋_GB2312" w:cs="仿宋_GB2312"/>
                    </w:rPr>
                  </w:pPr>
                  <w:r>
                    <w:rPr>
                      <w:rFonts w:ascii="仿宋_GB2312" w:hAnsi="仿宋_GB2312" w:eastAsia="仿宋_GB2312" w:cs="仿宋_GB2312"/>
                    </w:rPr>
                    <w:t>应用服务器</w:t>
                  </w:r>
                </w:p>
              </w:tc>
            </w:tr>
            <w:tr w14:paraId="2EE77F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B5D76AB">
                  <w:pPr>
                    <w:pStyle w:val="25"/>
                    <w:rPr>
                      <w:rFonts w:ascii="仿宋_GB2312" w:hAnsi="仿宋_GB2312" w:eastAsia="仿宋_GB2312" w:cs="仿宋_GB2312"/>
                    </w:rPr>
                  </w:pPr>
                  <w:r>
                    <w:rPr>
                      <w:rFonts w:ascii="仿宋_GB2312" w:hAnsi="仿宋_GB2312" w:eastAsia="仿宋_GB2312" w:cs="仿宋_GB2312"/>
                    </w:rPr>
                    <w:t>精密空调</w:t>
                  </w:r>
                </w:p>
              </w:tc>
              <w:tc>
                <w:tcPr>
                  <w:tcW w:w="1792" w:type="dxa"/>
                </w:tcPr>
                <w:p w14:paraId="0EB677BD">
                  <w:pPr>
                    <w:pStyle w:val="25"/>
                    <w:rPr>
                      <w:rFonts w:ascii="仿宋_GB2312" w:hAnsi="仿宋_GB2312" w:eastAsia="仿宋_GB2312" w:cs="仿宋_GB2312"/>
                    </w:rPr>
                  </w:pPr>
                  <w:r>
                    <w:rPr>
                      <w:rFonts w:ascii="仿宋_GB2312" w:hAnsi="仿宋_GB2312" w:eastAsia="仿宋_GB2312" w:cs="仿宋_GB2312"/>
                    </w:rPr>
                    <w:t>爱默生</w:t>
                  </w:r>
                </w:p>
              </w:tc>
              <w:tc>
                <w:tcPr>
                  <w:tcW w:w="1135" w:type="dxa"/>
                </w:tcPr>
                <w:p w14:paraId="1B2E9E1B">
                  <w:pPr>
                    <w:pStyle w:val="25"/>
                    <w:rPr>
                      <w:rFonts w:ascii="仿宋_GB2312" w:hAnsi="仿宋_GB2312" w:eastAsia="仿宋_GB2312" w:cs="仿宋_GB2312"/>
                    </w:rPr>
                  </w:pPr>
                  <w:r>
                    <w:rPr>
                      <w:rFonts w:ascii="仿宋_GB2312" w:hAnsi="仿宋_GB2312" w:eastAsia="仿宋_GB2312" w:cs="仿宋_GB2312"/>
                    </w:rPr>
                    <w:t>2台</w:t>
                  </w:r>
                </w:p>
              </w:tc>
              <w:tc>
                <w:tcPr>
                  <w:tcW w:w="1416" w:type="dxa"/>
                </w:tcPr>
                <w:p w14:paraId="1CB8ED9C">
                  <w:pPr>
                    <w:pStyle w:val="25"/>
                    <w:rPr>
                      <w:rFonts w:ascii="仿宋_GB2312" w:hAnsi="仿宋_GB2312" w:eastAsia="仿宋_GB2312" w:cs="仿宋_GB2312"/>
                    </w:rPr>
                  </w:pPr>
                  <w:r>
                    <w:rPr>
                      <w:rFonts w:ascii="仿宋_GB2312" w:hAnsi="仿宋_GB2312" w:eastAsia="仿宋_GB2312" w:cs="仿宋_GB2312"/>
                    </w:rPr>
                    <w:t>精密空调</w:t>
                  </w:r>
                </w:p>
              </w:tc>
            </w:tr>
            <w:tr w14:paraId="713C4F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B9A4365">
                  <w:pPr>
                    <w:pStyle w:val="25"/>
                    <w:rPr>
                      <w:rFonts w:ascii="仿宋_GB2312" w:hAnsi="仿宋_GB2312" w:eastAsia="仿宋_GB2312" w:cs="仿宋_GB2312"/>
                    </w:rPr>
                  </w:pPr>
                  <w:r>
                    <w:rPr>
                      <w:rFonts w:ascii="仿宋_GB2312" w:hAnsi="仿宋_GB2312" w:eastAsia="仿宋_GB2312" w:cs="仿宋_GB2312"/>
                    </w:rPr>
                    <w:t>台式电脑</w:t>
                  </w:r>
                </w:p>
              </w:tc>
              <w:tc>
                <w:tcPr>
                  <w:tcW w:w="1792" w:type="dxa"/>
                </w:tcPr>
                <w:p w14:paraId="1354A191">
                  <w:pPr>
                    <w:pStyle w:val="25"/>
                    <w:rPr>
                      <w:rFonts w:ascii="仿宋_GB2312" w:hAnsi="仿宋_GB2312" w:eastAsia="仿宋_GB2312" w:cs="仿宋_GB2312"/>
                    </w:rPr>
                  </w:pPr>
                  <w:r>
                    <w:rPr>
                      <w:rFonts w:ascii="仿宋_GB2312" w:hAnsi="仿宋_GB2312" w:eastAsia="仿宋_GB2312" w:cs="仿宋_GB2312"/>
                    </w:rPr>
                    <w:t>联想</w:t>
                  </w:r>
                </w:p>
              </w:tc>
              <w:tc>
                <w:tcPr>
                  <w:tcW w:w="1135" w:type="dxa"/>
                </w:tcPr>
                <w:p w14:paraId="4A8A677A">
                  <w:pPr>
                    <w:pStyle w:val="25"/>
                    <w:rPr>
                      <w:rFonts w:ascii="仿宋_GB2312" w:hAnsi="仿宋_GB2312" w:eastAsia="仿宋_GB2312" w:cs="仿宋_GB2312"/>
                    </w:rPr>
                  </w:pPr>
                  <w:r>
                    <w:rPr>
                      <w:rFonts w:hint="eastAsia" w:ascii="仿宋_GB2312" w:hAnsi="仿宋_GB2312" w:eastAsia="仿宋_GB2312" w:cs="仿宋_GB2312"/>
                      <w:lang w:val="en-US" w:eastAsia="zh-CN"/>
                    </w:rPr>
                    <w:t>50</w:t>
                  </w:r>
                  <w:r>
                    <w:rPr>
                      <w:rFonts w:ascii="仿宋_GB2312" w:hAnsi="仿宋_GB2312" w:eastAsia="仿宋_GB2312" w:cs="仿宋_GB2312"/>
                    </w:rPr>
                    <w:t>台</w:t>
                  </w:r>
                </w:p>
              </w:tc>
              <w:tc>
                <w:tcPr>
                  <w:tcW w:w="1416" w:type="dxa"/>
                </w:tcPr>
                <w:p w14:paraId="78004432">
                  <w:pPr>
                    <w:pStyle w:val="25"/>
                    <w:rPr>
                      <w:rFonts w:ascii="仿宋_GB2312" w:hAnsi="仿宋_GB2312" w:eastAsia="仿宋_GB2312" w:cs="仿宋_GB2312"/>
                    </w:rPr>
                  </w:pPr>
                  <w:r>
                    <w:rPr>
                      <w:rFonts w:ascii="仿宋_GB2312" w:hAnsi="仿宋_GB2312" w:eastAsia="仿宋_GB2312" w:cs="仿宋_GB2312"/>
                    </w:rPr>
                    <w:t>办公电脑</w:t>
                  </w:r>
                </w:p>
              </w:tc>
            </w:tr>
            <w:tr w14:paraId="09FA85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restart"/>
                </w:tcPr>
                <w:p w14:paraId="0F5AB7B5">
                  <w:pPr>
                    <w:pStyle w:val="25"/>
                    <w:rPr>
                      <w:rFonts w:ascii="仿宋_GB2312" w:hAnsi="仿宋_GB2312" w:eastAsia="仿宋_GB2312" w:cs="仿宋_GB2312"/>
                    </w:rPr>
                  </w:pPr>
                </w:p>
                <w:p w14:paraId="415312FA">
                  <w:pPr>
                    <w:pStyle w:val="25"/>
                    <w:rPr>
                      <w:rFonts w:ascii="仿宋_GB2312" w:hAnsi="仿宋_GB2312" w:eastAsia="仿宋_GB2312" w:cs="仿宋_GB2312"/>
                    </w:rPr>
                  </w:pPr>
                  <w:r>
                    <w:rPr>
                      <w:rFonts w:ascii="仿宋_GB2312" w:hAnsi="仿宋_GB2312" w:eastAsia="仿宋_GB2312" w:cs="仿宋_GB2312"/>
                    </w:rPr>
                    <w:t>笔记本电脑</w:t>
                  </w:r>
                </w:p>
              </w:tc>
              <w:tc>
                <w:tcPr>
                  <w:tcW w:w="1792" w:type="dxa"/>
                </w:tcPr>
                <w:p w14:paraId="65E09E9F">
                  <w:pPr>
                    <w:pStyle w:val="25"/>
                    <w:rPr>
                      <w:rFonts w:ascii="仿宋_GB2312" w:hAnsi="仿宋_GB2312" w:eastAsia="仿宋_GB2312" w:cs="仿宋_GB2312"/>
                    </w:rPr>
                  </w:pPr>
                  <w:r>
                    <w:rPr>
                      <w:rFonts w:ascii="仿宋_GB2312" w:hAnsi="仿宋_GB2312" w:eastAsia="仿宋_GB2312" w:cs="仿宋_GB2312"/>
                    </w:rPr>
                    <w:t>IBM</w:t>
                  </w:r>
                </w:p>
              </w:tc>
              <w:tc>
                <w:tcPr>
                  <w:tcW w:w="1135" w:type="dxa"/>
                </w:tcPr>
                <w:p w14:paraId="2ECFAB14">
                  <w:pPr>
                    <w:pStyle w:val="25"/>
                    <w:rPr>
                      <w:rFonts w:ascii="仿宋_GB2312" w:hAnsi="仿宋_GB2312" w:eastAsia="仿宋_GB2312" w:cs="仿宋_GB2312"/>
                    </w:rPr>
                  </w:pPr>
                  <w:r>
                    <w:rPr>
                      <w:rFonts w:ascii="仿宋_GB2312" w:hAnsi="仿宋_GB2312" w:eastAsia="仿宋_GB2312" w:cs="仿宋_GB2312"/>
                    </w:rPr>
                    <w:t>1台</w:t>
                  </w:r>
                </w:p>
              </w:tc>
              <w:tc>
                <w:tcPr>
                  <w:tcW w:w="1416" w:type="dxa"/>
                </w:tcPr>
                <w:p w14:paraId="516F16CC">
                  <w:pPr>
                    <w:pStyle w:val="25"/>
                    <w:rPr>
                      <w:rFonts w:ascii="仿宋_GB2312" w:hAnsi="仿宋_GB2312" w:eastAsia="仿宋_GB2312" w:cs="仿宋_GB2312"/>
                    </w:rPr>
                  </w:pPr>
                  <w:r>
                    <w:rPr>
                      <w:rFonts w:ascii="仿宋_GB2312" w:hAnsi="仿宋_GB2312" w:eastAsia="仿宋_GB2312" w:cs="仿宋_GB2312"/>
                    </w:rPr>
                    <w:t>办公电脑</w:t>
                  </w:r>
                </w:p>
              </w:tc>
            </w:tr>
            <w:tr w14:paraId="4AC5FF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continue"/>
                  <w:tcBorders>
                    <w:top w:val="nil"/>
                  </w:tcBorders>
                </w:tcPr>
                <w:p w14:paraId="6188C545">
                  <w:pPr>
                    <w:pStyle w:val="25"/>
                    <w:rPr>
                      <w:rFonts w:ascii="仿宋_GB2312" w:hAnsi="仿宋_GB2312" w:eastAsia="仿宋_GB2312" w:cs="仿宋_GB2312"/>
                    </w:rPr>
                  </w:pPr>
                </w:p>
              </w:tc>
              <w:tc>
                <w:tcPr>
                  <w:tcW w:w="1792" w:type="dxa"/>
                </w:tcPr>
                <w:p w14:paraId="34DCE002">
                  <w:pPr>
                    <w:pStyle w:val="25"/>
                    <w:rPr>
                      <w:rFonts w:ascii="仿宋_GB2312" w:hAnsi="仿宋_GB2312" w:eastAsia="仿宋_GB2312" w:cs="仿宋_GB2312"/>
                    </w:rPr>
                  </w:pPr>
                  <w:r>
                    <w:rPr>
                      <w:rFonts w:ascii="仿宋_GB2312" w:hAnsi="仿宋_GB2312" w:eastAsia="仿宋_GB2312" w:cs="仿宋_GB2312"/>
                    </w:rPr>
                    <w:t>联想</w:t>
                  </w:r>
                </w:p>
              </w:tc>
              <w:tc>
                <w:tcPr>
                  <w:tcW w:w="1135" w:type="dxa"/>
                </w:tcPr>
                <w:p w14:paraId="53B16F1F">
                  <w:pPr>
                    <w:pStyle w:val="25"/>
                    <w:rPr>
                      <w:rFonts w:ascii="仿宋_GB2312" w:hAnsi="仿宋_GB2312" w:eastAsia="仿宋_GB2312" w:cs="仿宋_GB2312"/>
                    </w:rPr>
                  </w:pPr>
                  <w:r>
                    <w:rPr>
                      <w:rFonts w:ascii="仿宋_GB2312" w:hAnsi="仿宋_GB2312" w:eastAsia="仿宋_GB2312" w:cs="仿宋_GB2312"/>
                    </w:rPr>
                    <w:t>10台</w:t>
                  </w:r>
                </w:p>
              </w:tc>
              <w:tc>
                <w:tcPr>
                  <w:tcW w:w="1416" w:type="dxa"/>
                </w:tcPr>
                <w:p w14:paraId="735DDF36">
                  <w:pPr>
                    <w:pStyle w:val="25"/>
                    <w:rPr>
                      <w:rFonts w:ascii="仿宋_GB2312" w:hAnsi="仿宋_GB2312" w:eastAsia="仿宋_GB2312" w:cs="仿宋_GB2312"/>
                    </w:rPr>
                  </w:pPr>
                  <w:r>
                    <w:rPr>
                      <w:rFonts w:ascii="仿宋_GB2312" w:hAnsi="仿宋_GB2312" w:eastAsia="仿宋_GB2312" w:cs="仿宋_GB2312"/>
                    </w:rPr>
                    <w:t>办公电脑</w:t>
                  </w:r>
                </w:p>
              </w:tc>
            </w:tr>
            <w:tr w14:paraId="576620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restart"/>
                </w:tcPr>
                <w:p w14:paraId="52EA6A93">
                  <w:pPr>
                    <w:pStyle w:val="25"/>
                    <w:rPr>
                      <w:rFonts w:ascii="仿宋_GB2312" w:hAnsi="仿宋_GB2312" w:eastAsia="仿宋_GB2312" w:cs="仿宋_GB2312"/>
                    </w:rPr>
                  </w:pPr>
                </w:p>
                <w:p w14:paraId="54B640B5">
                  <w:pPr>
                    <w:pStyle w:val="25"/>
                    <w:rPr>
                      <w:rFonts w:ascii="仿宋_GB2312" w:hAnsi="仿宋_GB2312" w:eastAsia="仿宋_GB2312" w:cs="仿宋_GB2312"/>
                    </w:rPr>
                  </w:pPr>
                  <w:r>
                    <w:rPr>
                      <w:rFonts w:ascii="仿宋_GB2312" w:hAnsi="仿宋_GB2312" w:eastAsia="仿宋_GB2312" w:cs="仿宋_GB2312"/>
                    </w:rPr>
                    <w:t>打印机</w:t>
                  </w:r>
                </w:p>
              </w:tc>
              <w:tc>
                <w:tcPr>
                  <w:tcW w:w="1792" w:type="dxa"/>
                </w:tcPr>
                <w:p w14:paraId="267E39B7">
                  <w:pPr>
                    <w:pStyle w:val="25"/>
                    <w:rPr>
                      <w:rFonts w:ascii="仿宋_GB2312" w:hAnsi="仿宋_GB2312" w:eastAsia="仿宋_GB2312" w:cs="仿宋_GB2312"/>
                    </w:rPr>
                  </w:pPr>
                  <w:r>
                    <w:rPr>
                      <w:rFonts w:ascii="仿宋_GB2312" w:hAnsi="仿宋_GB2312" w:eastAsia="仿宋_GB2312" w:cs="仿宋_GB2312"/>
                    </w:rPr>
                    <w:t>京瓷</w:t>
                  </w:r>
                </w:p>
              </w:tc>
              <w:tc>
                <w:tcPr>
                  <w:tcW w:w="1135" w:type="dxa"/>
                </w:tcPr>
                <w:p w14:paraId="1DD319F0">
                  <w:pPr>
                    <w:pStyle w:val="25"/>
                    <w:rPr>
                      <w:rFonts w:ascii="仿宋_GB2312" w:hAnsi="仿宋_GB2312" w:eastAsia="仿宋_GB2312" w:cs="仿宋_GB2312"/>
                    </w:rPr>
                  </w:pPr>
                  <w:r>
                    <w:rPr>
                      <w:rFonts w:ascii="仿宋_GB2312" w:hAnsi="仿宋_GB2312" w:eastAsia="仿宋_GB2312" w:cs="仿宋_GB2312"/>
                    </w:rPr>
                    <w:t>1台</w:t>
                  </w:r>
                </w:p>
              </w:tc>
              <w:tc>
                <w:tcPr>
                  <w:tcW w:w="1416" w:type="dxa"/>
                </w:tcPr>
                <w:p w14:paraId="455F7971">
                  <w:pPr>
                    <w:pStyle w:val="25"/>
                    <w:rPr>
                      <w:rFonts w:ascii="仿宋_GB2312" w:hAnsi="仿宋_GB2312" w:eastAsia="仿宋_GB2312" w:cs="仿宋_GB2312"/>
                    </w:rPr>
                  </w:pPr>
                  <w:r>
                    <w:rPr>
                      <w:rFonts w:ascii="仿宋_GB2312" w:hAnsi="仿宋_GB2312" w:eastAsia="仿宋_GB2312" w:cs="仿宋_GB2312"/>
                    </w:rPr>
                    <w:t>办公设备</w:t>
                  </w:r>
                </w:p>
              </w:tc>
            </w:tr>
            <w:tr w14:paraId="773D92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continue"/>
                  <w:tcBorders>
                    <w:top w:val="nil"/>
                  </w:tcBorders>
                </w:tcPr>
                <w:p w14:paraId="2ABA47B0">
                  <w:pPr>
                    <w:pStyle w:val="25"/>
                    <w:rPr>
                      <w:rFonts w:ascii="仿宋_GB2312" w:hAnsi="仿宋_GB2312" w:eastAsia="仿宋_GB2312" w:cs="仿宋_GB2312"/>
                    </w:rPr>
                  </w:pPr>
                </w:p>
              </w:tc>
              <w:tc>
                <w:tcPr>
                  <w:tcW w:w="1792" w:type="dxa"/>
                </w:tcPr>
                <w:p w14:paraId="316E5E4D">
                  <w:pPr>
                    <w:pStyle w:val="25"/>
                    <w:rPr>
                      <w:rFonts w:ascii="仿宋_GB2312" w:hAnsi="仿宋_GB2312" w:eastAsia="仿宋_GB2312" w:cs="仿宋_GB2312"/>
                    </w:rPr>
                  </w:pPr>
                  <w:r>
                    <w:rPr>
                      <w:rFonts w:ascii="仿宋_GB2312" w:hAnsi="仿宋_GB2312" w:eastAsia="仿宋_GB2312" w:cs="仿宋_GB2312"/>
                    </w:rPr>
                    <w:t>惠普</w:t>
                  </w:r>
                </w:p>
              </w:tc>
              <w:tc>
                <w:tcPr>
                  <w:tcW w:w="1135" w:type="dxa"/>
                </w:tcPr>
                <w:p w14:paraId="4BF0843B">
                  <w:pPr>
                    <w:pStyle w:val="25"/>
                    <w:rPr>
                      <w:rFonts w:ascii="仿宋_GB2312" w:hAnsi="仿宋_GB2312" w:eastAsia="仿宋_GB2312" w:cs="仿宋_GB2312"/>
                    </w:rPr>
                  </w:pPr>
                  <w:r>
                    <w:rPr>
                      <w:rFonts w:ascii="仿宋_GB2312" w:hAnsi="仿宋_GB2312" w:eastAsia="仿宋_GB2312" w:cs="仿宋_GB2312"/>
                    </w:rPr>
                    <w:t>5台</w:t>
                  </w:r>
                </w:p>
              </w:tc>
              <w:tc>
                <w:tcPr>
                  <w:tcW w:w="1416" w:type="dxa"/>
                </w:tcPr>
                <w:p w14:paraId="5D3BCA76">
                  <w:pPr>
                    <w:pStyle w:val="25"/>
                    <w:rPr>
                      <w:rFonts w:ascii="仿宋_GB2312" w:hAnsi="仿宋_GB2312" w:eastAsia="仿宋_GB2312" w:cs="仿宋_GB2312"/>
                    </w:rPr>
                  </w:pPr>
                  <w:r>
                    <w:rPr>
                      <w:rFonts w:ascii="仿宋_GB2312" w:hAnsi="仿宋_GB2312" w:eastAsia="仿宋_GB2312" w:cs="仿宋_GB2312"/>
                    </w:rPr>
                    <w:t>办公设备</w:t>
                  </w:r>
                </w:p>
              </w:tc>
            </w:tr>
            <w:tr w14:paraId="37C392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783" w:type="dxa"/>
                </w:tcPr>
                <w:p w14:paraId="23BAF23D">
                  <w:pPr>
                    <w:pStyle w:val="25"/>
                    <w:rPr>
                      <w:rFonts w:ascii="仿宋_GB2312" w:hAnsi="仿宋_GB2312" w:eastAsia="仿宋_GB2312" w:cs="仿宋_GB2312"/>
                    </w:rPr>
                  </w:pPr>
                </w:p>
                <w:p w14:paraId="1D4F6C16">
                  <w:pPr>
                    <w:pStyle w:val="25"/>
                    <w:rPr>
                      <w:rFonts w:ascii="仿宋_GB2312" w:hAnsi="仿宋_GB2312" w:eastAsia="仿宋_GB2312" w:cs="仿宋_GB2312"/>
                    </w:rPr>
                  </w:pPr>
                  <w:r>
                    <w:rPr>
                      <w:rFonts w:ascii="仿宋_GB2312" w:hAnsi="仿宋_GB2312" w:eastAsia="仿宋_GB2312" w:cs="仿宋_GB2312"/>
                    </w:rPr>
                    <w:t>AP</w:t>
                  </w:r>
                </w:p>
              </w:tc>
              <w:tc>
                <w:tcPr>
                  <w:tcW w:w="1792" w:type="dxa"/>
                </w:tcPr>
                <w:p w14:paraId="69F28964">
                  <w:pPr>
                    <w:pStyle w:val="25"/>
                    <w:rPr>
                      <w:rFonts w:ascii="仿宋_GB2312" w:hAnsi="仿宋_GB2312" w:eastAsia="仿宋_GB2312" w:cs="仿宋_GB2312"/>
                    </w:rPr>
                  </w:pPr>
                  <w:r>
                    <w:rPr>
                      <w:rFonts w:ascii="仿宋_GB2312" w:hAnsi="仿宋_GB2312" w:eastAsia="仿宋_GB2312" w:cs="仿宋_GB2312"/>
                    </w:rPr>
                    <w:t>联想天工 LW-8045</w:t>
                  </w:r>
                </w:p>
                <w:p w14:paraId="5194ABB7">
                  <w:pPr>
                    <w:pStyle w:val="25"/>
                    <w:rPr>
                      <w:rFonts w:ascii="仿宋_GB2312" w:hAnsi="仿宋_GB2312" w:eastAsia="仿宋_GB2312" w:cs="仿宋_GB2312"/>
                    </w:rPr>
                  </w:pPr>
                  <w:r>
                    <w:rPr>
                      <w:rFonts w:ascii="仿宋_GB2312" w:hAnsi="仿宋_GB2312" w:eastAsia="仿宋_GB2312" w:cs="仿宋_GB2312"/>
                    </w:rPr>
                    <w:t>-1</w:t>
                  </w:r>
                </w:p>
              </w:tc>
              <w:tc>
                <w:tcPr>
                  <w:tcW w:w="1135" w:type="dxa"/>
                </w:tcPr>
                <w:p w14:paraId="6C066275">
                  <w:pPr>
                    <w:pStyle w:val="25"/>
                    <w:rPr>
                      <w:rFonts w:ascii="仿宋_GB2312" w:hAnsi="仿宋_GB2312" w:eastAsia="仿宋_GB2312" w:cs="仿宋_GB2312"/>
                    </w:rPr>
                  </w:pPr>
                  <w:r>
                    <w:rPr>
                      <w:rFonts w:ascii="仿宋_GB2312" w:hAnsi="仿宋_GB2312" w:eastAsia="仿宋_GB2312" w:cs="仿宋_GB2312"/>
                    </w:rPr>
                    <w:t>8台</w:t>
                  </w:r>
                </w:p>
              </w:tc>
              <w:tc>
                <w:tcPr>
                  <w:tcW w:w="1416" w:type="dxa"/>
                </w:tcPr>
                <w:p w14:paraId="23E68B6D">
                  <w:pPr>
                    <w:pStyle w:val="25"/>
                    <w:rPr>
                      <w:rFonts w:ascii="仿宋_GB2312" w:hAnsi="仿宋_GB2312" w:eastAsia="仿宋_GB2312" w:cs="仿宋_GB2312"/>
                    </w:rPr>
                  </w:pPr>
                  <w:r>
                    <w:rPr>
                      <w:rFonts w:ascii="仿宋_GB2312" w:hAnsi="仿宋_GB2312" w:eastAsia="仿宋_GB2312" w:cs="仿宋_GB2312"/>
                    </w:rPr>
                    <w:t>网络设备</w:t>
                  </w:r>
                </w:p>
              </w:tc>
            </w:tr>
            <w:tr w14:paraId="19096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4D40690C">
                  <w:pPr>
                    <w:pStyle w:val="25"/>
                    <w:rPr>
                      <w:rFonts w:ascii="仿宋_GB2312" w:hAnsi="仿宋_GB2312" w:eastAsia="仿宋_GB2312" w:cs="仿宋_GB2312"/>
                    </w:rPr>
                  </w:pPr>
                  <w:r>
                    <w:rPr>
                      <w:rFonts w:ascii="仿宋_GB2312" w:hAnsi="仿宋_GB2312" w:eastAsia="仿宋_GB2312" w:cs="仿宋_GB2312"/>
                    </w:rPr>
                    <w:t>投影机</w:t>
                  </w:r>
                </w:p>
              </w:tc>
              <w:tc>
                <w:tcPr>
                  <w:tcW w:w="1792" w:type="dxa"/>
                </w:tcPr>
                <w:p w14:paraId="4C800A04">
                  <w:pPr>
                    <w:pStyle w:val="25"/>
                    <w:rPr>
                      <w:rFonts w:ascii="仿宋_GB2312" w:hAnsi="仿宋_GB2312" w:eastAsia="仿宋_GB2312" w:cs="仿宋_GB2312"/>
                    </w:rPr>
                  </w:pPr>
                  <w:r>
                    <w:rPr>
                      <w:rFonts w:ascii="仿宋_GB2312" w:hAnsi="仿宋_GB2312" w:eastAsia="仿宋_GB2312" w:cs="仿宋_GB2312"/>
                    </w:rPr>
                    <w:t>索诺克 NP6500</w:t>
                  </w:r>
                </w:p>
              </w:tc>
              <w:tc>
                <w:tcPr>
                  <w:tcW w:w="1135" w:type="dxa"/>
                </w:tcPr>
                <w:p w14:paraId="3F350759">
                  <w:pPr>
                    <w:pStyle w:val="25"/>
                    <w:rPr>
                      <w:rFonts w:ascii="仿宋_GB2312" w:hAnsi="仿宋_GB2312" w:eastAsia="仿宋_GB2312" w:cs="仿宋_GB2312"/>
                    </w:rPr>
                  </w:pPr>
                  <w:r>
                    <w:rPr>
                      <w:rFonts w:ascii="仿宋_GB2312" w:hAnsi="仿宋_GB2312" w:eastAsia="仿宋_GB2312" w:cs="仿宋_GB2312"/>
                    </w:rPr>
                    <w:t>3台</w:t>
                  </w:r>
                </w:p>
              </w:tc>
              <w:tc>
                <w:tcPr>
                  <w:tcW w:w="1416" w:type="dxa"/>
                </w:tcPr>
                <w:p w14:paraId="70DB0DCF">
                  <w:pPr>
                    <w:pStyle w:val="25"/>
                    <w:rPr>
                      <w:rFonts w:ascii="仿宋_GB2312" w:hAnsi="仿宋_GB2312" w:eastAsia="仿宋_GB2312" w:cs="仿宋_GB2312"/>
                    </w:rPr>
                  </w:pPr>
                  <w:r>
                    <w:rPr>
                      <w:rFonts w:ascii="仿宋_GB2312" w:hAnsi="仿宋_GB2312" w:eastAsia="仿宋_GB2312" w:cs="仿宋_GB2312"/>
                    </w:rPr>
                    <w:t>办公设备</w:t>
                  </w:r>
                </w:p>
              </w:tc>
            </w:tr>
            <w:tr w14:paraId="4107FD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234321A6">
                  <w:pPr>
                    <w:pStyle w:val="25"/>
                    <w:rPr>
                      <w:rFonts w:ascii="仿宋_GB2312" w:hAnsi="仿宋_GB2312" w:eastAsia="仿宋_GB2312" w:cs="仿宋_GB2312"/>
                    </w:rPr>
                  </w:pPr>
                  <w:r>
                    <w:rPr>
                      <w:rFonts w:ascii="仿宋_GB2312" w:hAnsi="仿宋_GB2312" w:eastAsia="仿宋_GB2312" w:cs="仿宋_GB2312"/>
                    </w:rPr>
                    <w:t>电话</w:t>
                  </w:r>
                </w:p>
              </w:tc>
              <w:tc>
                <w:tcPr>
                  <w:tcW w:w="1792" w:type="dxa"/>
                </w:tcPr>
                <w:p w14:paraId="65563637">
                  <w:pPr>
                    <w:pStyle w:val="25"/>
                    <w:rPr>
                      <w:rFonts w:ascii="仿宋_GB2312" w:hAnsi="仿宋_GB2312" w:eastAsia="仿宋_GB2312" w:cs="仿宋_GB2312"/>
                    </w:rPr>
                  </w:pPr>
                  <w:r>
                    <w:rPr>
                      <w:rFonts w:ascii="仿宋_GB2312" w:hAnsi="仿宋_GB2312" w:eastAsia="仿宋_GB2312" w:cs="仿宋_GB2312"/>
                    </w:rPr>
                    <w:t>侨兴/TCL/高科</w:t>
                  </w:r>
                </w:p>
              </w:tc>
              <w:tc>
                <w:tcPr>
                  <w:tcW w:w="1135" w:type="dxa"/>
                </w:tcPr>
                <w:p w14:paraId="246FA8BB">
                  <w:pPr>
                    <w:pStyle w:val="25"/>
                    <w:rPr>
                      <w:rFonts w:ascii="仿宋_GB2312" w:hAnsi="仿宋_GB2312" w:eastAsia="仿宋_GB2312" w:cs="仿宋_GB2312"/>
                    </w:rPr>
                  </w:pPr>
                  <w:r>
                    <w:rPr>
                      <w:rFonts w:hint="eastAsia" w:ascii="仿宋_GB2312" w:hAnsi="仿宋_GB2312" w:eastAsia="仿宋_GB2312" w:cs="仿宋_GB2312"/>
                      <w:lang w:val="en-US" w:eastAsia="zh-CN"/>
                    </w:rPr>
                    <w:t>50</w:t>
                  </w:r>
                  <w:r>
                    <w:rPr>
                      <w:rFonts w:ascii="仿宋_GB2312" w:hAnsi="仿宋_GB2312" w:eastAsia="仿宋_GB2312" w:cs="仿宋_GB2312"/>
                    </w:rPr>
                    <w:t>台</w:t>
                  </w:r>
                </w:p>
              </w:tc>
              <w:tc>
                <w:tcPr>
                  <w:tcW w:w="1416" w:type="dxa"/>
                </w:tcPr>
                <w:p w14:paraId="135066F5">
                  <w:pPr>
                    <w:pStyle w:val="25"/>
                    <w:rPr>
                      <w:rFonts w:ascii="仿宋_GB2312" w:hAnsi="仿宋_GB2312" w:eastAsia="仿宋_GB2312" w:cs="仿宋_GB2312"/>
                    </w:rPr>
                  </w:pPr>
                  <w:r>
                    <w:rPr>
                      <w:rFonts w:ascii="仿宋_GB2312" w:hAnsi="仿宋_GB2312" w:eastAsia="仿宋_GB2312" w:cs="仿宋_GB2312"/>
                    </w:rPr>
                    <w:t>办公设备</w:t>
                  </w:r>
                </w:p>
              </w:tc>
            </w:tr>
            <w:tr w14:paraId="7F48F9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restart"/>
                  <w:vAlign w:val="center"/>
                </w:tcPr>
                <w:p w14:paraId="60B01D82">
                  <w:pPr>
                    <w:pStyle w:val="25"/>
                    <w:rPr>
                      <w:rFonts w:ascii="仿宋_GB2312" w:hAnsi="仿宋_GB2312" w:eastAsia="仿宋_GB2312" w:cs="仿宋_GB2312"/>
                    </w:rPr>
                  </w:pPr>
                  <w:r>
                    <w:rPr>
                      <w:rFonts w:ascii="仿宋_GB2312" w:hAnsi="仿宋_GB2312" w:eastAsia="仿宋_GB2312" w:cs="仿宋_GB2312"/>
                    </w:rPr>
                    <w:t>安全设备</w:t>
                  </w:r>
                </w:p>
              </w:tc>
              <w:tc>
                <w:tcPr>
                  <w:tcW w:w="1792" w:type="dxa"/>
                  <w:vMerge w:val="restart"/>
                  <w:vAlign w:val="center"/>
                </w:tcPr>
                <w:p w14:paraId="7939513B">
                  <w:pPr>
                    <w:pStyle w:val="25"/>
                    <w:rPr>
                      <w:rFonts w:hint="eastAsia" w:ascii="仿宋_GB2312" w:hAnsi="仿宋_GB2312" w:eastAsia="仿宋_GB2312" w:cs="仿宋_GB2312"/>
                      <w:lang w:eastAsia="zh-CN"/>
                    </w:rPr>
                  </w:pPr>
                  <w:r>
                    <w:rPr>
                      <w:rFonts w:ascii="仿宋_GB2312" w:hAnsi="仿宋_GB2312" w:eastAsia="仿宋_GB2312" w:cs="仿宋_GB2312"/>
                    </w:rPr>
                    <w:t>华为</w:t>
                  </w:r>
                  <w:r>
                    <w:rPr>
                      <w:rFonts w:hint="eastAsia" w:ascii="仿宋_GB2312" w:hAnsi="仿宋_GB2312" w:eastAsia="仿宋_GB2312" w:cs="仿宋_GB2312"/>
                      <w:lang w:eastAsia="zh-CN"/>
                    </w:rPr>
                    <w:t>、</w:t>
                  </w:r>
                  <w:r>
                    <w:rPr>
                      <w:rFonts w:ascii="仿宋_GB2312" w:hAnsi="仿宋_GB2312" w:eastAsia="仿宋_GB2312" w:cs="仿宋_GB2312"/>
                    </w:rPr>
                    <w:t>启明星辰</w:t>
                  </w:r>
                </w:p>
              </w:tc>
              <w:tc>
                <w:tcPr>
                  <w:tcW w:w="1135" w:type="dxa"/>
                  <w:vMerge w:val="restart"/>
                  <w:vAlign w:val="center"/>
                </w:tcPr>
                <w:p w14:paraId="43742A44">
                  <w:pPr>
                    <w:pStyle w:val="25"/>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6台</w:t>
                  </w:r>
                </w:p>
              </w:tc>
              <w:tc>
                <w:tcPr>
                  <w:tcW w:w="1416" w:type="dxa"/>
                </w:tcPr>
                <w:p w14:paraId="4DFB01BC">
                  <w:pPr>
                    <w:pStyle w:val="25"/>
                    <w:rPr>
                      <w:rFonts w:ascii="仿宋_GB2312" w:hAnsi="仿宋_GB2312" w:eastAsia="仿宋_GB2312" w:cs="仿宋_GB2312"/>
                    </w:rPr>
                  </w:pPr>
                  <w:r>
                    <w:rPr>
                      <w:rFonts w:ascii="仿宋_GB2312" w:hAnsi="仿宋_GB2312" w:eastAsia="仿宋_GB2312" w:cs="仿宋_GB2312"/>
                    </w:rPr>
                    <w:t>网络安全设备</w:t>
                  </w:r>
                </w:p>
              </w:tc>
            </w:tr>
            <w:tr w14:paraId="2287A6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vMerge w:val="continue"/>
                </w:tcPr>
                <w:p w14:paraId="2F785056">
                  <w:pPr>
                    <w:pStyle w:val="25"/>
                    <w:rPr>
                      <w:rFonts w:ascii="仿宋_GB2312" w:hAnsi="仿宋_GB2312" w:eastAsia="仿宋_GB2312" w:cs="仿宋_GB2312"/>
                    </w:rPr>
                  </w:pPr>
                </w:p>
              </w:tc>
              <w:tc>
                <w:tcPr>
                  <w:tcW w:w="1792" w:type="dxa"/>
                  <w:vMerge w:val="continue"/>
                </w:tcPr>
                <w:p w14:paraId="0A9352BC">
                  <w:pPr>
                    <w:pStyle w:val="25"/>
                    <w:rPr>
                      <w:rFonts w:ascii="仿宋_GB2312" w:hAnsi="仿宋_GB2312" w:eastAsia="仿宋_GB2312" w:cs="仿宋_GB2312"/>
                    </w:rPr>
                  </w:pPr>
                </w:p>
              </w:tc>
              <w:tc>
                <w:tcPr>
                  <w:tcW w:w="1135" w:type="dxa"/>
                  <w:vMerge w:val="continue"/>
                </w:tcPr>
                <w:p w14:paraId="57A998E5">
                  <w:pPr>
                    <w:pStyle w:val="25"/>
                    <w:rPr>
                      <w:rFonts w:ascii="仿宋_GB2312" w:hAnsi="仿宋_GB2312" w:eastAsia="仿宋_GB2312" w:cs="仿宋_GB2312"/>
                    </w:rPr>
                  </w:pPr>
                </w:p>
              </w:tc>
              <w:tc>
                <w:tcPr>
                  <w:tcW w:w="1416" w:type="dxa"/>
                </w:tcPr>
                <w:p w14:paraId="17DA0A05">
                  <w:pPr>
                    <w:pStyle w:val="25"/>
                    <w:rPr>
                      <w:rFonts w:ascii="仿宋_GB2312" w:hAnsi="仿宋_GB2312" w:eastAsia="仿宋_GB2312" w:cs="仿宋_GB2312"/>
                    </w:rPr>
                  </w:pPr>
                  <w:r>
                    <w:rPr>
                      <w:rFonts w:ascii="仿宋_GB2312" w:hAnsi="仿宋_GB2312" w:eastAsia="仿宋_GB2312" w:cs="仿宋_GB2312"/>
                    </w:rPr>
                    <w:t>网络安全设备</w:t>
                  </w:r>
                </w:p>
              </w:tc>
            </w:tr>
            <w:tr w14:paraId="76E852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783" w:type="dxa"/>
                </w:tcPr>
                <w:p w14:paraId="561C6275">
                  <w:pPr>
                    <w:pStyle w:val="25"/>
                    <w:rPr>
                      <w:rFonts w:ascii="仿宋_GB2312" w:hAnsi="仿宋_GB2312" w:eastAsia="仿宋_GB2312" w:cs="仿宋_GB2312"/>
                    </w:rPr>
                  </w:pPr>
                  <w:r>
                    <w:rPr>
                      <w:rFonts w:ascii="仿宋_GB2312" w:hAnsi="仿宋_GB2312" w:eastAsia="仿宋_GB2312" w:cs="仿宋_GB2312"/>
                    </w:rPr>
                    <w:t>交换机</w:t>
                  </w:r>
                </w:p>
              </w:tc>
              <w:tc>
                <w:tcPr>
                  <w:tcW w:w="1792" w:type="dxa"/>
                </w:tcPr>
                <w:p w14:paraId="33440F99">
                  <w:pPr>
                    <w:pStyle w:val="25"/>
                    <w:rPr>
                      <w:rFonts w:ascii="仿宋_GB2312" w:hAnsi="仿宋_GB2312" w:eastAsia="仿宋_GB2312" w:cs="仿宋_GB2312"/>
                    </w:rPr>
                  </w:pPr>
                  <w:r>
                    <w:rPr>
                      <w:rFonts w:ascii="仿宋_GB2312" w:hAnsi="仿宋_GB2312" w:eastAsia="仿宋_GB2312" w:cs="仿宋_GB2312"/>
                    </w:rPr>
                    <w:t>华为</w:t>
                  </w:r>
                </w:p>
              </w:tc>
              <w:tc>
                <w:tcPr>
                  <w:tcW w:w="1135" w:type="dxa"/>
                </w:tcPr>
                <w:p w14:paraId="1F33F210">
                  <w:pPr>
                    <w:pStyle w:val="25"/>
                    <w:rPr>
                      <w:rFonts w:ascii="仿宋_GB2312" w:hAnsi="仿宋_GB2312" w:eastAsia="仿宋_GB2312" w:cs="仿宋_GB2312"/>
                    </w:rPr>
                  </w:pPr>
                  <w:r>
                    <w:rPr>
                      <w:rFonts w:ascii="仿宋_GB2312" w:hAnsi="仿宋_GB2312" w:eastAsia="仿宋_GB2312" w:cs="仿宋_GB2312"/>
                    </w:rPr>
                    <w:t>6台</w:t>
                  </w:r>
                </w:p>
              </w:tc>
              <w:tc>
                <w:tcPr>
                  <w:tcW w:w="1416" w:type="dxa"/>
                </w:tcPr>
                <w:p w14:paraId="7E16160D">
                  <w:pPr>
                    <w:pStyle w:val="25"/>
                    <w:rPr>
                      <w:rFonts w:ascii="仿宋_GB2312" w:hAnsi="仿宋_GB2312" w:eastAsia="仿宋_GB2312" w:cs="仿宋_GB2312"/>
                    </w:rPr>
                  </w:pPr>
                  <w:r>
                    <w:rPr>
                      <w:rFonts w:ascii="仿宋_GB2312" w:hAnsi="仿宋_GB2312" w:eastAsia="仿宋_GB2312" w:cs="仿宋_GB2312"/>
                    </w:rPr>
                    <w:t>网络安全设备</w:t>
                  </w:r>
                </w:p>
              </w:tc>
            </w:tr>
          </w:tbl>
          <w:p w14:paraId="3F7892A7">
            <w:pPr>
              <w:pStyle w:val="25"/>
              <w:rPr>
                <w:rFonts w:hint="eastAsia" w:ascii="仿宋_GB2312" w:hAnsi="仿宋_GB2312" w:eastAsia="仿宋_GB2312" w:cs="仿宋_GB2312"/>
              </w:rPr>
            </w:pPr>
          </w:p>
        </w:tc>
      </w:tr>
      <w:tr w14:paraId="598A5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670" w:type="dxa"/>
          </w:tcPr>
          <w:p w14:paraId="755FD8AB">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w:t>
            </w:r>
          </w:p>
        </w:tc>
        <w:tc>
          <w:tcPr>
            <w:tcW w:w="6981" w:type="dxa"/>
          </w:tcPr>
          <w:p w14:paraId="766A53CD">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确保网络平台主要硬件设备、现有应用平台、全部域名：</w:t>
            </w:r>
            <w:r>
              <w:rPr>
                <w:rFonts w:hint="eastAsia" w:ascii="仿宋_GB2312" w:hAnsi="仿宋_GB2312" w:eastAsia="仿宋_GB2312" w:cs="仿宋_GB2312"/>
                <w:lang w:val="en-US" w:eastAsia="zh-CN"/>
              </w:rPr>
              <w:fldChar w:fldCharType="begin"/>
            </w:r>
            <w:r>
              <w:rPr>
                <w:rFonts w:hint="eastAsia" w:ascii="仿宋_GB2312" w:hAnsi="仿宋_GB2312" w:eastAsia="仿宋_GB2312" w:cs="仿宋_GB2312"/>
                <w:lang w:val="en-US" w:eastAsia="zh-CN"/>
              </w:rPr>
              <w:instrText xml:space="preserve"> HYPERLINK "http://www.xatrm.com/" \h </w:instrText>
            </w:r>
            <w:r>
              <w:rPr>
                <w:rFonts w:hint="eastAsia" w:ascii="仿宋_GB2312" w:hAnsi="仿宋_GB2312" w:eastAsia="仿宋_GB2312" w:cs="仿宋_GB2312"/>
                <w:lang w:val="en-US" w:eastAsia="zh-CN"/>
              </w:rPr>
              <w:fldChar w:fldCharType="separate"/>
            </w:r>
            <w:r>
              <w:rPr>
                <w:rFonts w:hint="eastAsia" w:ascii="仿宋_GB2312" w:hAnsi="仿宋_GB2312" w:eastAsia="仿宋_GB2312" w:cs="仿宋_GB2312"/>
                <w:lang w:val="en-US" w:eastAsia="zh-CN"/>
              </w:rPr>
              <w:t>www.xatrm.com</w:t>
            </w:r>
            <w:r>
              <w:rPr>
                <w:rFonts w:hint="eastAsia" w:ascii="仿宋_GB2312" w:hAnsi="仿宋_GB2312" w:eastAsia="仿宋_GB2312" w:cs="仿宋_GB2312"/>
                <w:lang w:val="en-US" w:eastAsia="zh-CN"/>
              </w:rPr>
              <w:fldChar w:fldCharType="end"/>
            </w:r>
            <w:r>
              <w:rPr>
                <w:rFonts w:hint="eastAsia" w:ascii="仿宋_GB2312" w:hAnsi="仿宋_GB2312" w:eastAsia="仿宋_GB2312" w:cs="仿宋_GB2312"/>
                <w:lang w:val="en-US" w:eastAsia="zh-CN"/>
              </w:rPr>
              <w:t>、w ww.xatrm.net、</w:t>
            </w:r>
            <w:r>
              <w:rPr>
                <w:rFonts w:hint="eastAsia" w:ascii="仿宋_GB2312" w:hAnsi="仿宋_GB2312" w:eastAsia="仿宋_GB2312" w:cs="仿宋_GB2312"/>
                <w:lang w:val="en-US" w:eastAsia="zh-CN"/>
              </w:rPr>
              <w:fldChar w:fldCharType="begin"/>
            </w:r>
            <w:r>
              <w:rPr>
                <w:rFonts w:hint="eastAsia" w:ascii="仿宋_GB2312" w:hAnsi="仿宋_GB2312" w:eastAsia="仿宋_GB2312" w:cs="仿宋_GB2312"/>
                <w:lang w:val="en-US" w:eastAsia="zh-CN"/>
              </w:rPr>
              <w:instrText xml:space="preserve"> HYPERLINK "http://www.xatrm.org/" \h </w:instrText>
            </w:r>
            <w:r>
              <w:rPr>
                <w:rFonts w:hint="eastAsia" w:ascii="仿宋_GB2312" w:hAnsi="仿宋_GB2312" w:eastAsia="仿宋_GB2312" w:cs="仿宋_GB2312"/>
                <w:lang w:val="en-US" w:eastAsia="zh-CN"/>
              </w:rPr>
              <w:fldChar w:fldCharType="separate"/>
            </w:r>
            <w:r>
              <w:rPr>
                <w:rFonts w:hint="eastAsia" w:ascii="仿宋_GB2312" w:hAnsi="仿宋_GB2312" w:eastAsia="仿宋_GB2312" w:cs="仿宋_GB2312"/>
                <w:lang w:val="en-US" w:eastAsia="zh-CN"/>
              </w:rPr>
              <w:t>www.xatrm.org</w:t>
            </w:r>
            <w:r>
              <w:rPr>
                <w:rFonts w:hint="eastAsia" w:ascii="仿宋_GB2312" w:hAnsi="仿宋_GB2312" w:eastAsia="仿宋_GB2312" w:cs="仿宋_GB2312"/>
                <w:lang w:val="en-US" w:eastAsia="zh-CN"/>
              </w:rPr>
              <w:fldChar w:fldCharType="end"/>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CN"/>
              </w:rPr>
              <w:fldChar w:fldCharType="begin"/>
            </w:r>
            <w:r>
              <w:rPr>
                <w:rFonts w:hint="eastAsia" w:ascii="仿宋_GB2312" w:hAnsi="仿宋_GB2312" w:eastAsia="仿宋_GB2312" w:cs="仿宋_GB2312"/>
                <w:lang w:val="en-US" w:eastAsia="zh-CN"/>
              </w:rPr>
              <w:instrText xml:space="preserve"> HYPERLINK "http://www.xatrm.com.cn/" \h </w:instrText>
            </w:r>
            <w:r>
              <w:rPr>
                <w:rFonts w:hint="eastAsia" w:ascii="仿宋_GB2312" w:hAnsi="仿宋_GB2312" w:eastAsia="仿宋_GB2312" w:cs="仿宋_GB2312"/>
                <w:lang w:val="en-US" w:eastAsia="zh-CN"/>
              </w:rPr>
              <w:fldChar w:fldCharType="separate"/>
            </w:r>
            <w:r>
              <w:rPr>
                <w:rFonts w:hint="eastAsia" w:ascii="仿宋_GB2312" w:hAnsi="仿宋_GB2312" w:eastAsia="仿宋_GB2312" w:cs="仿宋_GB2312"/>
                <w:lang w:val="en-US" w:eastAsia="zh-CN"/>
              </w:rPr>
              <w:t>www.xatrm.com.cn</w:t>
            </w:r>
            <w:r>
              <w:rPr>
                <w:rFonts w:hint="eastAsia" w:ascii="仿宋_GB2312" w:hAnsi="仿宋_GB2312" w:eastAsia="仿宋_GB2312" w:cs="仿宋_GB2312"/>
                <w:lang w:val="en-US" w:eastAsia="zh-CN"/>
              </w:rPr>
              <w:fldChar w:fldCharType="end"/>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CN"/>
              </w:rPr>
              <w:fldChar w:fldCharType="begin"/>
            </w:r>
            <w:r>
              <w:rPr>
                <w:rFonts w:hint="eastAsia" w:ascii="仿宋_GB2312" w:hAnsi="仿宋_GB2312" w:eastAsia="仿宋_GB2312" w:cs="仿宋_GB2312"/>
                <w:lang w:val="en-US" w:eastAsia="zh-CN"/>
              </w:rPr>
              <w:instrText xml:space="preserve"> HYPERLINK "http://www.xatrm.cn/" \h </w:instrText>
            </w:r>
            <w:r>
              <w:rPr>
                <w:rFonts w:hint="eastAsia" w:ascii="仿宋_GB2312" w:hAnsi="仿宋_GB2312" w:eastAsia="仿宋_GB2312" w:cs="仿宋_GB2312"/>
                <w:lang w:val="en-US" w:eastAsia="zh-CN"/>
              </w:rPr>
              <w:fldChar w:fldCharType="separate"/>
            </w:r>
            <w:r>
              <w:rPr>
                <w:rFonts w:hint="eastAsia" w:ascii="仿宋_GB2312" w:hAnsi="仿宋_GB2312" w:eastAsia="仿宋_GB2312" w:cs="仿宋_GB2312"/>
                <w:lang w:val="en-US" w:eastAsia="zh-CN"/>
              </w:rPr>
              <w:t>www.xatrm.cn</w:t>
            </w:r>
            <w:r>
              <w:rPr>
                <w:rFonts w:hint="eastAsia" w:ascii="仿宋_GB2312" w:hAnsi="仿宋_GB2312" w:eastAsia="仿宋_GB2312" w:cs="仿宋_GB2312"/>
                <w:lang w:val="en-US" w:eastAsia="zh-CN"/>
              </w:rPr>
              <w:fldChar w:fldCharType="end"/>
            </w:r>
            <w:r>
              <w:rPr>
                <w:rFonts w:hint="eastAsia" w:ascii="仿宋_GB2312" w:hAnsi="仿宋_GB2312" w:eastAsia="仿宋_GB2312" w:cs="仿宋_GB2312"/>
                <w:lang w:val="en-US" w:eastAsia="zh-CN"/>
              </w:rPr>
              <w:t>、www.cxew.cc等域名的正常运行和证书安装；</w:t>
            </w:r>
          </w:p>
          <w:p w14:paraId="4036BE5A">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1.信息安全服务。提供平台整体的安全运维方案，从物理安全、网络通信安全、数据备份、防病毒管理、补丁管理、密码管理等方面进行安全管理。</w:t>
            </w:r>
          </w:p>
          <w:p w14:paraId="2C4C571F">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系统提供安全防护服务，包括对服务器系统、网络交换机、路由器以及安全系统的安全加固；对防火墙、入侵防御检测等安全设备硬件维保;对防火墙等安全设备系统进行升级，安全策略配置调整。提供网络安全保障，过滤不良信息及防止外部入侵。</w:t>
            </w:r>
          </w:p>
          <w:p w14:paraId="6AFA05B0">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每月对系统做安全漏洞扫描和渗透测试，对系统安全进行风险防扩和安全漏洞整改，针对SQL注入、XSS跨站攻击、DoS攻击、页面篡改等系统安全风险和漏洞提出解决方案和应急保障措施。对监测出的系统安全漏洞及时进行修复，确保平台安全稳定运行。定期提供安全漏洞扫描报告、渗透测试报告、安全运行处置报告等相关材料</w:t>
            </w:r>
          </w:p>
          <w:p w14:paraId="5A3DFF42">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密切关注国内外信息安全漏洞库、信息安全厂商、IT交流社区等组织机构发布的网络安全漏洞，对发现的涉及所运维软硬件的安全漏洞，立即进行排查确认，于1个工作日内将漏洞信息（内容包括但不限于漏洞名称、漏洞编号、风险等级、涉及主机IP及端口号、漏洞描述、修复建议等）通过电话、邮件、微信等方式通知大市场，并在 5个工作日内对漏洞进行修复，形成漏洞修复报告并提交大市场。</w:t>
            </w:r>
          </w:p>
          <w:p w14:paraId="47330254">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2.系统配置优化。服务商针对网络平台各系统、硬件、网络等设施的现状和存在问题提出切实可行、有效的优化配置方案或方法，并向采购人提交相关材料，同时配合采购人完成优化升级等相关事项。</w:t>
            </w:r>
          </w:p>
          <w:p w14:paraId="43099F0D">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网络维护服务。机房内所有网络设备以及线路保障。内容包括:日常维护、网络设备参数配置调整、事件处理、分析报告、性能监控、维修维保；内部网络和接入互联网设备等汇聚层以及接入层设备维护，内容包括:日常维护、网络设备参数配置调整、事件处理、分析报告、性能监控、维修维保等；对涉及网络相关系统的新建、扩容、升级等要求提供专业的技术建议、设计、指导以及实施等。</w:t>
            </w:r>
          </w:p>
          <w:p w14:paraId="2AE70AC1">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现场监控。由服务商安排专业技术人员驻场进行机房值守监控，通过监控工具实时对网站群服务端响应时间、网络延时、页面打开速度、页面报错统计追踪进行性能监控；对操作系统、数据库访问、页面访问等日志进行监控记录，建立统计报表并定期对日志进行分析审查；根据监控结果和实际情况，向大市场提交优化调整方案，对相关设备、系统等进行优化调整。及时发现隐患故障，上报重大事件并启动预案，确保故障和事件处置的有效性、及时性。</w:t>
            </w:r>
          </w:p>
          <w:p w14:paraId="685C584C">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例行巡检和日常维护。驻场人员制定巡检计划，对所有业务系统、机房设备（服务器、网络安全设备、UPS、精密空调等）、展厅设备、会议室设备、网络线路及相关设备等进行定期检查，包括所有设备状态、业务系统运行情况、网络性能、存储空间、事件告警等。对于发现的故障隐患，立即上报给采购人，同时采取有效措施，保证设备的安全和系统稳定运行。并在日常工作中注重设备的维护保养和工作日志记录。</w:t>
            </w:r>
          </w:p>
          <w:p w14:paraId="71B55622">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6.配合大市场开展等保测评或第三方安全测试的整改工作。</w:t>
            </w:r>
          </w:p>
          <w:p w14:paraId="5E964664">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7.数据备份和恢复。服务商应调研分析提供网络平台各系统运行维护方法，包括数据备份和恢复以及迁移方案，并定期进行数据备份和恢复测试。投标方案要提供在系统和服务器出现宕机或服务器损坏无法启动时的解决方案，其中包括网络平台各系统的设备管理配置方案、操作系统安装恢复部署方案、数据库安装恢复部署方案和应用系统安装恢复部署方案。同时做好数据定期备份和恢复以及日志记录等相关工作。 </w:t>
            </w:r>
          </w:p>
          <w:p w14:paraId="0FFBA450">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8.应急保障。根据网络平台与信息安全突发事件的严重程度和影响范围，制定应急事件分级标准和上报流程等，方案应调研分析编制网络平台各系统的信息安全事件应急预案，以应对攻击和病毒入侵、系统文件遭到破坏删除或数据库崩溃等情况。整理分析各系统的应急保障措施，并对保障措施提升改进提出安全可靠的可行性解决方案。服务期内，至少组织二次全区性的网络与信息安全应急演练，针对演练发现的问题修订完善应急预案。</w:t>
            </w:r>
          </w:p>
          <w:p w14:paraId="63387EA8">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9.故障受理和处置。建立故障受理服务台，通过服务台记录业务故障和用户请求，上报和分发处置任务，跟踪和回访处置结果，实现故障处置和服务结果的可追溯、可监督，全面再现所有事件的处置过程。</w:t>
            </w:r>
          </w:p>
          <w:p w14:paraId="09418D70">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设备管理。对现有基础设施、网络设备、服务器、存储等IT设备进行分类管理，从库存、维修、折旧、报废等阶段进行全生命周期管理。建立相关设备清单，包括但不限于：设备信息、操作系统信息、软件基础平台信息、网络策略开通情况、杀毒软件安装更新情况、系统备份情况信息等。当清单发生较大变动时，应及时将变动信息告知。实时掌握资产的状态，便于升级和使用调配，有效落实管理责任。</w:t>
            </w:r>
          </w:p>
          <w:p w14:paraId="06B30AEE">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11.会议室、展厅、服务大厅等设备安装及调试、数据展示等，保证会议、展厅、服务大厅的技术支持。</w:t>
            </w:r>
          </w:p>
          <w:p w14:paraId="48A86EEA">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12.备品备件。服务商应提供常用备品备件，如网线、电池、存储硬盘、路由器、普通交换机等；对服务器、存储硬盘、交换机、光纤模块等易损耗品提供备件备品保养、维修和更换服务，在配件故障时能及时更换恢复，减少对业务系统的影响。对备品备件的出库、入库、使用做好相应的日志记录。</w:t>
            </w:r>
          </w:p>
          <w:p w14:paraId="0C461810">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13.培训服务。建立和完善运维流程规范、系统或设备操作手册、日常维护操作规程，并制定，培训计划对运维人员进行培训。服务商应调研分析整理编写网络平台各设施的管理配置手册和故障处理手册。</w:t>
            </w:r>
          </w:p>
          <w:p w14:paraId="347D6019">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14.对大市场的数据、系统、用户信息、账号等信息进行严格保密，未经大市场允许，不得私自将有关信息告知他人。</w:t>
            </w:r>
          </w:p>
          <w:p w14:paraId="1E1B37BB">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15.以上日常管理维护内容均需有日志记录等相关材料。</w:t>
            </w:r>
          </w:p>
        </w:tc>
      </w:tr>
      <w:tr w14:paraId="024C9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670" w:type="dxa"/>
          </w:tcPr>
          <w:p w14:paraId="3DC24918">
            <w:pPr>
              <w:pStyle w:val="25"/>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6981" w:type="dxa"/>
          </w:tcPr>
          <w:p w14:paraId="5A164AB7">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平台系统维护</w:t>
            </w:r>
          </w:p>
          <w:p w14:paraId="418F9C3F">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对大市场网络平台主门户和各子平台（包括本地机房和政务云上运行的平台）进行日常维护与功能优化；配合大市场进行业务系统迁移上云和机房搬迁（包括机房所有的软硬件设备）；对网络平台内容进行日常维护，包括栏目内容的发布转发、网站内容采编、数据及时更新维护、网站群系统监控维护、用户支持服务、用户使用培训、模版开发服务等；负责对网络平台使用的第三方短信平台进行短信账号等相关维护；每月为网络平台提供访问统计报告，包括整体访问情况、主站访问情况、用户来源分析、用户行为分析等；和网络平台系统维护相关的其他工作。</w:t>
            </w:r>
          </w:p>
        </w:tc>
      </w:tr>
      <w:bookmarkEnd w:id="3"/>
    </w:tbl>
    <w:p w14:paraId="6413EF92">
      <w:pPr>
        <w:pStyle w:val="5"/>
        <w:keepNext/>
        <w:keepLines/>
        <w:pageBreakBefore w:val="0"/>
        <w:widowControl w:val="0"/>
        <w:kinsoku/>
        <w:wordWrap/>
        <w:overflowPunct/>
        <w:topLinePunct w:val="0"/>
        <w:autoSpaceDE/>
        <w:autoSpaceDN/>
        <w:bidi w:val="0"/>
        <w:adjustRightInd/>
        <w:snapToGrid/>
        <w:spacing w:before="0" w:after="0" w:line="536" w:lineRule="exact"/>
        <w:ind w:firstLine="643" w:firstLineChars="200"/>
        <w:textAlignment w:val="auto"/>
        <w:rPr>
          <w:rFonts w:hint="eastAsia"/>
          <w:color w:val="auto"/>
          <w:lang w:val="en-US" w:eastAsia="zh-CN"/>
        </w:rPr>
      </w:pPr>
      <w:r>
        <w:rPr>
          <w:rFonts w:hint="eastAsia"/>
          <w:color w:val="auto"/>
          <w:lang w:eastAsia="zh-CN"/>
        </w:rPr>
        <w:t>（</w:t>
      </w:r>
      <w:r>
        <w:rPr>
          <w:rFonts w:hint="eastAsia"/>
          <w:color w:val="auto"/>
          <w:lang w:val="en-US" w:eastAsia="zh-CN"/>
        </w:rPr>
        <w:t>四）新增设备-防火墙</w:t>
      </w:r>
    </w:p>
    <w:tbl>
      <w:tblPr>
        <w:tblStyle w:val="11"/>
        <w:tblW w:w="7719"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4"/>
        <w:gridCol w:w="6905"/>
      </w:tblGrid>
      <w:tr w14:paraId="2AD70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3" w:hRule="atLeast"/>
          <w:jc w:val="center"/>
        </w:trPr>
        <w:tc>
          <w:tcPr>
            <w:tcW w:w="814" w:type="dxa"/>
          </w:tcPr>
          <w:p w14:paraId="3DCAF0FC">
            <w:pPr>
              <w:pStyle w:val="25"/>
              <w:rPr>
                <w:rFonts w:ascii="仿宋_GB2312" w:hAnsi="仿宋_GB2312" w:eastAsia="仿宋_GB2312" w:cs="仿宋_GB2312"/>
              </w:rPr>
            </w:pPr>
            <w:r>
              <w:rPr>
                <w:rFonts w:ascii="仿宋_GB2312" w:hAnsi="仿宋_GB2312" w:eastAsia="仿宋_GB2312" w:cs="仿宋_GB2312"/>
              </w:rPr>
              <w:t xml:space="preserve"> 序号</w:t>
            </w:r>
          </w:p>
        </w:tc>
        <w:tc>
          <w:tcPr>
            <w:tcW w:w="6905" w:type="dxa"/>
          </w:tcPr>
          <w:p w14:paraId="55E52A29">
            <w:pPr>
              <w:pStyle w:val="25"/>
              <w:rPr>
                <w:rFonts w:ascii="仿宋_GB2312" w:hAnsi="仿宋_GB2312" w:eastAsia="仿宋_GB2312" w:cs="仿宋_GB2312"/>
              </w:rPr>
            </w:pPr>
            <w:r>
              <w:rPr>
                <w:rFonts w:ascii="仿宋_GB2312" w:hAnsi="仿宋_GB2312" w:eastAsia="仿宋_GB2312" w:cs="仿宋_GB2312"/>
              </w:rPr>
              <w:t xml:space="preserve"> 技术参数与性能指标</w:t>
            </w:r>
          </w:p>
        </w:tc>
      </w:tr>
      <w:tr w14:paraId="477C1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880" w:hRule="atLeast"/>
          <w:jc w:val="center"/>
        </w:trPr>
        <w:tc>
          <w:tcPr>
            <w:tcW w:w="814" w:type="dxa"/>
          </w:tcPr>
          <w:p w14:paraId="7D23FC56">
            <w:pPr>
              <w:pStyle w:val="25"/>
              <w:rPr>
                <w:rFonts w:ascii="仿宋_GB2312" w:hAnsi="仿宋_GB2312" w:eastAsia="仿宋_GB2312" w:cs="仿宋_GB2312"/>
              </w:rPr>
            </w:pPr>
            <w:r>
              <w:rPr>
                <w:rFonts w:ascii="仿宋_GB2312" w:hAnsi="仿宋_GB2312" w:eastAsia="仿宋_GB2312" w:cs="仿宋_GB2312"/>
              </w:rPr>
              <w:t>1</w:t>
            </w:r>
          </w:p>
        </w:tc>
        <w:tc>
          <w:tcPr>
            <w:tcW w:w="6905" w:type="dxa"/>
          </w:tcPr>
          <w:p w14:paraId="3FE7AFB8">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1.整机吞吐量≥3Gbps，最大并发连接数≥100万，每秒新建连接数≥4万；</w:t>
            </w:r>
          </w:p>
          <w:p w14:paraId="5E1DFDB3">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2.千兆电口≥10，万兆光口≥2，配置SD≥64GB，3年威胁防护；</w:t>
            </w:r>
          </w:p>
          <w:p w14:paraId="781CF2E8">
            <w:pPr>
              <w:pStyle w:val="25"/>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3.支持设备的WEB管理页面中直接打开CLI控制命令，提供截图证明；</w:t>
            </w:r>
          </w:p>
          <w:p w14:paraId="38875169">
            <w:pPr>
              <w:pStyle w:val="25"/>
              <w:rPr>
                <w:rFonts w:hint="eastAsia" w:ascii="仿宋_GB2312" w:hAnsi="仿宋_GB2312" w:eastAsia="仿宋_GB2312" w:cs="仿宋_GB2312"/>
                <w:highlight w:val="none"/>
                <w:lang w:val="en-US" w:eastAsia="zh-CN"/>
              </w:rPr>
            </w:pPr>
            <w:r>
              <w:rPr>
                <w:rFonts w:hint="eastAsia" w:ascii="仿宋_GB2312" w:hAnsi="仿宋_GB2312" w:eastAsia="仿宋_GB2312" w:cs="仿宋_GB2312"/>
                <w:lang w:val="en-US" w:eastAsia="zh-CN"/>
              </w:rPr>
              <w:t>4.支持静态路由、策略路由、RIP、OSPF、BGP、ISIS等路由协议，支持SRv6</w:t>
            </w:r>
            <w:r>
              <w:rPr>
                <w:rFonts w:hint="eastAsia" w:ascii="仿宋_GB2312" w:hAnsi="仿宋_GB2312" w:eastAsia="仿宋_GB2312" w:cs="仿宋_GB2312"/>
                <w:highlight w:val="none"/>
                <w:lang w:val="en-US" w:eastAsia="zh-CN"/>
              </w:rPr>
              <w:t>协议，提供证明；</w:t>
            </w:r>
          </w:p>
          <w:p w14:paraId="52CCC441">
            <w:pPr>
              <w:pStyle w:val="25"/>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5.支持NAT66，NAT64功能，支持三元组NAT smart-fullcone；</w:t>
            </w:r>
          </w:p>
          <w:p w14:paraId="75B859FA">
            <w:pPr>
              <w:pStyle w:val="25"/>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6.提供防火墙产品进入Gartner企业防火墙四象限，提供证明材料；</w:t>
            </w:r>
          </w:p>
          <w:p w14:paraId="0957512F">
            <w:pPr>
              <w:pStyle w:val="25"/>
              <w:rPr>
                <w:rFonts w:hint="default" w:ascii="仿宋_GB2312" w:hAnsi="仿宋_GB2312" w:eastAsia="仿宋_GB2312" w:cs="仿宋_GB2312"/>
                <w:lang w:val="en-US"/>
              </w:rPr>
            </w:pPr>
            <w:r>
              <w:rPr>
                <w:rFonts w:hint="eastAsia" w:ascii="仿宋_GB2312" w:hAnsi="仿宋_GB2312" w:eastAsia="仿宋_GB2312" w:cs="仿宋_GB2312"/>
                <w:highlight w:val="none"/>
                <w:lang w:val="en-US" w:eastAsia="zh-CN"/>
              </w:rPr>
              <w:t>7.提供设备合法来源证明渠道，包括但不限于销售协议、代理协议、原厂授权或承诺书等。</w:t>
            </w:r>
          </w:p>
        </w:tc>
      </w:tr>
    </w:tbl>
    <w:p w14:paraId="09AB8DB5">
      <w:pPr>
        <w:jc w:val="center"/>
        <w:rPr>
          <w:rFonts w:hint="default"/>
          <w:lang w:val="en-US" w:eastAsia="zh-CN"/>
        </w:rPr>
      </w:pPr>
    </w:p>
    <w:p w14:paraId="51D70804">
      <w:pPr>
        <w:pStyle w:val="5"/>
        <w:keepNext/>
        <w:keepLines/>
        <w:pageBreakBefore w:val="0"/>
        <w:widowControl w:val="0"/>
        <w:kinsoku/>
        <w:wordWrap/>
        <w:overflowPunct/>
        <w:topLinePunct w:val="0"/>
        <w:autoSpaceDE/>
        <w:autoSpaceDN/>
        <w:bidi w:val="0"/>
        <w:adjustRightInd/>
        <w:snapToGrid/>
        <w:spacing w:before="0" w:after="0" w:line="536" w:lineRule="exact"/>
        <w:ind w:firstLine="643" w:firstLineChars="200"/>
        <w:textAlignment w:val="auto"/>
        <w:rPr>
          <w:rFonts w:hint="eastAsia"/>
          <w:color w:val="auto"/>
          <w:lang w:eastAsia="zh-CN"/>
        </w:rPr>
      </w:pPr>
      <w:r>
        <w:rPr>
          <w:rFonts w:hint="eastAsia"/>
          <w:color w:val="auto"/>
          <w:lang w:eastAsia="zh-CN"/>
        </w:rPr>
        <w:t>（</w:t>
      </w:r>
      <w:r>
        <w:rPr>
          <w:rFonts w:hint="eastAsia"/>
          <w:color w:val="auto"/>
          <w:lang w:val="en-US" w:eastAsia="zh-CN"/>
        </w:rPr>
        <w:t>五</w:t>
      </w:r>
      <w:r>
        <w:rPr>
          <w:rFonts w:hint="eastAsia"/>
          <w:color w:val="auto"/>
          <w:lang w:eastAsia="zh-CN"/>
        </w:rPr>
        <w:t>）驻场服务要求</w:t>
      </w:r>
    </w:p>
    <w:p w14:paraId="1E9496C4">
      <w:pPr>
        <w:keepNext w:val="0"/>
        <w:keepLines w:val="0"/>
        <w:pageBreakBefore w:val="0"/>
        <w:widowControl w:val="0"/>
        <w:numPr>
          <w:ilvl w:val="0"/>
          <w:numId w:val="0"/>
        </w:numPr>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1.项目实施要求</w:t>
      </w:r>
    </w:p>
    <w:p w14:paraId="55A4FBB1">
      <w:pPr>
        <w:keepNext w:val="0"/>
        <w:keepLines w:val="0"/>
        <w:pageBreakBefore w:val="0"/>
        <w:widowControl w:val="0"/>
        <w:numPr>
          <w:ilvl w:val="0"/>
          <w:numId w:val="0"/>
        </w:numPr>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（1）乙方具有较为完善的驻场管理制度，组织结构合理。服务商运维团队要求至少5人且至少3人常驻现场。包括项目经理、技术支持人员、研发测试人员、UI设计人员等。</w:t>
      </w:r>
    </w:p>
    <w:p w14:paraId="29392A6E">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（2）项目执行期间项目经理不得更换，投标人需提供承诺函。</w:t>
      </w:r>
    </w:p>
    <w:p w14:paraId="2A5287D5">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（3）负责运维的团队要求具备丰富的网络安全运维工作经验和良好的沟通协调及文字表达能力。</w:t>
      </w:r>
    </w:p>
    <w:p w14:paraId="15829917">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每月10日前提交一份上月的月度运维报告，必须包含漏洞扫描报告，巡检报告，运维问题报告等内容；2026年1月20日前提交一份2025年度运维总结报告，必须包含漏洞扫描报告，巡检报告，运维问题报告等内容。</w:t>
      </w:r>
    </w:p>
    <w:p w14:paraId="4F08B1CE">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（5）乙方需提供项目组成员社保记录、简历和运维相关工作经验证明材料，需合同中体现人员名字。</w:t>
      </w:r>
    </w:p>
    <w:p w14:paraId="13270059">
      <w:pPr>
        <w:pStyle w:val="2"/>
        <w:rPr>
          <w:rFonts w:hint="default"/>
          <w:lang w:val="en-US" w:eastAsia="zh-CN"/>
        </w:rPr>
      </w:pPr>
      <w:r>
        <w:rPr>
          <w:rFonts w:hint="eastAsia" w:ascii="仿宋" w:hAnsi="仿宋" w:eastAsia="仿宋"/>
          <w:color w:val="auto"/>
          <w:sz w:val="32"/>
          <w:szCs w:val="32"/>
          <w:lang w:val="en-US" w:eastAsia="zh-CN"/>
        </w:rPr>
        <w:t>（6）乙方需提供服务器、交换机等设备备品备件库，提供库房产权证明或房屋租赁合同。</w:t>
      </w:r>
    </w:p>
    <w:p w14:paraId="26F0EAE0">
      <w:pPr>
        <w:keepNext w:val="0"/>
        <w:keepLines w:val="0"/>
        <w:pageBreakBefore w:val="0"/>
        <w:widowControl w:val="0"/>
        <w:numPr>
          <w:ilvl w:val="0"/>
          <w:numId w:val="0"/>
        </w:numPr>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2.驻场管理规定</w:t>
      </w:r>
    </w:p>
    <w:p w14:paraId="073E3BEC">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（1）服务响应时间：响应时间为接到通知后15分钟以内；</w:t>
      </w:r>
    </w:p>
    <w:p w14:paraId="24DBE13D">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（2）驻场要求：全年驻场维护支持，安排专人常驻现场提供技术支持、研发测试、 UI设计等服务。工作时间为上午8:30-12:00，下午13:00-17:30；非工作日安排专人值班，确保系统正常运行，如遇工作需要，应随时提供服务保障；</w:t>
      </w:r>
    </w:p>
    <w:p w14:paraId="278AACFC">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（3）服务要求：提供5*8小时的故障即时诊断、7*24小时电话服务或远程技术支持服务，并记录维护日志，通话录音；</w:t>
      </w:r>
    </w:p>
    <w:p w14:paraId="15C3CD7A">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（4）投诉处理：投诉电话的接听和问题的记录、收集；反馈的咨询或投诉意见的处理；</w:t>
      </w:r>
    </w:p>
    <w:p w14:paraId="7B467EDB">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（5）故障解决时间：甲方出现重大系统故障，应在4小时内解决故障或恢复系统正常运行；解决问题后应出具书面总结报告反馈给甲方，若在4小时内，故障未能解决，可请第三方进行处理，费用由服务商承担；</w:t>
      </w:r>
    </w:p>
    <w:p w14:paraId="564090BC">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（6）乙方定期回访用户单位，及时收集反馈意见；</w:t>
      </w:r>
    </w:p>
    <w:p w14:paraId="404E1A3B">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（7）乙方确保客户现场人员和财产安全，上下班打卡进出，离开时确保办公设备电源关闭和门窗关闭。</w:t>
      </w:r>
    </w:p>
    <w:p w14:paraId="4B688463">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（8）乙方遵守甲方相关制度。</w:t>
      </w:r>
    </w:p>
    <w:p w14:paraId="582CD6ED">
      <w:pPr>
        <w:pStyle w:val="3"/>
        <w:keepNext/>
        <w:keepLines/>
        <w:pageBreakBefore w:val="0"/>
        <w:widowControl w:val="0"/>
        <w:kinsoku/>
        <w:wordWrap/>
        <w:overflowPunct/>
        <w:topLinePunct w:val="0"/>
        <w:autoSpaceDE/>
        <w:autoSpaceDN/>
        <w:bidi w:val="0"/>
        <w:adjustRightInd/>
        <w:snapToGrid/>
        <w:spacing w:before="0" w:beforeLines="0" w:after="0" w:afterLines="0" w:line="536" w:lineRule="exact"/>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四、质量验收标准或规范</w:t>
      </w:r>
    </w:p>
    <w:p w14:paraId="668292FA">
      <w:pPr>
        <w:keepNext w:val="0"/>
        <w:keepLines w:val="0"/>
        <w:pageBreakBefore w:val="0"/>
        <w:widowControl w:val="0"/>
        <w:kinsoku/>
        <w:wordWrap/>
        <w:overflowPunct/>
        <w:topLinePunct w:val="0"/>
        <w:autoSpaceDE/>
        <w:autoSpaceDN/>
        <w:bidi w:val="0"/>
        <w:adjustRightInd/>
        <w:snapToGrid/>
        <w:spacing w:line="536" w:lineRule="exact"/>
        <w:ind w:firstLine="640" w:firstLineChars="200"/>
        <w:textAlignment w:val="auto"/>
        <w:rPr>
          <w:rFonts w:hint="default" w:ascii="仿宋" w:hAnsi="仿宋" w:eastAsia="仿宋"/>
          <w:color w:val="auto"/>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服务期满后，甲方根据招</w:t>
      </w:r>
      <w:r>
        <w:rPr>
          <w:rFonts w:hint="eastAsia" w:ascii="仿宋" w:hAnsi="仿宋" w:eastAsia="仿宋"/>
          <w:sz w:val="32"/>
          <w:szCs w:val="32"/>
          <w:lang w:val="en-US" w:eastAsia="zh-CN"/>
        </w:rPr>
        <w:t>投</w:t>
      </w:r>
      <w:r>
        <w:rPr>
          <w:rFonts w:hint="eastAsia" w:ascii="仿宋" w:hAnsi="仿宋" w:eastAsia="仿宋"/>
          <w:sz w:val="32"/>
          <w:szCs w:val="32"/>
        </w:rPr>
        <w:t>标文件</w:t>
      </w:r>
      <w:r>
        <w:rPr>
          <w:rFonts w:hint="eastAsia" w:ascii="仿宋" w:hAnsi="仿宋" w:eastAsia="仿宋" w:cs="Times New Roman"/>
          <w:sz w:val="32"/>
          <w:szCs w:val="32"/>
          <w:lang w:val="en-US" w:eastAsia="zh-CN"/>
        </w:rPr>
        <w:t>和</w:t>
      </w:r>
      <w:r>
        <w:rPr>
          <w:rFonts w:hint="eastAsia" w:ascii="仿宋" w:hAnsi="仿宋" w:eastAsia="仿宋"/>
          <w:sz w:val="32"/>
          <w:szCs w:val="32"/>
          <w:lang w:val="en-US" w:eastAsia="zh-CN"/>
        </w:rPr>
        <w:t>合同等相关文</w:t>
      </w:r>
      <w:r>
        <w:rPr>
          <w:rFonts w:hint="eastAsia" w:ascii="仿宋" w:hAnsi="仿宋" w:eastAsia="仿宋"/>
          <w:sz w:val="32"/>
          <w:szCs w:val="32"/>
        </w:rPr>
        <w:t>件进行验收，确认</w:t>
      </w:r>
      <w:r>
        <w:rPr>
          <w:rFonts w:hint="eastAsia" w:ascii="仿宋" w:hAnsi="仿宋" w:eastAsia="仿宋"/>
          <w:color w:val="auto"/>
          <w:sz w:val="32"/>
          <w:szCs w:val="32"/>
          <w:lang w:val="en-US" w:eastAsia="zh-CN"/>
        </w:rPr>
        <w:t>服务内容、</w:t>
      </w:r>
      <w:r>
        <w:rPr>
          <w:rFonts w:hint="eastAsia" w:ascii="仿宋" w:hAnsi="仿宋" w:eastAsia="仿宋"/>
          <w:color w:val="auto"/>
          <w:sz w:val="32"/>
          <w:szCs w:val="32"/>
        </w:rPr>
        <w:t>服务标准和服务方式</w:t>
      </w:r>
      <w:r>
        <w:rPr>
          <w:rFonts w:hint="eastAsia" w:ascii="仿宋" w:hAnsi="仿宋" w:eastAsia="仿宋"/>
          <w:color w:val="auto"/>
          <w:sz w:val="32"/>
          <w:szCs w:val="32"/>
          <w:lang w:val="en-US" w:eastAsia="zh-CN"/>
        </w:rPr>
        <w:t>等</w:t>
      </w:r>
      <w:r>
        <w:rPr>
          <w:rFonts w:hint="eastAsia" w:ascii="仿宋" w:hAnsi="仿宋" w:eastAsia="仿宋"/>
          <w:color w:val="auto"/>
          <w:sz w:val="32"/>
          <w:szCs w:val="32"/>
        </w:rPr>
        <w:t>是</w:t>
      </w:r>
      <w:r>
        <w:rPr>
          <w:rFonts w:hint="eastAsia" w:ascii="仿宋" w:hAnsi="仿宋" w:eastAsia="仿宋"/>
          <w:sz w:val="32"/>
          <w:szCs w:val="32"/>
        </w:rPr>
        <w:t>否</w:t>
      </w:r>
      <w:r>
        <w:rPr>
          <w:rFonts w:hint="eastAsia" w:ascii="仿宋" w:hAnsi="仿宋" w:eastAsia="仿宋"/>
          <w:sz w:val="32"/>
          <w:szCs w:val="32"/>
          <w:lang w:val="en-US" w:eastAsia="zh-CN"/>
        </w:rPr>
        <w:t>达到</w:t>
      </w:r>
      <w:r>
        <w:rPr>
          <w:rFonts w:hint="eastAsia" w:ascii="仿宋" w:hAnsi="仿宋" w:eastAsia="仿宋"/>
          <w:color w:val="auto"/>
          <w:sz w:val="32"/>
          <w:szCs w:val="32"/>
          <w:lang w:val="en-US" w:eastAsia="zh-CN"/>
        </w:rPr>
        <w:t>合同</w:t>
      </w:r>
      <w:r>
        <w:rPr>
          <w:rFonts w:hint="eastAsia" w:ascii="仿宋" w:hAnsi="仿宋" w:eastAsia="仿宋"/>
          <w:sz w:val="32"/>
          <w:szCs w:val="32"/>
        </w:rPr>
        <w:t>要求</w:t>
      </w:r>
      <w:r>
        <w:rPr>
          <w:rFonts w:hint="eastAsia" w:ascii="仿宋" w:hAnsi="仿宋" w:eastAsia="仿宋"/>
          <w:color w:val="auto"/>
          <w:sz w:val="32"/>
          <w:szCs w:val="32"/>
          <w:lang w:val="en-US" w:eastAsia="zh-CN"/>
        </w:rPr>
        <w:t>。</w:t>
      </w:r>
    </w:p>
    <w:p w14:paraId="5B3D7CED">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甲方组织乙方（必要时</w:t>
      </w:r>
      <w:r>
        <w:rPr>
          <w:rFonts w:hint="eastAsia" w:ascii="仿宋" w:hAnsi="仿宋" w:eastAsia="仿宋"/>
          <w:color w:val="auto"/>
          <w:sz w:val="32"/>
          <w:szCs w:val="32"/>
          <w:lang w:val="en-US" w:eastAsia="zh-CN"/>
        </w:rPr>
        <w:t>邀</w:t>
      </w:r>
      <w:r>
        <w:rPr>
          <w:rFonts w:hint="eastAsia" w:ascii="仿宋" w:hAnsi="仿宋" w:eastAsia="仿宋"/>
          <w:sz w:val="32"/>
          <w:szCs w:val="32"/>
        </w:rPr>
        <w:t>请有关专家）进行验收，验收合格后，填写政府采购项目验收单（一式</w:t>
      </w:r>
      <w:r>
        <w:rPr>
          <w:rFonts w:hint="eastAsia" w:ascii="仿宋" w:hAnsi="仿宋" w:eastAsia="仿宋"/>
          <w:sz w:val="32"/>
          <w:szCs w:val="32"/>
          <w:lang w:val="en-US" w:eastAsia="zh-CN"/>
        </w:rPr>
        <w:t>两</w:t>
      </w:r>
      <w:r>
        <w:rPr>
          <w:rFonts w:hint="eastAsia" w:ascii="仿宋" w:hAnsi="仿宋" w:eastAsia="仿宋"/>
          <w:sz w:val="32"/>
          <w:szCs w:val="32"/>
        </w:rPr>
        <w:t>份）作为对项目的最终认可。</w:t>
      </w:r>
    </w:p>
    <w:p w14:paraId="0EE45003">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sz w:val="32"/>
          <w:szCs w:val="32"/>
        </w:rPr>
        <w:t>乙方</w:t>
      </w:r>
      <w:r>
        <w:rPr>
          <w:rFonts w:hint="default" w:ascii="仿宋" w:hAnsi="仿宋" w:eastAsia="仿宋"/>
          <w:sz w:val="32"/>
          <w:szCs w:val="32"/>
          <w:highlight w:val="none"/>
          <w:lang w:val="en-US" w:eastAsia="zh-CN"/>
        </w:rPr>
        <w:t>应按照</w:t>
      </w:r>
      <w:r>
        <w:rPr>
          <w:rFonts w:hint="default" w:ascii="仿宋" w:hAnsi="仿宋" w:eastAsia="仿宋"/>
          <w:sz w:val="32"/>
          <w:szCs w:val="32"/>
          <w:highlight w:val="none"/>
        </w:rPr>
        <w:t>甲方</w:t>
      </w:r>
      <w:r>
        <w:rPr>
          <w:rFonts w:hint="default" w:ascii="仿宋" w:hAnsi="仿宋" w:eastAsia="仿宋"/>
          <w:sz w:val="32"/>
          <w:szCs w:val="32"/>
          <w:highlight w:val="none"/>
          <w:lang w:val="en-US" w:eastAsia="zh-CN"/>
        </w:rPr>
        <w:t>要求，</w:t>
      </w:r>
      <w:r>
        <w:rPr>
          <w:rFonts w:hint="eastAsia" w:ascii="仿宋" w:hAnsi="仿宋" w:eastAsia="仿宋"/>
          <w:sz w:val="32"/>
          <w:szCs w:val="32"/>
          <w:highlight w:val="none"/>
        </w:rPr>
        <w:t>提供</w:t>
      </w:r>
      <w:r>
        <w:rPr>
          <w:rFonts w:hint="eastAsia" w:ascii="仿宋" w:hAnsi="仿宋" w:eastAsia="仿宋"/>
          <w:sz w:val="32"/>
          <w:szCs w:val="32"/>
          <w:highlight w:val="none"/>
          <w:lang w:val="en-US" w:eastAsia="zh-CN"/>
        </w:rPr>
        <w:t>运维</w:t>
      </w:r>
      <w:r>
        <w:rPr>
          <w:rFonts w:hint="eastAsia" w:ascii="仿宋" w:hAnsi="仿宋" w:eastAsia="仿宋"/>
          <w:sz w:val="32"/>
          <w:szCs w:val="32"/>
          <w:highlight w:val="none"/>
        </w:rPr>
        <w:t>服务过程中的所有资料,以便</w:t>
      </w:r>
      <w:r>
        <w:rPr>
          <w:rFonts w:hint="eastAsia" w:ascii="仿宋" w:hAnsi="仿宋" w:eastAsia="仿宋"/>
          <w:sz w:val="32"/>
          <w:szCs w:val="32"/>
          <w:highlight w:val="none"/>
          <w:lang w:val="en-US" w:eastAsia="zh-CN"/>
        </w:rPr>
        <w:t>甲方</w:t>
      </w:r>
      <w:r>
        <w:rPr>
          <w:rFonts w:hint="eastAsia" w:ascii="仿宋" w:hAnsi="仿宋" w:eastAsia="仿宋"/>
          <w:sz w:val="32"/>
          <w:szCs w:val="32"/>
          <w:highlight w:val="none"/>
        </w:rPr>
        <w:t>日后管理和维护。</w:t>
      </w:r>
    </w:p>
    <w:p w14:paraId="0947F216">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ascii="仿宋" w:hAnsi="仿宋" w:eastAsia="仿宋"/>
          <w:sz w:val="32"/>
          <w:szCs w:val="32"/>
        </w:rPr>
        <w:t>验收依据</w:t>
      </w:r>
    </w:p>
    <w:p w14:paraId="38356050">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1.</w:t>
      </w:r>
      <w:r>
        <w:rPr>
          <w:rFonts w:ascii="仿宋" w:hAnsi="仿宋" w:eastAsia="仿宋"/>
          <w:sz w:val="32"/>
          <w:szCs w:val="32"/>
        </w:rPr>
        <w:t>招标文件、投标文件；</w:t>
      </w:r>
    </w:p>
    <w:p w14:paraId="557A3E47">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2.</w:t>
      </w:r>
      <w:r>
        <w:rPr>
          <w:rFonts w:ascii="仿宋" w:hAnsi="仿宋" w:eastAsia="仿宋"/>
          <w:sz w:val="32"/>
          <w:szCs w:val="32"/>
        </w:rPr>
        <w:t>本合同及附件文本；</w:t>
      </w:r>
    </w:p>
    <w:p w14:paraId="1BE2C0D4">
      <w:pPr>
        <w:pStyle w:val="16"/>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3.</w:t>
      </w:r>
      <w:r>
        <w:rPr>
          <w:rFonts w:ascii="仿宋" w:hAnsi="仿宋" w:eastAsia="仿宋"/>
          <w:sz w:val="32"/>
          <w:szCs w:val="32"/>
        </w:rPr>
        <w:t>合同签订时国家及行业现行的标准和技术规范。</w:t>
      </w:r>
    </w:p>
    <w:p w14:paraId="237656FE">
      <w:pPr>
        <w:pStyle w:val="16"/>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乙方</w:t>
      </w:r>
      <w:r>
        <w:rPr>
          <w:rFonts w:ascii="仿宋" w:hAnsi="仿宋" w:eastAsia="仿宋"/>
          <w:sz w:val="32"/>
          <w:szCs w:val="32"/>
        </w:rPr>
        <w:t>向甲方提交项目实施过程中的所有资料</w:t>
      </w:r>
      <w:r>
        <w:rPr>
          <w:rFonts w:hint="eastAsia" w:ascii="仿宋" w:hAnsi="仿宋" w:eastAsia="仿宋"/>
          <w:sz w:val="32"/>
          <w:szCs w:val="32"/>
        </w:rPr>
        <w:t>，</w:t>
      </w:r>
      <w:r>
        <w:rPr>
          <w:rFonts w:ascii="仿宋" w:hAnsi="仿宋" w:eastAsia="仿宋"/>
          <w:sz w:val="32"/>
          <w:szCs w:val="32"/>
        </w:rPr>
        <w:t>以便甲方日后管理和维护。</w:t>
      </w:r>
    </w:p>
    <w:p w14:paraId="47EF7430">
      <w:pPr>
        <w:pStyle w:val="3"/>
        <w:keepNext/>
        <w:keepLines/>
        <w:pageBreakBefore w:val="0"/>
        <w:widowControl w:val="0"/>
        <w:kinsoku/>
        <w:wordWrap/>
        <w:overflowPunct/>
        <w:topLinePunct w:val="0"/>
        <w:autoSpaceDE/>
        <w:autoSpaceDN/>
        <w:bidi w:val="0"/>
        <w:adjustRightInd/>
        <w:snapToGrid/>
        <w:spacing w:before="0" w:after="0" w:line="536" w:lineRule="exact"/>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五、违约责任</w:t>
      </w:r>
    </w:p>
    <w:p w14:paraId="3A853C13">
      <w:pPr>
        <w:pageBreakBefore w:val="0"/>
        <w:kinsoku/>
        <w:wordWrap/>
        <w:overflowPunct/>
        <w:topLinePunct w:val="0"/>
        <w:autoSpaceDE/>
        <w:autoSpaceDN/>
        <w:bidi w:val="0"/>
        <w:adjustRightInd/>
        <w:snapToGrid/>
        <w:spacing w:line="536"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lang w:val="en-US" w:eastAsia="zh-CN"/>
        </w:rPr>
        <w:t>按《中华人民共和国民法典》中的相关条款执行。</w:t>
      </w:r>
    </w:p>
    <w:p w14:paraId="1BD15AD0">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因甲方原因导致项目未按照约定完成交付的，视甲方违约，甲方需按期履行验收</w:t>
      </w:r>
      <w:r>
        <w:rPr>
          <w:rFonts w:hint="eastAsia" w:ascii="仿宋" w:hAnsi="仿宋" w:eastAsia="仿宋"/>
          <w:sz w:val="32"/>
          <w:szCs w:val="32"/>
          <w:lang w:val="en-US" w:eastAsia="zh-CN"/>
        </w:rPr>
        <w:t>和</w:t>
      </w:r>
      <w:r>
        <w:rPr>
          <w:rFonts w:hint="eastAsia" w:ascii="仿宋" w:hAnsi="仿宋" w:eastAsia="仿宋"/>
          <w:sz w:val="32"/>
          <w:szCs w:val="32"/>
        </w:rPr>
        <w:t>付款义务。</w:t>
      </w:r>
    </w:p>
    <w:p w14:paraId="64F4EBF1">
      <w:pPr>
        <w:pageBreakBefore w:val="0"/>
        <w:kinsoku/>
        <w:wordWrap/>
        <w:overflowPunct/>
        <w:topLinePunct w:val="0"/>
        <w:autoSpaceDE/>
        <w:autoSpaceDN/>
        <w:bidi w:val="0"/>
        <w:adjustRightInd/>
        <w:snapToGrid/>
        <w:spacing w:line="536"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color w:val="auto"/>
          <w:sz w:val="32"/>
          <w:szCs w:val="32"/>
          <w:lang w:val="en-US" w:eastAsia="zh-CN"/>
        </w:rPr>
        <w:t>乙方若未按合同要求提供维保服务或服务质量不能满足合同要求发生违约</w:t>
      </w:r>
      <w:r>
        <w:rPr>
          <w:rFonts w:hint="eastAsia" w:ascii="仿宋" w:hAnsi="仿宋" w:eastAsia="仿宋"/>
          <w:strike w:val="0"/>
          <w:dstrike w:val="0"/>
          <w:color w:val="auto"/>
          <w:sz w:val="32"/>
          <w:szCs w:val="32"/>
          <w:lang w:val="en-US" w:eastAsia="zh-CN"/>
        </w:rPr>
        <w:t>严重违约时（严重违约是导致无法完成核心服务）</w:t>
      </w:r>
      <w:r>
        <w:rPr>
          <w:rFonts w:hint="eastAsia" w:ascii="仿宋" w:hAnsi="仿宋" w:eastAsia="仿宋"/>
          <w:color w:val="auto"/>
          <w:sz w:val="32"/>
          <w:szCs w:val="32"/>
          <w:lang w:val="en-US" w:eastAsia="zh-CN"/>
        </w:rPr>
        <w:t>，</w:t>
      </w:r>
      <w:r>
        <w:rPr>
          <w:rFonts w:hint="eastAsia" w:ascii="仿宋" w:hAnsi="仿宋" w:eastAsia="仿宋"/>
          <w:sz w:val="32"/>
          <w:szCs w:val="32"/>
          <w:lang w:val="en-US" w:eastAsia="zh-CN"/>
        </w:rPr>
        <w:t>自发生违约情况的当月末起双方合同终止，甲方无需向乙方支付任何项目款项。甲方还应将乙方违约情况和拟采取的措施以书面形式报政府采购监管部门，根据政府采购监管部门的处理意见，要求乙方承担违约赔偿责任。同时，政府采购监管部门有权依据《政府采购法》和相关法律法规对乙方的违法行为进行相应的处罚。</w:t>
      </w:r>
    </w:p>
    <w:p w14:paraId="133DE69C">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因乙方原因导致项目未按照约定完成前期或中期交付的，视乙方违约，甲方延迟支付款项或乙方视情况延迟服务期限。</w:t>
      </w:r>
    </w:p>
    <w:p w14:paraId="283EDE7F">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五</w:t>
      </w:r>
      <w:r>
        <w:rPr>
          <w:rFonts w:hint="eastAsia" w:ascii="仿宋" w:hAnsi="仿宋" w:eastAsia="仿宋"/>
          <w:sz w:val="32"/>
          <w:szCs w:val="32"/>
          <w:lang w:eastAsia="zh-CN"/>
        </w:rPr>
        <w:t>）</w:t>
      </w:r>
      <w:r>
        <w:rPr>
          <w:rFonts w:hint="eastAsia" w:ascii="仿宋" w:hAnsi="仿宋" w:eastAsia="仿宋"/>
          <w:sz w:val="32"/>
          <w:szCs w:val="32"/>
        </w:rPr>
        <w:t>因乙方原因导致项目未按照约定完成终期交付的，第一次给予7个工作日宽限期，宽限期后仍未达到交付要求的，视乙方违约，</w:t>
      </w:r>
      <w:r>
        <w:rPr>
          <w:rFonts w:hint="eastAsia" w:ascii="仿宋" w:hAnsi="仿宋" w:eastAsia="仿宋"/>
          <w:color w:val="auto"/>
          <w:sz w:val="32"/>
          <w:szCs w:val="32"/>
          <w:lang w:val="en-US" w:eastAsia="zh-CN"/>
        </w:rPr>
        <w:t>按本合同“二（二）款项结算第3条和第4条”支付，</w:t>
      </w:r>
      <w:r>
        <w:rPr>
          <w:rFonts w:hint="eastAsia" w:ascii="仿宋" w:hAnsi="仿宋" w:eastAsia="仿宋"/>
          <w:color w:val="auto"/>
          <w:sz w:val="32"/>
          <w:szCs w:val="32"/>
        </w:rPr>
        <w:t>因违约</w:t>
      </w:r>
      <w:r>
        <w:rPr>
          <w:rFonts w:hint="eastAsia" w:ascii="仿宋" w:hAnsi="仿宋" w:eastAsia="仿宋"/>
          <w:sz w:val="32"/>
          <w:szCs w:val="32"/>
        </w:rPr>
        <w:t>期间造成的损失，由乙方承担。</w:t>
      </w:r>
    </w:p>
    <w:p w14:paraId="1ABAA905">
      <w:pPr>
        <w:pStyle w:val="3"/>
        <w:keepNext/>
        <w:keepLines/>
        <w:pageBreakBefore w:val="0"/>
        <w:widowControl w:val="0"/>
        <w:kinsoku/>
        <w:wordWrap/>
        <w:overflowPunct/>
        <w:topLinePunct w:val="0"/>
        <w:autoSpaceDE/>
        <w:autoSpaceDN/>
        <w:bidi w:val="0"/>
        <w:adjustRightInd/>
        <w:snapToGrid/>
        <w:spacing w:before="0" w:after="0" w:line="536" w:lineRule="exact"/>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六、合同生效及其他</w:t>
      </w:r>
    </w:p>
    <w:p w14:paraId="7E66DC3E">
      <w:pPr>
        <w:keepNext w:val="0"/>
        <w:keepLines w:val="0"/>
        <w:pageBreakBefore w:val="0"/>
        <w:widowControl w:val="0"/>
        <w:kinsoku/>
        <w:wordWrap/>
        <w:overflowPunct/>
        <w:topLinePunct w:val="0"/>
        <w:autoSpaceDE/>
        <w:autoSpaceDN/>
        <w:bidi w:val="0"/>
        <w:adjustRightInd/>
        <w:snapToGrid/>
        <w:spacing w:line="536"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本合同自签订之日起生效。</w:t>
      </w:r>
    </w:p>
    <w:p w14:paraId="3D9EBA66">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color w:val="auto"/>
          <w:sz w:val="32"/>
          <w:szCs w:val="32"/>
          <w:lang w:eastAsia="zh-CN"/>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二</w:t>
      </w:r>
      <w:r>
        <w:rPr>
          <w:rFonts w:hint="eastAsia" w:ascii="仿宋" w:hAnsi="仿宋" w:eastAsia="仿宋"/>
          <w:color w:val="auto"/>
          <w:sz w:val="32"/>
          <w:szCs w:val="32"/>
          <w:lang w:eastAsia="zh-CN"/>
        </w:rPr>
        <w:t>）</w:t>
      </w:r>
      <w:r>
        <w:rPr>
          <w:rFonts w:hint="eastAsia" w:ascii="仿宋" w:hAnsi="仿宋" w:eastAsia="仿宋"/>
          <w:color w:val="auto"/>
          <w:sz w:val="32"/>
          <w:szCs w:val="32"/>
        </w:rPr>
        <w:t>合同一式</w:t>
      </w:r>
      <w:r>
        <w:rPr>
          <w:rFonts w:hint="eastAsia" w:ascii="仿宋" w:hAnsi="仿宋" w:eastAsia="仿宋"/>
          <w:color w:val="auto"/>
          <w:sz w:val="32"/>
          <w:szCs w:val="32"/>
          <w:lang w:val="en-US" w:eastAsia="zh-CN"/>
        </w:rPr>
        <w:t>伍</w:t>
      </w:r>
      <w:r>
        <w:rPr>
          <w:rFonts w:hint="eastAsia" w:ascii="仿宋" w:hAnsi="仿宋" w:eastAsia="仿宋"/>
          <w:color w:val="auto"/>
          <w:sz w:val="32"/>
          <w:szCs w:val="32"/>
        </w:rPr>
        <w:t>份，</w:t>
      </w:r>
      <w:r>
        <w:rPr>
          <w:rFonts w:hint="eastAsia" w:ascii="仿宋" w:hAnsi="仿宋" w:eastAsia="仿宋"/>
          <w:color w:val="auto"/>
          <w:sz w:val="32"/>
          <w:szCs w:val="32"/>
          <w:lang w:val="en-US" w:eastAsia="zh-CN"/>
        </w:rPr>
        <w:t>甲方</w:t>
      </w:r>
      <w:r>
        <w:rPr>
          <w:rFonts w:hint="eastAsia" w:ascii="仿宋" w:hAnsi="仿宋" w:eastAsia="仿宋"/>
          <w:color w:val="auto"/>
          <w:sz w:val="32"/>
          <w:szCs w:val="32"/>
        </w:rPr>
        <w:t>和</w:t>
      </w:r>
      <w:r>
        <w:rPr>
          <w:rFonts w:hint="eastAsia" w:ascii="仿宋" w:hAnsi="仿宋" w:eastAsia="仿宋"/>
          <w:color w:val="auto"/>
          <w:sz w:val="32"/>
          <w:szCs w:val="32"/>
          <w:lang w:val="en-US" w:eastAsia="zh-CN"/>
        </w:rPr>
        <w:t>乙方</w:t>
      </w:r>
      <w:r>
        <w:rPr>
          <w:rFonts w:hint="eastAsia" w:ascii="仿宋" w:hAnsi="仿宋" w:eastAsia="仿宋"/>
          <w:color w:val="auto"/>
          <w:sz w:val="32"/>
          <w:szCs w:val="32"/>
        </w:rPr>
        <w:t>各执贰份</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代理机构留存壹份</w:t>
      </w:r>
      <w:r>
        <w:rPr>
          <w:rFonts w:hint="eastAsia" w:ascii="仿宋" w:hAnsi="仿宋" w:eastAsia="仿宋"/>
          <w:color w:val="auto"/>
          <w:sz w:val="32"/>
          <w:szCs w:val="32"/>
          <w:lang w:eastAsia="zh-CN"/>
        </w:rPr>
        <w:t>。</w:t>
      </w:r>
    </w:p>
    <w:p w14:paraId="73DBB286">
      <w:pPr>
        <w:pageBreakBefore w:val="0"/>
        <w:kinsoku/>
        <w:wordWrap/>
        <w:overflowPunct/>
        <w:topLinePunct w:val="0"/>
        <w:autoSpaceDE/>
        <w:autoSpaceDN/>
        <w:bidi w:val="0"/>
        <w:adjustRightInd/>
        <w:snapToGrid/>
        <w:spacing w:line="536" w:lineRule="exact"/>
        <w:ind w:firstLine="640" w:firstLineChars="200"/>
        <w:textAlignment w:val="auto"/>
        <w:rPr>
          <w:rFonts w:ascii="仿宋" w:hAnsi="仿宋" w:eastAsia="仿宋"/>
          <w:color w:val="auto"/>
          <w:sz w:val="28"/>
          <w:szCs w:val="28"/>
          <w:highlight w:val="yellow"/>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三</w:t>
      </w:r>
      <w:r>
        <w:rPr>
          <w:rFonts w:hint="eastAsia" w:ascii="仿宋" w:hAnsi="仿宋" w:eastAsia="仿宋"/>
          <w:color w:val="auto"/>
          <w:sz w:val="32"/>
          <w:szCs w:val="32"/>
          <w:lang w:eastAsia="zh-CN"/>
        </w:rPr>
        <w:t>）</w:t>
      </w:r>
      <w:r>
        <w:rPr>
          <w:rFonts w:hint="eastAsia" w:ascii="仿宋" w:hAnsi="仿宋" w:eastAsia="仿宋"/>
          <w:color w:val="auto"/>
          <w:sz w:val="32"/>
          <w:szCs w:val="32"/>
        </w:rPr>
        <w:t>如本合同有未尽事宜，由双方依法订立补充合同。补充合同与本合同具有同等的法律效力。</w:t>
      </w:r>
    </w:p>
    <w:p w14:paraId="7A5F095B">
      <w:pPr>
        <w:pageBreakBefore w:val="0"/>
        <w:kinsoku/>
        <w:wordWrap/>
        <w:overflowPunct/>
        <w:topLinePunct w:val="0"/>
        <w:autoSpaceDE/>
        <w:autoSpaceDN/>
        <w:bidi w:val="0"/>
        <w:adjustRightInd/>
        <w:snapToGrid/>
        <w:spacing w:line="536" w:lineRule="exact"/>
        <w:ind w:firstLine="640" w:firstLineChars="200"/>
        <w:textAlignment w:val="auto"/>
        <w:rPr>
          <w:rFonts w:hint="eastAsia" w:ascii="仿宋" w:hAnsi="仿宋" w:eastAsia="仿宋"/>
          <w:sz w:val="32"/>
          <w:szCs w:val="32"/>
          <w:highlight w:val="none"/>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highlight w:val="none"/>
        </w:rPr>
        <w:t>乙方应在合同签订后提供预案应对特殊情况（疫情，停电等），保证特殊情况下乙方可正常提供合同规定服务内容。</w:t>
      </w:r>
    </w:p>
    <w:tbl>
      <w:tblPr>
        <w:tblStyle w:val="11"/>
        <w:tblpPr w:leftFromText="180" w:rightFromText="180" w:vertAnchor="page" w:horzAnchor="page" w:tblpX="1991" w:tblpY="10655"/>
        <w:tblW w:w="8291" w:type="dxa"/>
        <w:tblInd w:w="0" w:type="dxa"/>
        <w:tblLayout w:type="fixed"/>
        <w:tblCellMar>
          <w:top w:w="0" w:type="dxa"/>
          <w:left w:w="108" w:type="dxa"/>
          <w:bottom w:w="0" w:type="dxa"/>
          <w:right w:w="108" w:type="dxa"/>
        </w:tblCellMar>
      </w:tblPr>
      <w:tblGrid>
        <w:gridCol w:w="4145"/>
        <w:gridCol w:w="4146"/>
      </w:tblGrid>
      <w:tr w14:paraId="06155E22">
        <w:tblPrEx>
          <w:tblCellMar>
            <w:top w:w="0" w:type="dxa"/>
            <w:left w:w="108" w:type="dxa"/>
            <w:bottom w:w="0" w:type="dxa"/>
            <w:right w:w="108" w:type="dxa"/>
          </w:tblCellMar>
        </w:tblPrEx>
        <w:trPr>
          <w:trHeight w:val="567" w:hRule="exact"/>
        </w:trPr>
        <w:tc>
          <w:tcPr>
            <w:tcW w:w="4145" w:type="dxa"/>
            <w:vAlign w:val="top"/>
          </w:tcPr>
          <w:p w14:paraId="05A86C33">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甲</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方：西安科技大市场服务中心</w:t>
            </w:r>
          </w:p>
        </w:tc>
        <w:tc>
          <w:tcPr>
            <w:tcW w:w="4146" w:type="dxa"/>
            <w:vAlign w:val="top"/>
          </w:tcPr>
          <w:p w14:paraId="0930A6EE">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乙</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方：</w:t>
            </w:r>
          </w:p>
        </w:tc>
      </w:tr>
      <w:tr w14:paraId="5C738E1A">
        <w:tblPrEx>
          <w:tblCellMar>
            <w:top w:w="0" w:type="dxa"/>
            <w:left w:w="108" w:type="dxa"/>
            <w:bottom w:w="0" w:type="dxa"/>
            <w:right w:w="108" w:type="dxa"/>
          </w:tblCellMar>
        </w:tblPrEx>
        <w:trPr>
          <w:trHeight w:val="567" w:hRule="exact"/>
        </w:trPr>
        <w:tc>
          <w:tcPr>
            <w:tcW w:w="4145" w:type="dxa"/>
            <w:vAlign w:val="top"/>
          </w:tcPr>
          <w:p w14:paraId="50631547">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法定代表人或委托代理人签字：</w:t>
            </w:r>
          </w:p>
        </w:tc>
        <w:tc>
          <w:tcPr>
            <w:tcW w:w="4146" w:type="dxa"/>
            <w:vAlign w:val="top"/>
          </w:tcPr>
          <w:p w14:paraId="3D78EB55">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法定代表人或委托代理人签字：</w:t>
            </w:r>
          </w:p>
        </w:tc>
      </w:tr>
      <w:tr w14:paraId="120C7878">
        <w:tblPrEx>
          <w:tblCellMar>
            <w:top w:w="0" w:type="dxa"/>
            <w:left w:w="108" w:type="dxa"/>
            <w:bottom w:w="0" w:type="dxa"/>
            <w:right w:w="108" w:type="dxa"/>
          </w:tblCellMar>
        </w:tblPrEx>
        <w:trPr>
          <w:trHeight w:val="582" w:hRule="exact"/>
        </w:trPr>
        <w:tc>
          <w:tcPr>
            <w:tcW w:w="4145" w:type="dxa"/>
            <w:vAlign w:val="top"/>
          </w:tcPr>
          <w:p w14:paraId="1F31B18A">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cs="宋体"/>
                <w:b/>
                <w:spacing w:val="-6"/>
                <w:kern w:val="21"/>
                <w:sz w:val="24"/>
                <w:szCs w:val="24"/>
                <w:lang w:val="en-US" w:eastAsia="zh-CN"/>
              </w:rPr>
            </w:pPr>
            <w:r>
              <w:rPr>
                <w:rFonts w:hint="eastAsia" w:ascii="仿宋" w:hAnsi="仿宋" w:eastAsia="仿宋" w:cs="宋体"/>
                <w:b/>
                <w:spacing w:val="-6"/>
                <w:kern w:val="21"/>
                <w:sz w:val="24"/>
                <w:szCs w:val="24"/>
              </w:rPr>
              <w:t>联系电话：</w:t>
            </w:r>
          </w:p>
        </w:tc>
        <w:tc>
          <w:tcPr>
            <w:tcW w:w="4146" w:type="dxa"/>
            <w:vAlign w:val="top"/>
          </w:tcPr>
          <w:p w14:paraId="35807CCA">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cs="宋体"/>
                <w:b/>
                <w:spacing w:val="-6"/>
                <w:kern w:val="21"/>
                <w:sz w:val="24"/>
                <w:szCs w:val="24"/>
                <w:lang w:val="en-US" w:eastAsia="zh-CN"/>
              </w:rPr>
            </w:pPr>
            <w:r>
              <w:rPr>
                <w:rFonts w:hint="eastAsia" w:ascii="仿宋" w:hAnsi="仿宋" w:eastAsia="仿宋" w:cs="宋体"/>
                <w:b/>
                <w:spacing w:val="-6"/>
                <w:kern w:val="21"/>
                <w:sz w:val="24"/>
                <w:szCs w:val="24"/>
              </w:rPr>
              <w:t>联系电话：</w:t>
            </w:r>
          </w:p>
        </w:tc>
      </w:tr>
      <w:tr w14:paraId="50094C7B">
        <w:tblPrEx>
          <w:tblCellMar>
            <w:top w:w="0" w:type="dxa"/>
            <w:left w:w="108" w:type="dxa"/>
            <w:bottom w:w="0" w:type="dxa"/>
            <w:right w:w="108" w:type="dxa"/>
          </w:tblCellMar>
        </w:tblPrEx>
        <w:trPr>
          <w:trHeight w:val="912" w:hRule="exact"/>
        </w:trPr>
        <w:tc>
          <w:tcPr>
            <w:tcW w:w="4145" w:type="dxa"/>
            <w:vAlign w:val="top"/>
          </w:tcPr>
          <w:p w14:paraId="228A01E6">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地    址：</w:t>
            </w:r>
          </w:p>
        </w:tc>
        <w:tc>
          <w:tcPr>
            <w:tcW w:w="4146" w:type="dxa"/>
            <w:vAlign w:val="top"/>
          </w:tcPr>
          <w:p w14:paraId="45945AB3">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 w:hAnsi="仿宋" w:eastAsia="仿宋" w:cs="宋体"/>
                <w:b/>
                <w:spacing w:val="-6"/>
                <w:kern w:val="21"/>
                <w:sz w:val="24"/>
                <w:szCs w:val="24"/>
                <w:lang w:val="en-US"/>
              </w:rPr>
            </w:pPr>
            <w:r>
              <w:rPr>
                <w:rFonts w:hint="eastAsia" w:ascii="仿宋" w:hAnsi="仿宋" w:eastAsia="仿宋" w:cs="宋体"/>
                <w:b/>
                <w:spacing w:val="-6"/>
                <w:kern w:val="21"/>
                <w:sz w:val="24"/>
                <w:szCs w:val="24"/>
              </w:rPr>
              <w:t>地址：</w:t>
            </w:r>
          </w:p>
        </w:tc>
      </w:tr>
      <w:tr w14:paraId="49649F51">
        <w:tblPrEx>
          <w:tblCellMar>
            <w:top w:w="0" w:type="dxa"/>
            <w:left w:w="108" w:type="dxa"/>
            <w:bottom w:w="0" w:type="dxa"/>
            <w:right w:w="108" w:type="dxa"/>
          </w:tblCellMar>
        </w:tblPrEx>
        <w:trPr>
          <w:trHeight w:val="897" w:hRule="exact"/>
        </w:trPr>
        <w:tc>
          <w:tcPr>
            <w:tcW w:w="4145" w:type="dxa"/>
            <w:vAlign w:val="top"/>
          </w:tcPr>
          <w:p w14:paraId="4032B21A">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开户银行：</w:t>
            </w:r>
          </w:p>
        </w:tc>
        <w:tc>
          <w:tcPr>
            <w:tcW w:w="4146" w:type="dxa"/>
            <w:vAlign w:val="top"/>
          </w:tcPr>
          <w:p w14:paraId="086812A0">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 w:hAnsi="仿宋" w:eastAsia="仿宋" w:cs="宋体"/>
                <w:b/>
                <w:spacing w:val="-6"/>
                <w:kern w:val="21"/>
                <w:sz w:val="24"/>
                <w:szCs w:val="24"/>
                <w:lang w:val="en-US" w:eastAsia="zh-CN"/>
              </w:rPr>
            </w:pPr>
            <w:r>
              <w:rPr>
                <w:rFonts w:hint="eastAsia" w:ascii="仿宋" w:hAnsi="仿宋" w:eastAsia="仿宋" w:cs="宋体"/>
                <w:b/>
                <w:spacing w:val="-6"/>
                <w:kern w:val="21"/>
                <w:sz w:val="24"/>
                <w:szCs w:val="24"/>
              </w:rPr>
              <w:t>开户银行：</w:t>
            </w:r>
          </w:p>
        </w:tc>
      </w:tr>
      <w:tr w14:paraId="19DB3944">
        <w:tblPrEx>
          <w:tblCellMar>
            <w:top w:w="0" w:type="dxa"/>
            <w:left w:w="108" w:type="dxa"/>
            <w:bottom w:w="0" w:type="dxa"/>
            <w:right w:w="108" w:type="dxa"/>
          </w:tblCellMar>
        </w:tblPrEx>
        <w:trPr>
          <w:trHeight w:val="567" w:hRule="exact"/>
        </w:trPr>
        <w:tc>
          <w:tcPr>
            <w:tcW w:w="4145" w:type="dxa"/>
            <w:vAlign w:val="top"/>
          </w:tcPr>
          <w:p w14:paraId="1A04F359">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rPr>
            </w:pPr>
            <w:r>
              <w:rPr>
                <w:rFonts w:hint="eastAsia" w:ascii="仿宋" w:hAnsi="仿宋" w:eastAsia="仿宋" w:cs="宋体"/>
                <w:b/>
                <w:spacing w:val="-6"/>
                <w:kern w:val="21"/>
                <w:sz w:val="24"/>
                <w:szCs w:val="24"/>
              </w:rPr>
              <w:t>帐    号：</w:t>
            </w:r>
          </w:p>
        </w:tc>
        <w:tc>
          <w:tcPr>
            <w:tcW w:w="4146" w:type="dxa"/>
            <w:vAlign w:val="top"/>
          </w:tcPr>
          <w:p w14:paraId="24C1E1CE">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cs="宋体"/>
                <w:b/>
                <w:spacing w:val="-6"/>
                <w:kern w:val="21"/>
                <w:sz w:val="24"/>
                <w:szCs w:val="24"/>
                <w:lang w:val="en-US" w:eastAsia="zh-CN"/>
              </w:rPr>
            </w:pPr>
            <w:r>
              <w:rPr>
                <w:rFonts w:hint="eastAsia" w:ascii="仿宋" w:hAnsi="仿宋" w:eastAsia="仿宋" w:cs="宋体"/>
                <w:b/>
                <w:spacing w:val="-6"/>
                <w:kern w:val="21"/>
                <w:sz w:val="24"/>
                <w:szCs w:val="24"/>
              </w:rPr>
              <w:t>帐    号：</w:t>
            </w:r>
          </w:p>
        </w:tc>
      </w:tr>
      <w:tr w14:paraId="5F714400">
        <w:tblPrEx>
          <w:tblCellMar>
            <w:top w:w="0" w:type="dxa"/>
            <w:left w:w="108" w:type="dxa"/>
            <w:bottom w:w="0" w:type="dxa"/>
            <w:right w:w="108" w:type="dxa"/>
          </w:tblCellMar>
        </w:tblPrEx>
        <w:trPr>
          <w:trHeight w:val="567" w:hRule="exact"/>
        </w:trPr>
        <w:tc>
          <w:tcPr>
            <w:tcW w:w="4145" w:type="dxa"/>
            <w:vAlign w:val="top"/>
          </w:tcPr>
          <w:p w14:paraId="10916160">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highlight w:val="yellow"/>
              </w:rPr>
            </w:pPr>
            <w:r>
              <w:rPr>
                <w:rFonts w:hint="eastAsia" w:ascii="仿宋" w:hAnsi="仿宋" w:eastAsia="仿宋" w:cs="宋体"/>
                <w:b/>
                <w:spacing w:val="-6"/>
                <w:kern w:val="21"/>
                <w:sz w:val="24"/>
                <w:szCs w:val="24"/>
              </w:rPr>
              <w:t xml:space="preserve">签订日期： </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年</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月</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日</w:t>
            </w:r>
          </w:p>
        </w:tc>
        <w:tc>
          <w:tcPr>
            <w:tcW w:w="4146" w:type="dxa"/>
            <w:vAlign w:val="top"/>
          </w:tcPr>
          <w:p w14:paraId="35B5E689">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宋体"/>
                <w:b/>
                <w:spacing w:val="-6"/>
                <w:kern w:val="21"/>
                <w:sz w:val="24"/>
                <w:szCs w:val="24"/>
                <w:highlight w:val="yellow"/>
              </w:rPr>
            </w:pPr>
            <w:r>
              <w:rPr>
                <w:rFonts w:hint="eastAsia" w:ascii="仿宋" w:hAnsi="仿宋" w:eastAsia="仿宋" w:cs="宋体"/>
                <w:b/>
                <w:spacing w:val="-6"/>
                <w:kern w:val="21"/>
                <w:sz w:val="24"/>
                <w:szCs w:val="24"/>
              </w:rPr>
              <w:t>签订日期：</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 xml:space="preserve">年 </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 xml:space="preserve"> 月 </w:t>
            </w:r>
            <w:r>
              <w:rPr>
                <w:rFonts w:hint="eastAsia" w:ascii="仿宋" w:hAnsi="仿宋" w:eastAsia="仿宋" w:cs="宋体"/>
                <w:b/>
                <w:spacing w:val="-6"/>
                <w:kern w:val="21"/>
                <w:sz w:val="24"/>
                <w:szCs w:val="24"/>
                <w:lang w:val="en-US" w:eastAsia="zh-CN"/>
              </w:rPr>
              <w:t xml:space="preserve">  </w:t>
            </w:r>
            <w:r>
              <w:rPr>
                <w:rFonts w:hint="eastAsia" w:ascii="仿宋" w:hAnsi="仿宋" w:eastAsia="仿宋" w:cs="宋体"/>
                <w:b/>
                <w:spacing w:val="-6"/>
                <w:kern w:val="21"/>
                <w:sz w:val="24"/>
                <w:szCs w:val="24"/>
              </w:rPr>
              <w:t>日</w:t>
            </w:r>
          </w:p>
        </w:tc>
      </w:tr>
    </w:tbl>
    <w:p w14:paraId="114EFD50">
      <w:pPr>
        <w:rPr>
          <w:rFonts w:hint="eastAsia" w:ascii="仿宋" w:hAnsi="仿宋" w:eastAsia="仿宋"/>
          <w:sz w:val="32"/>
          <w:szCs w:val="32"/>
          <w:highlight w:val="none"/>
        </w:rPr>
      </w:pPr>
      <w:r>
        <w:rPr>
          <w:rFonts w:hint="eastAsia" w:ascii="仿宋" w:hAnsi="仿宋" w:eastAsia="仿宋"/>
          <w:sz w:val="32"/>
          <w:szCs w:val="32"/>
          <w:highlight w:val="none"/>
        </w:rPr>
        <w:br w:type="page"/>
      </w:r>
    </w:p>
    <w:p w14:paraId="21DF6989">
      <w:pPr>
        <w:pageBreakBefore w:val="0"/>
        <w:kinsoku/>
        <w:wordWrap/>
        <w:overflowPunct/>
        <w:topLinePunct w:val="0"/>
        <w:bidi w:val="0"/>
        <w:snapToGrid/>
        <w:spacing w:line="536" w:lineRule="exact"/>
        <w:ind w:right="181" w:rightChars="86"/>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附件1</w:t>
      </w:r>
    </w:p>
    <w:p w14:paraId="4417FC47">
      <w:pPr>
        <w:pageBreakBefore w:val="0"/>
        <w:widowControl w:val="0"/>
        <w:kinsoku/>
        <w:wordWrap/>
        <w:overflowPunct/>
        <w:topLinePunct w:val="0"/>
        <w:autoSpaceDE/>
        <w:autoSpaceDN/>
        <w:bidi w:val="0"/>
        <w:adjustRightInd/>
        <w:snapToGrid/>
        <w:spacing w:line="470" w:lineRule="exact"/>
        <w:jc w:val="center"/>
        <w:rPr>
          <w:rFonts w:hint="eastAsia" w:ascii="仿宋" w:hAnsi="仿宋" w:eastAsia="仿宋" w:cs="仿宋"/>
          <w:b/>
          <w:sz w:val="40"/>
          <w:szCs w:val="40"/>
        </w:rPr>
      </w:pPr>
      <w:r>
        <w:rPr>
          <w:rFonts w:hint="eastAsia" w:ascii="仿宋" w:hAnsi="仿宋" w:eastAsia="仿宋" w:cs="仿宋"/>
          <w:b/>
          <w:sz w:val="40"/>
          <w:szCs w:val="40"/>
        </w:rPr>
        <w:t>保密协议</w:t>
      </w:r>
    </w:p>
    <w:p w14:paraId="145AB25D">
      <w:pPr>
        <w:pageBreakBefore w:val="0"/>
        <w:widowControl w:val="0"/>
        <w:kinsoku/>
        <w:wordWrap/>
        <w:overflowPunct/>
        <w:topLinePunct w:val="0"/>
        <w:autoSpaceDE/>
        <w:autoSpaceDN/>
        <w:bidi w:val="0"/>
        <w:adjustRightInd/>
        <w:snapToGrid/>
        <w:spacing w:line="470" w:lineRule="exact"/>
        <w:textAlignment w:val="baseline"/>
        <w:rPr>
          <w:rFonts w:hint="eastAsia" w:ascii="宋体" w:hAnsi="宋体"/>
          <w:sz w:val="24"/>
        </w:rPr>
      </w:pPr>
      <w:r>
        <w:rPr>
          <w:rFonts w:hint="eastAsia" w:ascii="宋体" w:hAnsi="宋体"/>
          <w:sz w:val="24"/>
        </w:rPr>
        <w:t xml:space="preserve"> </w:t>
      </w:r>
    </w:p>
    <w:p w14:paraId="50280F84">
      <w:pPr>
        <w:pageBreakBefore w:val="0"/>
        <w:widowControl w:val="0"/>
        <w:kinsoku/>
        <w:wordWrap/>
        <w:overflowPunct/>
        <w:topLinePunct w:val="0"/>
        <w:autoSpaceDE/>
        <w:autoSpaceDN/>
        <w:bidi w:val="0"/>
        <w:adjustRightInd/>
        <w:snapToGrid/>
        <w:spacing w:line="470" w:lineRule="exact"/>
        <w:rPr>
          <w:rFonts w:hint="eastAsia" w:ascii="仿宋" w:hAnsi="仿宋" w:eastAsia="仿宋"/>
          <w:sz w:val="32"/>
          <w:szCs w:val="32"/>
        </w:rPr>
      </w:pPr>
      <w:r>
        <w:rPr>
          <w:rFonts w:hint="eastAsia" w:ascii="仿宋" w:hAnsi="仿宋" w:eastAsia="仿宋"/>
          <w:sz w:val="32"/>
          <w:szCs w:val="32"/>
        </w:rPr>
        <w:t>甲方（委托方）：</w:t>
      </w:r>
      <w:r>
        <w:rPr>
          <w:rFonts w:hint="eastAsia" w:ascii="仿宋" w:hAnsi="仿宋" w:eastAsia="仿宋"/>
          <w:sz w:val="32"/>
          <w:szCs w:val="32"/>
          <w:lang w:val="en-US" w:eastAsia="zh-CN"/>
        </w:rPr>
        <w:t>西安科技大市场服务中心</w:t>
      </w:r>
    </w:p>
    <w:p w14:paraId="52C3EE1F">
      <w:pPr>
        <w:pageBreakBefore w:val="0"/>
        <w:widowControl w:val="0"/>
        <w:kinsoku/>
        <w:wordWrap/>
        <w:overflowPunct/>
        <w:topLinePunct w:val="0"/>
        <w:autoSpaceDE/>
        <w:autoSpaceDN/>
        <w:bidi w:val="0"/>
        <w:adjustRightInd/>
        <w:snapToGrid/>
        <w:spacing w:line="470" w:lineRule="exact"/>
        <w:jc w:val="both"/>
        <w:rPr>
          <w:rFonts w:hint="default" w:ascii="仿宋" w:hAnsi="仿宋" w:eastAsia="仿宋"/>
          <w:sz w:val="32"/>
          <w:szCs w:val="32"/>
          <w:u w:val="single"/>
          <w:lang w:val="en-US" w:eastAsia="zh-CN"/>
        </w:rPr>
      </w:pPr>
      <w:r>
        <w:rPr>
          <w:rFonts w:hint="eastAsia" w:ascii="仿宋" w:hAnsi="仿宋" w:eastAsia="仿宋"/>
          <w:sz w:val="32"/>
          <w:szCs w:val="32"/>
        </w:rPr>
        <w:t>乙方（受托方）：</w:t>
      </w:r>
    </w:p>
    <w:p w14:paraId="256C8C76">
      <w:pPr>
        <w:pageBreakBefore w:val="0"/>
        <w:widowControl w:val="0"/>
        <w:kinsoku/>
        <w:wordWrap/>
        <w:overflowPunct/>
        <w:topLinePunct w:val="0"/>
        <w:autoSpaceDE/>
        <w:autoSpaceDN/>
        <w:bidi w:val="0"/>
        <w:adjustRightInd/>
        <w:snapToGrid/>
        <w:spacing w:line="470" w:lineRule="exact"/>
        <w:ind w:firstLine="640" w:firstLineChars="200"/>
        <w:rPr>
          <w:rFonts w:hint="eastAsia" w:ascii="宋体" w:hAnsi="宋体"/>
          <w:sz w:val="24"/>
        </w:rPr>
      </w:pPr>
      <w:r>
        <w:rPr>
          <w:rFonts w:hint="eastAsia" w:ascii="仿宋" w:hAnsi="仿宋" w:eastAsia="仿宋"/>
          <w:sz w:val="32"/>
          <w:szCs w:val="32"/>
        </w:rPr>
        <w:t>按照甲乙双方约定，乙方向甲方提供</w:t>
      </w:r>
      <w:r>
        <w:rPr>
          <w:rFonts w:hint="eastAsia" w:ascii="仿宋" w:hAnsi="仿宋" w:eastAsia="仿宋"/>
          <w:sz w:val="32"/>
          <w:szCs w:val="32"/>
          <w:lang w:val="en-US" w:eastAsia="zh-CN"/>
        </w:rPr>
        <w:t>网络平台运维</w:t>
      </w:r>
      <w:r>
        <w:rPr>
          <w:rFonts w:hint="eastAsia" w:ascii="仿宋" w:hAnsi="仿宋" w:eastAsia="仿宋"/>
          <w:sz w:val="32"/>
          <w:szCs w:val="32"/>
        </w:rPr>
        <w:t>服务，为确保服务实施过程中涉及的技术信息和技术资料不被泄露，甲乙双方达成如下协议：</w:t>
      </w:r>
    </w:p>
    <w:p w14:paraId="6287ED95">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470" w:lineRule="exact"/>
        <w:ind w:leftChars="0"/>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一、保密信息定义</w:t>
      </w:r>
    </w:p>
    <w:p w14:paraId="57D49CD4">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项目实施过程中涉及的技术信息和技术资料，包括但不限于IP地址规划、网络架构、网络拓扑、软件系统架构、源代码、配置信息、应用系统数据、系统说明书、维护手册，以及项目实施过程中的会议文件，备忘、变更、传真、邮件等相关资料；</w:t>
      </w:r>
    </w:p>
    <w:p w14:paraId="51920C53">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（二）项目实施过程中各有关当事人拥有的商业秘密、敏感信息、知识产权等，已经公开的知识产权信息除外；</w:t>
      </w:r>
    </w:p>
    <w:p w14:paraId="2054BD0C">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（三）项目实施过程中产生的新技术信息和技术资料；</w:t>
      </w:r>
    </w:p>
    <w:p w14:paraId="0E333222">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（四）甲乙双方之间工作往来的人员电话、即时通讯、传真，信函，电子邮件等；</w:t>
      </w:r>
    </w:p>
    <w:p w14:paraId="3705DE72">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（五）经甲乙双方在项目实施过程中确认的需要保密的其他信息。 </w:t>
      </w:r>
    </w:p>
    <w:p w14:paraId="797303DA">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470" w:lineRule="exact"/>
        <w:ind w:left="0"/>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二、甲方责任</w:t>
      </w:r>
    </w:p>
    <w:p w14:paraId="73D9CC35">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（一）甲方给乙方提供技术信息和资料负有保密责任，未经甲方同意不得提供给与任何与项目无关的第三方；</w:t>
      </w:r>
    </w:p>
    <w:p w14:paraId="66900FAE">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（二）对不再需要保密或已经公开的技术信息和资料，甲方应及时通知乙方。</w:t>
      </w:r>
    </w:p>
    <w:p w14:paraId="66E311AA">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470" w:lineRule="exact"/>
        <w:ind w:left="0"/>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三、乙方责任</w:t>
      </w:r>
    </w:p>
    <w:p w14:paraId="5712C734">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（一）乙方应将甲方信息系统涉及的保密信息仅用于服务期限内的网络平台运维工作。 </w:t>
      </w:r>
    </w:p>
    <w:p w14:paraId="319B6EE7">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（二）乙方对从甲方处获得的技术信息和技术资料负有保密责任，未经甲方同意不得提供给任何第三方。</w:t>
      </w:r>
    </w:p>
    <w:p w14:paraId="578B6FE6">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（三）乙方为承担本协议约定的保密责任，应妥善保管有关的文件和资料，未经甲方的书面许可，不对其复制，仿造等；</w:t>
      </w:r>
    </w:p>
    <w:p w14:paraId="47F352B1">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（四）乙方应对有关人员进行有效管理，以确保本协议的履行。在本协议约定的保密期限内，乙方如发现有关保密信息被泄露，应及时通知甲方，并采取积极的措施避免损失的扩大。</w:t>
      </w:r>
    </w:p>
    <w:p w14:paraId="0E3018F8">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（五）乙方在实施相关工作过程中，需要向本项目的有关方面（包括：承担相关工作的其他成员、聘请的专家、政府主管部门）提供保密信息时，必须取得甲方的书面许可，或者由甲方负责提供。</w:t>
      </w:r>
    </w:p>
    <w:p w14:paraId="0834F3CE">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470" w:lineRule="exact"/>
        <w:ind w:left="0" w:leftChars="0"/>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四、违约责任</w:t>
      </w:r>
    </w:p>
    <w:p w14:paraId="7E6AC0BD">
      <w:pPr>
        <w:pStyle w:val="21"/>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470" w:lineRule="exact"/>
        <w:ind w:left="0" w:leftChars="0" w:firstLine="640" w:firstLineChars="2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违反本协议的约定，由违约方承担相应法律责任，并赔偿由此产生的一切损失。双方在履行协议中产生的纠纷，应通过友好协商解决。如协商不成，双方约定的纠纷裁决地点为甲方所在地人民法院。</w:t>
      </w:r>
    </w:p>
    <w:p w14:paraId="504C18D8">
      <w:pPr>
        <w:pStyle w:val="3"/>
        <w:keepNext/>
        <w:keepLines/>
        <w:pageBreakBefore w:val="0"/>
        <w:widowControl w:val="0"/>
        <w:kinsoku/>
        <w:wordWrap/>
        <w:overflowPunct/>
        <w:topLinePunct w:val="0"/>
        <w:autoSpaceDE/>
        <w:autoSpaceDN/>
        <w:bidi w:val="0"/>
        <w:adjustRightInd/>
        <w:snapToGrid/>
        <w:spacing w:before="0" w:beforeLines="0" w:after="0" w:afterLines="0" w:line="470" w:lineRule="exact"/>
        <w:jc w:val="both"/>
        <w:textAlignment w:val="auto"/>
        <w:rPr>
          <w:rFonts w:hint="eastAsia" w:ascii="黑体" w:hAnsi="黑体" w:eastAsia="黑体" w:cs="Times New Roman"/>
          <w:bCs w:val="0"/>
          <w:kern w:val="2"/>
          <w:sz w:val="32"/>
          <w:szCs w:val="32"/>
          <w:lang w:val="en-US" w:eastAsia="zh-CN" w:bidi="ar-SA"/>
        </w:rPr>
      </w:pPr>
      <w:r>
        <w:rPr>
          <w:rFonts w:hint="eastAsia" w:ascii="黑体" w:hAnsi="黑体" w:eastAsia="黑体" w:cs="Times New Roman"/>
          <w:bCs w:val="0"/>
          <w:kern w:val="2"/>
          <w:sz w:val="32"/>
          <w:szCs w:val="32"/>
          <w:lang w:val="en-US" w:eastAsia="zh-CN" w:bidi="ar-SA"/>
        </w:rPr>
        <w:t>五、保密期限</w:t>
      </w:r>
    </w:p>
    <w:p w14:paraId="7804217F">
      <w:pPr>
        <w:pStyle w:val="21"/>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470" w:lineRule="exact"/>
        <w:ind w:left="0" w:leftChars="0" w:firstLine="640" w:firstLineChars="200"/>
        <w:textAlignment w:val="auto"/>
        <w:rPr>
          <w:rFonts w:hint="eastAsia" w:ascii="宋体" w:hAnsi="宋体"/>
        </w:rPr>
      </w:pPr>
      <w:r>
        <w:rPr>
          <w:rFonts w:hint="eastAsia" w:ascii="仿宋" w:hAnsi="仿宋" w:eastAsia="仿宋" w:cs="Times New Roman"/>
          <w:kern w:val="2"/>
          <w:sz w:val="32"/>
          <w:szCs w:val="32"/>
          <w:lang w:val="en-US" w:eastAsia="zh-CN" w:bidi="ar-SA"/>
        </w:rPr>
        <w:t>本协议自盖章（签字）之日或者自双方中的一方取得有关文件、资料之日起，以时间在前的为准。合同终止（无论履约完成或中途终止）后三年内，双方仍有义务继续保守对方的秘密。</w:t>
      </w:r>
    </w:p>
    <w:p w14:paraId="06CD68EA">
      <w:pPr>
        <w:pStyle w:val="22"/>
        <w:pageBreakBefore w:val="0"/>
        <w:kinsoku/>
        <w:wordWrap/>
        <w:overflowPunct/>
        <w:topLinePunct w:val="0"/>
        <w:bidi w:val="0"/>
        <w:snapToGrid/>
        <w:spacing w:line="536" w:lineRule="exact"/>
        <w:rPr>
          <w:rFonts w:hint="eastAsia" w:ascii="宋体" w:hAnsi="宋体"/>
        </w:rPr>
      </w:pPr>
    </w:p>
    <w:tbl>
      <w:tblPr>
        <w:tblStyle w:val="11"/>
        <w:tblW w:w="0" w:type="auto"/>
        <w:tblInd w:w="1"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8" w:type="dxa"/>
          <w:bottom w:w="0" w:type="dxa"/>
          <w:right w:w="108" w:type="dxa"/>
        </w:tblCellMar>
      </w:tblPr>
      <w:tblGrid>
        <w:gridCol w:w="3999"/>
        <w:gridCol w:w="4416"/>
      </w:tblGrid>
      <w:tr w14:paraId="2FDCA64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3999" w:type="dxa"/>
            <w:tcBorders>
              <w:top w:val="single" w:color="FFFFFF" w:sz="4" w:space="0"/>
              <w:left w:val="single" w:color="FFFFFF" w:sz="4" w:space="0"/>
              <w:bottom w:val="single" w:color="FFFFFF" w:sz="4" w:space="0"/>
              <w:right w:val="single" w:color="FFFFFF" w:sz="4" w:space="0"/>
            </w:tcBorders>
            <w:noWrap w:val="0"/>
            <w:vAlign w:val="top"/>
          </w:tcPr>
          <w:p w14:paraId="55A55D55">
            <w:pPr>
              <w:pageBreakBefore w:val="0"/>
              <w:kinsoku/>
              <w:wordWrap/>
              <w:overflowPunct/>
              <w:topLinePunct w:val="0"/>
              <w:bidi w:val="0"/>
              <w:snapToGrid/>
              <w:spacing w:line="536" w:lineRule="exact"/>
              <w:ind w:right="-368" w:rightChars="-175"/>
              <w:textAlignment w:val="baseline"/>
              <w:rPr>
                <w:rFonts w:hint="eastAsia" w:ascii="仿宋" w:hAnsi="仿宋" w:eastAsia="仿宋" w:cs="宋体"/>
                <w:b/>
                <w:spacing w:val="-6"/>
                <w:kern w:val="21"/>
                <w:sz w:val="24"/>
                <w:szCs w:val="24"/>
              </w:rPr>
            </w:pPr>
            <w:r>
              <w:rPr>
                <w:rFonts w:hint="eastAsia" w:ascii="仿宋" w:hAnsi="仿宋" w:eastAsia="仿宋" w:cs="宋体"/>
                <w:b/>
                <w:spacing w:val="-6"/>
                <w:kern w:val="21"/>
                <w:sz w:val="24"/>
                <w:szCs w:val="24"/>
              </w:rPr>
              <w:t>甲方：</w:t>
            </w:r>
          </w:p>
          <w:p w14:paraId="4D9FA501">
            <w:pPr>
              <w:pageBreakBefore w:val="0"/>
              <w:kinsoku/>
              <w:wordWrap/>
              <w:overflowPunct/>
              <w:topLinePunct w:val="0"/>
              <w:bidi w:val="0"/>
              <w:snapToGrid/>
              <w:spacing w:line="536" w:lineRule="exact"/>
              <w:ind w:right="-368" w:rightChars="-175" w:firstLine="458" w:firstLineChars="200"/>
              <w:textAlignment w:val="baseline"/>
              <w:rPr>
                <w:rFonts w:hint="eastAsia" w:ascii="仿宋" w:hAnsi="仿宋" w:eastAsia="仿宋" w:cs="宋体"/>
                <w:b/>
                <w:spacing w:val="-6"/>
                <w:kern w:val="21"/>
                <w:sz w:val="24"/>
                <w:szCs w:val="24"/>
              </w:rPr>
            </w:pPr>
          </w:p>
        </w:tc>
        <w:tc>
          <w:tcPr>
            <w:tcW w:w="4416" w:type="dxa"/>
            <w:tcBorders>
              <w:top w:val="single" w:color="FFFFFF" w:sz="4" w:space="0"/>
              <w:left w:val="nil"/>
              <w:bottom w:val="single" w:color="FFFFFF" w:sz="4" w:space="0"/>
              <w:right w:val="single" w:color="FFFFFF" w:sz="4" w:space="0"/>
            </w:tcBorders>
            <w:noWrap w:val="0"/>
            <w:vAlign w:val="top"/>
          </w:tcPr>
          <w:p w14:paraId="2BBCD74C">
            <w:pPr>
              <w:pageBreakBefore w:val="0"/>
              <w:kinsoku/>
              <w:wordWrap/>
              <w:overflowPunct/>
              <w:topLinePunct w:val="0"/>
              <w:bidi w:val="0"/>
              <w:snapToGrid/>
              <w:spacing w:line="536" w:lineRule="exact"/>
              <w:ind w:right="-368" w:rightChars="-175"/>
              <w:textAlignment w:val="baseline"/>
              <w:rPr>
                <w:rFonts w:hint="default" w:ascii="仿宋" w:hAnsi="仿宋" w:eastAsia="仿宋" w:cs="宋体"/>
                <w:b/>
                <w:spacing w:val="-6"/>
                <w:kern w:val="21"/>
                <w:sz w:val="24"/>
                <w:szCs w:val="24"/>
                <w:lang w:val="en-US" w:eastAsia="zh-CN"/>
              </w:rPr>
            </w:pPr>
            <w:r>
              <w:rPr>
                <w:rFonts w:hint="eastAsia" w:ascii="仿宋" w:hAnsi="仿宋" w:eastAsia="仿宋" w:cs="宋体"/>
                <w:b/>
                <w:spacing w:val="-6"/>
                <w:kern w:val="21"/>
                <w:sz w:val="24"/>
                <w:szCs w:val="24"/>
                <w:lang w:val="en-US" w:eastAsia="zh-CN"/>
              </w:rPr>
              <w:t>乙方：</w:t>
            </w:r>
          </w:p>
          <w:p w14:paraId="792B7145">
            <w:pPr>
              <w:pageBreakBefore w:val="0"/>
              <w:kinsoku/>
              <w:wordWrap/>
              <w:overflowPunct/>
              <w:topLinePunct w:val="0"/>
              <w:bidi w:val="0"/>
              <w:snapToGrid/>
              <w:spacing w:line="536" w:lineRule="exact"/>
              <w:ind w:right="-368" w:rightChars="-175"/>
              <w:textAlignment w:val="baseline"/>
              <w:rPr>
                <w:rFonts w:hint="eastAsia" w:ascii="仿宋" w:hAnsi="仿宋" w:eastAsia="仿宋" w:cs="宋体"/>
                <w:b/>
                <w:spacing w:val="-6"/>
                <w:kern w:val="21"/>
                <w:sz w:val="24"/>
                <w:szCs w:val="24"/>
              </w:rPr>
            </w:pPr>
          </w:p>
        </w:tc>
      </w:tr>
      <w:tr w14:paraId="1BB0CC7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3999" w:type="dxa"/>
            <w:tcBorders>
              <w:top w:val="single" w:color="FFFFFF" w:sz="4" w:space="0"/>
              <w:left w:val="single" w:color="FFFFFF" w:sz="4" w:space="0"/>
              <w:bottom w:val="single" w:color="FFFFFF" w:sz="4" w:space="0"/>
              <w:right w:val="single" w:color="FFFFFF" w:sz="4" w:space="0"/>
            </w:tcBorders>
            <w:noWrap w:val="0"/>
            <w:vAlign w:val="top"/>
          </w:tcPr>
          <w:p w14:paraId="59A4D7F4">
            <w:pPr>
              <w:pageBreakBefore w:val="0"/>
              <w:kinsoku/>
              <w:wordWrap/>
              <w:overflowPunct/>
              <w:topLinePunct w:val="0"/>
              <w:bidi w:val="0"/>
              <w:snapToGrid/>
              <w:spacing w:line="536" w:lineRule="exact"/>
              <w:ind w:right="-368" w:rightChars="-175"/>
              <w:textAlignment w:val="baseline"/>
              <w:rPr>
                <w:rFonts w:ascii="宋体" w:hAnsi="宋体"/>
                <w:color w:val="000000"/>
                <w:sz w:val="24"/>
              </w:rPr>
            </w:pPr>
            <w:r>
              <w:rPr>
                <w:rFonts w:hint="eastAsia" w:ascii="仿宋" w:hAnsi="仿宋" w:eastAsia="仿宋" w:cs="宋体"/>
                <w:b/>
                <w:spacing w:val="-6"/>
                <w:kern w:val="21"/>
                <w:sz w:val="24"/>
                <w:szCs w:val="24"/>
              </w:rPr>
              <w:t>日期：202</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年</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月</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日</w:t>
            </w:r>
          </w:p>
        </w:tc>
        <w:tc>
          <w:tcPr>
            <w:tcW w:w="4416" w:type="dxa"/>
            <w:tcBorders>
              <w:top w:val="single" w:color="FFFFFF" w:sz="4" w:space="0"/>
              <w:left w:val="nil"/>
              <w:bottom w:val="single" w:color="FFFFFF" w:sz="4" w:space="0"/>
              <w:right w:val="single" w:color="FFFFFF" w:sz="4" w:space="0"/>
            </w:tcBorders>
            <w:noWrap w:val="0"/>
            <w:vAlign w:val="top"/>
          </w:tcPr>
          <w:p w14:paraId="6DBC7F2E">
            <w:pPr>
              <w:pageBreakBefore w:val="0"/>
              <w:kinsoku/>
              <w:wordWrap/>
              <w:overflowPunct/>
              <w:topLinePunct w:val="0"/>
              <w:bidi w:val="0"/>
              <w:snapToGrid/>
              <w:spacing w:line="536" w:lineRule="exact"/>
              <w:ind w:right="-368" w:rightChars="-175"/>
              <w:textAlignment w:val="baseline"/>
              <w:rPr>
                <w:rFonts w:hint="eastAsia" w:ascii="仿宋" w:hAnsi="仿宋" w:eastAsia="仿宋" w:cs="宋体"/>
                <w:b/>
                <w:spacing w:val="-6"/>
                <w:kern w:val="21"/>
                <w:sz w:val="24"/>
                <w:szCs w:val="24"/>
              </w:rPr>
            </w:pPr>
            <w:r>
              <w:rPr>
                <w:rFonts w:hint="eastAsia" w:ascii="仿宋" w:hAnsi="仿宋" w:eastAsia="仿宋" w:cs="宋体"/>
                <w:b/>
                <w:spacing w:val="-6"/>
                <w:kern w:val="21"/>
                <w:sz w:val="24"/>
                <w:szCs w:val="24"/>
              </w:rPr>
              <w:t>日期：202</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年</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月</w:t>
            </w:r>
            <w:r>
              <w:rPr>
                <w:rFonts w:hint="default" w:ascii="仿宋" w:hAnsi="仿宋" w:eastAsia="仿宋" w:cs="宋体"/>
                <w:b/>
                <w:spacing w:val="-6"/>
                <w:kern w:val="21"/>
                <w:sz w:val="24"/>
                <w:szCs w:val="24"/>
              </w:rPr>
              <w:t xml:space="preserve">    </w:t>
            </w:r>
            <w:r>
              <w:rPr>
                <w:rFonts w:hint="eastAsia" w:ascii="仿宋" w:hAnsi="仿宋" w:eastAsia="仿宋" w:cs="宋体"/>
                <w:b/>
                <w:spacing w:val="-6"/>
                <w:kern w:val="21"/>
                <w:sz w:val="24"/>
                <w:szCs w:val="24"/>
              </w:rPr>
              <w:t>日</w:t>
            </w:r>
          </w:p>
        </w:tc>
      </w:tr>
    </w:tbl>
    <w:p w14:paraId="1BC7880C">
      <w:pPr>
        <w:pStyle w:val="22"/>
        <w:pageBreakBefore w:val="0"/>
        <w:kinsoku/>
        <w:wordWrap/>
        <w:overflowPunct/>
        <w:topLinePunct w:val="0"/>
        <w:bidi w:val="0"/>
        <w:snapToGrid/>
        <w:spacing w:line="536" w:lineRule="exact"/>
        <w:ind w:firstLine="0" w:firstLineChars="0"/>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C1CAD">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47481957"/>
                            <w:docPartObj>
                              <w:docPartGallery w:val="autotext"/>
                            </w:docPartObj>
                          </w:sdtPr>
                          <w:sdtContent>
                            <w:p w14:paraId="0428C070">
                              <w:pPr>
                                <w:pStyle w:val="9"/>
                                <w:jc w:val="center"/>
                              </w:pPr>
                              <w:r>
                                <w:fldChar w:fldCharType="begin"/>
                              </w:r>
                              <w:r>
                                <w:instrText xml:space="preserve"> PAGE   \* MERGEFORMAT </w:instrText>
                              </w:r>
                              <w:r>
                                <w:fldChar w:fldCharType="separate"/>
                              </w:r>
                              <w:r>
                                <w:rPr>
                                  <w:lang w:val="zh-CN"/>
                                </w:rPr>
                                <w:t>12</w:t>
                              </w:r>
                              <w:r>
                                <w:rPr>
                                  <w:lang w:val="zh-CN"/>
                                </w:rPr>
                                <w:fldChar w:fldCharType="end"/>
                              </w:r>
                            </w:p>
                          </w:sdtContent>
                        </w:sdt>
                        <w:p w14:paraId="34E959E6"/>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sdt>
                    <w:sdtPr>
                      <w:id w:val="147481957"/>
                      <w:docPartObj>
                        <w:docPartGallery w:val="autotext"/>
                      </w:docPartObj>
                    </w:sdtPr>
                    <w:sdtContent>
                      <w:p w14:paraId="0428C070">
                        <w:pPr>
                          <w:pStyle w:val="9"/>
                          <w:jc w:val="center"/>
                        </w:pPr>
                        <w:r>
                          <w:fldChar w:fldCharType="begin"/>
                        </w:r>
                        <w:r>
                          <w:instrText xml:space="preserve"> PAGE   \* MERGEFORMAT </w:instrText>
                        </w:r>
                        <w:r>
                          <w:fldChar w:fldCharType="separate"/>
                        </w:r>
                        <w:r>
                          <w:rPr>
                            <w:lang w:val="zh-CN"/>
                          </w:rPr>
                          <w:t>12</w:t>
                        </w:r>
                        <w:r>
                          <w:rPr>
                            <w:lang w:val="zh-CN"/>
                          </w:rPr>
                          <w:fldChar w:fldCharType="end"/>
                        </w:r>
                      </w:p>
                    </w:sdtContent>
                  </w:sdt>
                  <w:p w14:paraId="34E959E6"/>
                </w:txbxContent>
              </v:textbox>
            </v:shape>
          </w:pict>
        </mc:Fallback>
      </mc:AlternateContent>
    </w:r>
  </w:p>
  <w:p w14:paraId="37FACB9D">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12DB08"/>
    <w:multiLevelType w:val="singleLevel"/>
    <w:tmpl w:val="8812DB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comments"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1NjU3ODcwZmJiZGM5ZjQ3YjJhMzZmZDkxZGQ5ZDYifQ=="/>
  </w:docVars>
  <w:rsids>
    <w:rsidRoot w:val="00464A7B"/>
    <w:rsid w:val="00024FE4"/>
    <w:rsid w:val="0003526C"/>
    <w:rsid w:val="0003739A"/>
    <w:rsid w:val="00054592"/>
    <w:rsid w:val="00062870"/>
    <w:rsid w:val="00062B56"/>
    <w:rsid w:val="00063C27"/>
    <w:rsid w:val="000742A4"/>
    <w:rsid w:val="0009058A"/>
    <w:rsid w:val="00091CB2"/>
    <w:rsid w:val="0009628A"/>
    <w:rsid w:val="000B61F5"/>
    <w:rsid w:val="000C7079"/>
    <w:rsid w:val="000D4F19"/>
    <w:rsid w:val="000E1997"/>
    <w:rsid w:val="00102268"/>
    <w:rsid w:val="0011189D"/>
    <w:rsid w:val="0012123A"/>
    <w:rsid w:val="00144186"/>
    <w:rsid w:val="00192FBA"/>
    <w:rsid w:val="001A2968"/>
    <w:rsid w:val="001B52D0"/>
    <w:rsid w:val="001C335B"/>
    <w:rsid w:val="001C4901"/>
    <w:rsid w:val="001C67BD"/>
    <w:rsid w:val="002169D6"/>
    <w:rsid w:val="00224975"/>
    <w:rsid w:val="00231C4D"/>
    <w:rsid w:val="002409CB"/>
    <w:rsid w:val="00252626"/>
    <w:rsid w:val="00271F58"/>
    <w:rsid w:val="00285A60"/>
    <w:rsid w:val="0029602B"/>
    <w:rsid w:val="002A06CC"/>
    <w:rsid w:val="002C622E"/>
    <w:rsid w:val="002E382E"/>
    <w:rsid w:val="003242E7"/>
    <w:rsid w:val="00341735"/>
    <w:rsid w:val="003442B7"/>
    <w:rsid w:val="00363AB4"/>
    <w:rsid w:val="003D3312"/>
    <w:rsid w:val="00430A0B"/>
    <w:rsid w:val="00455CEE"/>
    <w:rsid w:val="00456EFB"/>
    <w:rsid w:val="00461F75"/>
    <w:rsid w:val="00464A7B"/>
    <w:rsid w:val="00485CED"/>
    <w:rsid w:val="00494E0A"/>
    <w:rsid w:val="004D0D91"/>
    <w:rsid w:val="004D45B6"/>
    <w:rsid w:val="004D4C01"/>
    <w:rsid w:val="00503216"/>
    <w:rsid w:val="00543630"/>
    <w:rsid w:val="00576ED3"/>
    <w:rsid w:val="00586FEC"/>
    <w:rsid w:val="00591038"/>
    <w:rsid w:val="00593266"/>
    <w:rsid w:val="005A3E04"/>
    <w:rsid w:val="005D171B"/>
    <w:rsid w:val="005E0AAA"/>
    <w:rsid w:val="005F6D80"/>
    <w:rsid w:val="00610540"/>
    <w:rsid w:val="0062184E"/>
    <w:rsid w:val="00643A8C"/>
    <w:rsid w:val="006C19DF"/>
    <w:rsid w:val="006C3C41"/>
    <w:rsid w:val="006C5149"/>
    <w:rsid w:val="006E500D"/>
    <w:rsid w:val="00741BE9"/>
    <w:rsid w:val="00752C67"/>
    <w:rsid w:val="00755906"/>
    <w:rsid w:val="00757B4B"/>
    <w:rsid w:val="00766DFB"/>
    <w:rsid w:val="007C443E"/>
    <w:rsid w:val="007C59C2"/>
    <w:rsid w:val="007E21F0"/>
    <w:rsid w:val="007F6A22"/>
    <w:rsid w:val="0080640E"/>
    <w:rsid w:val="008101D7"/>
    <w:rsid w:val="008227DE"/>
    <w:rsid w:val="00836C2E"/>
    <w:rsid w:val="008549DE"/>
    <w:rsid w:val="00862453"/>
    <w:rsid w:val="00866969"/>
    <w:rsid w:val="00885E7B"/>
    <w:rsid w:val="008C3C7C"/>
    <w:rsid w:val="008D1C9B"/>
    <w:rsid w:val="008F309F"/>
    <w:rsid w:val="008F7F41"/>
    <w:rsid w:val="009064FF"/>
    <w:rsid w:val="00906DBB"/>
    <w:rsid w:val="00915EA8"/>
    <w:rsid w:val="00930347"/>
    <w:rsid w:val="00936A0C"/>
    <w:rsid w:val="00942A66"/>
    <w:rsid w:val="00980F39"/>
    <w:rsid w:val="009C7761"/>
    <w:rsid w:val="009F0037"/>
    <w:rsid w:val="009F5B52"/>
    <w:rsid w:val="00A01E7F"/>
    <w:rsid w:val="00A16B2C"/>
    <w:rsid w:val="00A35551"/>
    <w:rsid w:val="00A44757"/>
    <w:rsid w:val="00A518A3"/>
    <w:rsid w:val="00A55639"/>
    <w:rsid w:val="00A55C80"/>
    <w:rsid w:val="00A6086A"/>
    <w:rsid w:val="00A72DA2"/>
    <w:rsid w:val="00A84113"/>
    <w:rsid w:val="00AA791D"/>
    <w:rsid w:val="00AD2C4F"/>
    <w:rsid w:val="00B45F32"/>
    <w:rsid w:val="00B50AA9"/>
    <w:rsid w:val="00B842A7"/>
    <w:rsid w:val="00BB7F2A"/>
    <w:rsid w:val="00BF6725"/>
    <w:rsid w:val="00C120B2"/>
    <w:rsid w:val="00C20A50"/>
    <w:rsid w:val="00C25D75"/>
    <w:rsid w:val="00C26967"/>
    <w:rsid w:val="00C464AC"/>
    <w:rsid w:val="00C80E48"/>
    <w:rsid w:val="00C930CF"/>
    <w:rsid w:val="00C95087"/>
    <w:rsid w:val="00C975D5"/>
    <w:rsid w:val="00CC41EB"/>
    <w:rsid w:val="00CD1108"/>
    <w:rsid w:val="00CD4633"/>
    <w:rsid w:val="00D00F84"/>
    <w:rsid w:val="00D25835"/>
    <w:rsid w:val="00D76DFC"/>
    <w:rsid w:val="00D844A0"/>
    <w:rsid w:val="00DF031A"/>
    <w:rsid w:val="00E05EA1"/>
    <w:rsid w:val="00E206E6"/>
    <w:rsid w:val="00E36757"/>
    <w:rsid w:val="00E37109"/>
    <w:rsid w:val="00E45495"/>
    <w:rsid w:val="00E53E48"/>
    <w:rsid w:val="00E643E8"/>
    <w:rsid w:val="00ED0E80"/>
    <w:rsid w:val="00EF2BEE"/>
    <w:rsid w:val="00F363F1"/>
    <w:rsid w:val="00F36764"/>
    <w:rsid w:val="00F46253"/>
    <w:rsid w:val="00F53B48"/>
    <w:rsid w:val="00F57791"/>
    <w:rsid w:val="00F6235A"/>
    <w:rsid w:val="00F66C05"/>
    <w:rsid w:val="00F82E22"/>
    <w:rsid w:val="00F932EA"/>
    <w:rsid w:val="01011432"/>
    <w:rsid w:val="018620BC"/>
    <w:rsid w:val="01D63646"/>
    <w:rsid w:val="02041E86"/>
    <w:rsid w:val="02093F3D"/>
    <w:rsid w:val="025F28B4"/>
    <w:rsid w:val="02856FA3"/>
    <w:rsid w:val="02AD1871"/>
    <w:rsid w:val="02CB619B"/>
    <w:rsid w:val="03500260"/>
    <w:rsid w:val="03C36E72"/>
    <w:rsid w:val="03FF6280"/>
    <w:rsid w:val="04E2157A"/>
    <w:rsid w:val="058F20C5"/>
    <w:rsid w:val="06287461"/>
    <w:rsid w:val="06532B03"/>
    <w:rsid w:val="06A44D39"/>
    <w:rsid w:val="0768045D"/>
    <w:rsid w:val="077B0190"/>
    <w:rsid w:val="07C63517"/>
    <w:rsid w:val="086F1377"/>
    <w:rsid w:val="08B31D4F"/>
    <w:rsid w:val="08E14130"/>
    <w:rsid w:val="08E50D92"/>
    <w:rsid w:val="09524F20"/>
    <w:rsid w:val="0A432ABB"/>
    <w:rsid w:val="0A7964DD"/>
    <w:rsid w:val="0AEE2A27"/>
    <w:rsid w:val="0B024724"/>
    <w:rsid w:val="0B2C17A1"/>
    <w:rsid w:val="0B416FFB"/>
    <w:rsid w:val="0B707741"/>
    <w:rsid w:val="0C2212C0"/>
    <w:rsid w:val="0C430B50"/>
    <w:rsid w:val="0C931AD8"/>
    <w:rsid w:val="0D7D4536"/>
    <w:rsid w:val="0DB55A7E"/>
    <w:rsid w:val="0E1327A4"/>
    <w:rsid w:val="0E1C3D4F"/>
    <w:rsid w:val="0E3C38B9"/>
    <w:rsid w:val="0E4F08EF"/>
    <w:rsid w:val="0E7110A0"/>
    <w:rsid w:val="0E7B0A75"/>
    <w:rsid w:val="0E8E3161"/>
    <w:rsid w:val="0EB75826"/>
    <w:rsid w:val="0EEE56EB"/>
    <w:rsid w:val="0EF94CF1"/>
    <w:rsid w:val="0F2C6214"/>
    <w:rsid w:val="0F5A666C"/>
    <w:rsid w:val="0F5F12CE"/>
    <w:rsid w:val="0FAD1102"/>
    <w:rsid w:val="0FBF2BE4"/>
    <w:rsid w:val="0FE80C39"/>
    <w:rsid w:val="108005C5"/>
    <w:rsid w:val="114E421F"/>
    <w:rsid w:val="11842227"/>
    <w:rsid w:val="120D2B40"/>
    <w:rsid w:val="128526CB"/>
    <w:rsid w:val="12A52565"/>
    <w:rsid w:val="12DB71B2"/>
    <w:rsid w:val="12F10F28"/>
    <w:rsid w:val="12F17558"/>
    <w:rsid w:val="139A199E"/>
    <w:rsid w:val="13A4281C"/>
    <w:rsid w:val="13C7475D"/>
    <w:rsid w:val="142B6AC2"/>
    <w:rsid w:val="14522278"/>
    <w:rsid w:val="153C7C96"/>
    <w:rsid w:val="155147CA"/>
    <w:rsid w:val="15EA64E1"/>
    <w:rsid w:val="15EF3AF7"/>
    <w:rsid w:val="16B33193"/>
    <w:rsid w:val="16E34270"/>
    <w:rsid w:val="17A34B99"/>
    <w:rsid w:val="17F51899"/>
    <w:rsid w:val="18627605"/>
    <w:rsid w:val="186C731D"/>
    <w:rsid w:val="18A768A2"/>
    <w:rsid w:val="19517ECB"/>
    <w:rsid w:val="199B1FCC"/>
    <w:rsid w:val="19A846E9"/>
    <w:rsid w:val="1B0E4092"/>
    <w:rsid w:val="1B154000"/>
    <w:rsid w:val="1B803B6F"/>
    <w:rsid w:val="1B852F33"/>
    <w:rsid w:val="1B9C64CF"/>
    <w:rsid w:val="1B9F32CE"/>
    <w:rsid w:val="1BD931D0"/>
    <w:rsid w:val="1C760ACE"/>
    <w:rsid w:val="1CA37EA1"/>
    <w:rsid w:val="1D840FC9"/>
    <w:rsid w:val="1E140822"/>
    <w:rsid w:val="1E567F47"/>
    <w:rsid w:val="1FA9750D"/>
    <w:rsid w:val="21D267A7"/>
    <w:rsid w:val="21E8421C"/>
    <w:rsid w:val="22FF7A6F"/>
    <w:rsid w:val="23024E6A"/>
    <w:rsid w:val="243C43AB"/>
    <w:rsid w:val="246A0F18"/>
    <w:rsid w:val="25560DD8"/>
    <w:rsid w:val="25B61F3B"/>
    <w:rsid w:val="25E44CFA"/>
    <w:rsid w:val="264D0AF2"/>
    <w:rsid w:val="268F4C66"/>
    <w:rsid w:val="26B30ACA"/>
    <w:rsid w:val="26D62895"/>
    <w:rsid w:val="273A59F5"/>
    <w:rsid w:val="273E043A"/>
    <w:rsid w:val="27A97FAA"/>
    <w:rsid w:val="27D50D9F"/>
    <w:rsid w:val="28940C5A"/>
    <w:rsid w:val="28F504EF"/>
    <w:rsid w:val="29387837"/>
    <w:rsid w:val="29A54DCE"/>
    <w:rsid w:val="2B354638"/>
    <w:rsid w:val="2BA50A88"/>
    <w:rsid w:val="2BA72A52"/>
    <w:rsid w:val="2BCF1785"/>
    <w:rsid w:val="2BD91045"/>
    <w:rsid w:val="2BE91144"/>
    <w:rsid w:val="2C387B4E"/>
    <w:rsid w:val="2CF843E3"/>
    <w:rsid w:val="2D382F2D"/>
    <w:rsid w:val="2DB256DE"/>
    <w:rsid w:val="2DB87198"/>
    <w:rsid w:val="2E786928"/>
    <w:rsid w:val="2F7075FF"/>
    <w:rsid w:val="2FA44DCF"/>
    <w:rsid w:val="2FC5794B"/>
    <w:rsid w:val="2FE975FE"/>
    <w:rsid w:val="3011493E"/>
    <w:rsid w:val="302428C3"/>
    <w:rsid w:val="308570DA"/>
    <w:rsid w:val="30937A49"/>
    <w:rsid w:val="309F63EE"/>
    <w:rsid w:val="30D50061"/>
    <w:rsid w:val="30F06C49"/>
    <w:rsid w:val="31D65E3F"/>
    <w:rsid w:val="31FC33CC"/>
    <w:rsid w:val="332D1A72"/>
    <w:rsid w:val="33843679"/>
    <w:rsid w:val="33B201E6"/>
    <w:rsid w:val="34272982"/>
    <w:rsid w:val="34565511"/>
    <w:rsid w:val="34AF6494"/>
    <w:rsid w:val="34FC2127"/>
    <w:rsid w:val="353704C9"/>
    <w:rsid w:val="35571219"/>
    <w:rsid w:val="360C2810"/>
    <w:rsid w:val="369E2CA4"/>
    <w:rsid w:val="370C55D2"/>
    <w:rsid w:val="3727713D"/>
    <w:rsid w:val="373E4242"/>
    <w:rsid w:val="38066D52"/>
    <w:rsid w:val="38797524"/>
    <w:rsid w:val="38AF2F46"/>
    <w:rsid w:val="38C033A5"/>
    <w:rsid w:val="38CC1D4A"/>
    <w:rsid w:val="391F5588"/>
    <w:rsid w:val="39BC3B6C"/>
    <w:rsid w:val="39E906DA"/>
    <w:rsid w:val="3A00289B"/>
    <w:rsid w:val="3A1E0383"/>
    <w:rsid w:val="3A1F7E3D"/>
    <w:rsid w:val="3A2B484E"/>
    <w:rsid w:val="3ACC4283"/>
    <w:rsid w:val="3AF37A62"/>
    <w:rsid w:val="3B057795"/>
    <w:rsid w:val="3B3D0CDD"/>
    <w:rsid w:val="3B660EDC"/>
    <w:rsid w:val="3B842468"/>
    <w:rsid w:val="3BAA5C47"/>
    <w:rsid w:val="3BBC1D7C"/>
    <w:rsid w:val="3C067321"/>
    <w:rsid w:val="3C376D27"/>
    <w:rsid w:val="3D424389"/>
    <w:rsid w:val="3D622C7D"/>
    <w:rsid w:val="3DE07723"/>
    <w:rsid w:val="3E3208A1"/>
    <w:rsid w:val="3E7607E5"/>
    <w:rsid w:val="3EE576C2"/>
    <w:rsid w:val="3F1B30E3"/>
    <w:rsid w:val="3F797E8F"/>
    <w:rsid w:val="401D2496"/>
    <w:rsid w:val="412D35A2"/>
    <w:rsid w:val="41B415CD"/>
    <w:rsid w:val="41E76004"/>
    <w:rsid w:val="41EF0857"/>
    <w:rsid w:val="42615727"/>
    <w:rsid w:val="42660B19"/>
    <w:rsid w:val="42BA2C13"/>
    <w:rsid w:val="430C7B9C"/>
    <w:rsid w:val="430D368B"/>
    <w:rsid w:val="43827BD5"/>
    <w:rsid w:val="43EF2D90"/>
    <w:rsid w:val="43F81C45"/>
    <w:rsid w:val="448243F3"/>
    <w:rsid w:val="44E31E0F"/>
    <w:rsid w:val="45235A92"/>
    <w:rsid w:val="453677FF"/>
    <w:rsid w:val="4541586E"/>
    <w:rsid w:val="45F46273"/>
    <w:rsid w:val="46CA3DCA"/>
    <w:rsid w:val="46ED5A14"/>
    <w:rsid w:val="470B563F"/>
    <w:rsid w:val="473236C0"/>
    <w:rsid w:val="473C62ED"/>
    <w:rsid w:val="47AC3472"/>
    <w:rsid w:val="47F866B8"/>
    <w:rsid w:val="47F92430"/>
    <w:rsid w:val="482871E3"/>
    <w:rsid w:val="485B784B"/>
    <w:rsid w:val="485D651B"/>
    <w:rsid w:val="48855A71"/>
    <w:rsid w:val="48AE4C8A"/>
    <w:rsid w:val="49AD34D2"/>
    <w:rsid w:val="4A0E2C84"/>
    <w:rsid w:val="4A407EA2"/>
    <w:rsid w:val="4B6D116B"/>
    <w:rsid w:val="4B920BD1"/>
    <w:rsid w:val="4BD16D6F"/>
    <w:rsid w:val="4BEE392E"/>
    <w:rsid w:val="4C1E7CDB"/>
    <w:rsid w:val="4C261B7E"/>
    <w:rsid w:val="4CC7594E"/>
    <w:rsid w:val="4D044248"/>
    <w:rsid w:val="4D092E25"/>
    <w:rsid w:val="4DA21EBF"/>
    <w:rsid w:val="4DF127BD"/>
    <w:rsid w:val="4DFB4A57"/>
    <w:rsid w:val="4EA604F0"/>
    <w:rsid w:val="4ECA76BB"/>
    <w:rsid w:val="4F5D32A4"/>
    <w:rsid w:val="4F73032A"/>
    <w:rsid w:val="4FFE4A87"/>
    <w:rsid w:val="502618E8"/>
    <w:rsid w:val="503404A9"/>
    <w:rsid w:val="512C5624"/>
    <w:rsid w:val="513E4F39"/>
    <w:rsid w:val="514E0864"/>
    <w:rsid w:val="51701F58"/>
    <w:rsid w:val="51C273F1"/>
    <w:rsid w:val="52846D9A"/>
    <w:rsid w:val="53065453"/>
    <w:rsid w:val="53582700"/>
    <w:rsid w:val="53C32D17"/>
    <w:rsid w:val="54157546"/>
    <w:rsid w:val="541967A4"/>
    <w:rsid w:val="542720D3"/>
    <w:rsid w:val="55524F2D"/>
    <w:rsid w:val="55774994"/>
    <w:rsid w:val="55A36113"/>
    <w:rsid w:val="562543F0"/>
    <w:rsid w:val="56C87B9D"/>
    <w:rsid w:val="56D4639E"/>
    <w:rsid w:val="571D4121"/>
    <w:rsid w:val="57256D9D"/>
    <w:rsid w:val="575907F5"/>
    <w:rsid w:val="57A23F4A"/>
    <w:rsid w:val="57D92624"/>
    <w:rsid w:val="57FF3498"/>
    <w:rsid w:val="582E3A30"/>
    <w:rsid w:val="58AB5080"/>
    <w:rsid w:val="58BB0463"/>
    <w:rsid w:val="595E6CC8"/>
    <w:rsid w:val="59747B49"/>
    <w:rsid w:val="598558D1"/>
    <w:rsid w:val="5B1213E7"/>
    <w:rsid w:val="5B3D70C5"/>
    <w:rsid w:val="5B433016"/>
    <w:rsid w:val="5B5D1941"/>
    <w:rsid w:val="5B615ECA"/>
    <w:rsid w:val="5B865931"/>
    <w:rsid w:val="5BF22FC6"/>
    <w:rsid w:val="5C1C479A"/>
    <w:rsid w:val="5C90132E"/>
    <w:rsid w:val="5DE40144"/>
    <w:rsid w:val="5E7B72A3"/>
    <w:rsid w:val="5E8720EC"/>
    <w:rsid w:val="5E8F2D4E"/>
    <w:rsid w:val="5EA306D2"/>
    <w:rsid w:val="5F261904"/>
    <w:rsid w:val="5F583033"/>
    <w:rsid w:val="5FA770D9"/>
    <w:rsid w:val="5FA840C8"/>
    <w:rsid w:val="5FD51606"/>
    <w:rsid w:val="6017749F"/>
    <w:rsid w:val="60194FC5"/>
    <w:rsid w:val="60C43183"/>
    <w:rsid w:val="60CF38D6"/>
    <w:rsid w:val="61414EC5"/>
    <w:rsid w:val="616D69D4"/>
    <w:rsid w:val="61B431F8"/>
    <w:rsid w:val="62C51434"/>
    <w:rsid w:val="62CB1A6A"/>
    <w:rsid w:val="63870498"/>
    <w:rsid w:val="63F024E1"/>
    <w:rsid w:val="6401649C"/>
    <w:rsid w:val="654B3E73"/>
    <w:rsid w:val="657F3B1C"/>
    <w:rsid w:val="65831215"/>
    <w:rsid w:val="65DA6BE1"/>
    <w:rsid w:val="662E109F"/>
    <w:rsid w:val="662F72F1"/>
    <w:rsid w:val="66363287"/>
    <w:rsid w:val="66867FE3"/>
    <w:rsid w:val="668D2269"/>
    <w:rsid w:val="67144738"/>
    <w:rsid w:val="677D408C"/>
    <w:rsid w:val="6848469A"/>
    <w:rsid w:val="690A5DF3"/>
    <w:rsid w:val="692C5D69"/>
    <w:rsid w:val="694C01BA"/>
    <w:rsid w:val="69522321"/>
    <w:rsid w:val="6A3824EC"/>
    <w:rsid w:val="6B543355"/>
    <w:rsid w:val="6D745F31"/>
    <w:rsid w:val="6D8930ED"/>
    <w:rsid w:val="6E1E424B"/>
    <w:rsid w:val="6E437D5D"/>
    <w:rsid w:val="6E5F44BF"/>
    <w:rsid w:val="6F0D2199"/>
    <w:rsid w:val="6F262A45"/>
    <w:rsid w:val="6F305E87"/>
    <w:rsid w:val="6F410095"/>
    <w:rsid w:val="6F4F630E"/>
    <w:rsid w:val="6FA92636"/>
    <w:rsid w:val="70111815"/>
    <w:rsid w:val="701A2DBF"/>
    <w:rsid w:val="70295AE0"/>
    <w:rsid w:val="70413A40"/>
    <w:rsid w:val="70473489"/>
    <w:rsid w:val="710E5D1A"/>
    <w:rsid w:val="71306613"/>
    <w:rsid w:val="71456753"/>
    <w:rsid w:val="71500A63"/>
    <w:rsid w:val="71E06A73"/>
    <w:rsid w:val="71F31183"/>
    <w:rsid w:val="726245AA"/>
    <w:rsid w:val="72B33057"/>
    <w:rsid w:val="72B666A4"/>
    <w:rsid w:val="739F0CFB"/>
    <w:rsid w:val="73A905BB"/>
    <w:rsid w:val="742A4FF5"/>
    <w:rsid w:val="74337243"/>
    <w:rsid w:val="74406B6D"/>
    <w:rsid w:val="74620891"/>
    <w:rsid w:val="748E7A7C"/>
    <w:rsid w:val="74C9421C"/>
    <w:rsid w:val="74DF5550"/>
    <w:rsid w:val="752F399F"/>
    <w:rsid w:val="757A4300"/>
    <w:rsid w:val="75B275F6"/>
    <w:rsid w:val="75DE488F"/>
    <w:rsid w:val="76045978"/>
    <w:rsid w:val="760A11E0"/>
    <w:rsid w:val="76CA6BC2"/>
    <w:rsid w:val="77672662"/>
    <w:rsid w:val="77F6013F"/>
    <w:rsid w:val="782D15D9"/>
    <w:rsid w:val="785E3A65"/>
    <w:rsid w:val="79222CE5"/>
    <w:rsid w:val="793F3897"/>
    <w:rsid w:val="793F5645"/>
    <w:rsid w:val="79A25548"/>
    <w:rsid w:val="7A2159EF"/>
    <w:rsid w:val="7A5F0950"/>
    <w:rsid w:val="7A7F1A71"/>
    <w:rsid w:val="7A8C2A1A"/>
    <w:rsid w:val="7BB87930"/>
    <w:rsid w:val="7BE10C35"/>
    <w:rsid w:val="7C4A2987"/>
    <w:rsid w:val="7CC10027"/>
    <w:rsid w:val="7CC3658D"/>
    <w:rsid w:val="7CC61BD9"/>
    <w:rsid w:val="7D787377"/>
    <w:rsid w:val="7D850AE8"/>
    <w:rsid w:val="7D8E0949"/>
    <w:rsid w:val="7E0B01EB"/>
    <w:rsid w:val="7E355268"/>
    <w:rsid w:val="7ECB34D7"/>
    <w:rsid w:val="7F475253"/>
    <w:rsid w:val="7F5B5141"/>
    <w:rsid w:val="7FA06711"/>
    <w:rsid w:val="7FF87B12"/>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4"/>
    <w:next w:val="1"/>
    <w:link w:val="18"/>
    <w:qFormat/>
    <w:uiPriority w:val="9"/>
    <w:pPr>
      <w:keepNext/>
      <w:keepLines/>
      <w:spacing w:before="100" w:after="90"/>
      <w:outlineLvl w:val="0"/>
    </w:pPr>
    <w:rPr>
      <w:rFonts w:eastAsia="仿宋"/>
      <w:bCs/>
      <w:kern w:val="44"/>
      <w:sz w:val="36"/>
      <w:szCs w:val="44"/>
    </w:rPr>
  </w:style>
  <w:style w:type="paragraph" w:styleId="5">
    <w:name w:val="heading 2"/>
    <w:basedOn w:val="1"/>
    <w:next w:val="1"/>
    <w:link w:val="19"/>
    <w:unhideWhenUsed/>
    <w:qFormat/>
    <w:uiPriority w:val="9"/>
    <w:pPr>
      <w:keepNext/>
      <w:keepLines/>
      <w:spacing w:before="260" w:after="260" w:line="416" w:lineRule="auto"/>
      <w:outlineLvl w:val="1"/>
    </w:pPr>
    <w:rPr>
      <w:rFonts w:eastAsia="仿宋" w:asciiTheme="majorHAnsi" w:hAnsiTheme="majorHAnsi" w:cstheme="majorBidi"/>
      <w:b/>
      <w:bCs/>
      <w:sz w:val="32"/>
      <w:szCs w:val="32"/>
    </w:rPr>
  </w:style>
  <w:style w:type="paragraph" w:styleId="6">
    <w:name w:val="heading 3"/>
    <w:basedOn w:val="1"/>
    <w:next w:val="1"/>
    <w:link w:val="20"/>
    <w:unhideWhenUsed/>
    <w:qFormat/>
    <w:uiPriority w:val="9"/>
    <w:pPr>
      <w:keepNext/>
      <w:keepLines/>
      <w:spacing w:before="260" w:after="260" w:line="416" w:lineRule="auto"/>
      <w:ind w:left="210" w:leftChars="100" w:right="210" w:rightChars="100"/>
      <w:outlineLvl w:val="2"/>
    </w:pPr>
    <w:rPr>
      <w:rFonts w:eastAsia="仿宋"/>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annotation text"/>
    <w:basedOn w:val="1"/>
    <w:semiHidden/>
    <w:unhideWhenUsed/>
    <w:qFormat/>
    <w:uiPriority w:val="99"/>
    <w:pPr>
      <w:jc w:val="left"/>
    </w:pPr>
  </w:style>
  <w:style w:type="paragraph" w:styleId="8">
    <w:name w:val="Date"/>
    <w:basedOn w:val="1"/>
    <w:next w:val="1"/>
    <w:link w:val="17"/>
    <w:semiHidden/>
    <w:unhideWhenUsed/>
    <w:qFormat/>
    <w:uiPriority w:val="99"/>
    <w:pPr>
      <w:ind w:left="100" w:leftChars="2500"/>
    </w:pPr>
  </w:style>
  <w:style w:type="paragraph" w:styleId="9">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10"/>
    <w:qFormat/>
    <w:uiPriority w:val="99"/>
    <w:rPr>
      <w:sz w:val="18"/>
      <w:szCs w:val="18"/>
    </w:rPr>
  </w:style>
  <w:style w:type="character" w:customStyle="1" w:styleId="15">
    <w:name w:val="页脚 Char"/>
    <w:basedOn w:val="13"/>
    <w:link w:val="9"/>
    <w:qFormat/>
    <w:uiPriority w:val="99"/>
    <w:rPr>
      <w:sz w:val="18"/>
      <w:szCs w:val="18"/>
    </w:rPr>
  </w:style>
  <w:style w:type="paragraph" w:styleId="16">
    <w:name w:val="No Spacing"/>
    <w:qFormat/>
    <w:uiPriority w:val="1"/>
    <w:pPr>
      <w:jc w:val="both"/>
    </w:pPr>
    <w:rPr>
      <w:rFonts w:ascii="Calibri Light" w:hAnsi="Calibri Light" w:eastAsia="华文仿宋" w:cs="Times New Roman"/>
      <w:kern w:val="2"/>
      <w:sz w:val="28"/>
      <w:szCs w:val="28"/>
      <w:lang w:val="en-US" w:eastAsia="zh-CN" w:bidi="ar-SA"/>
    </w:rPr>
  </w:style>
  <w:style w:type="character" w:customStyle="1" w:styleId="17">
    <w:name w:val="日期 Char"/>
    <w:basedOn w:val="13"/>
    <w:link w:val="8"/>
    <w:semiHidden/>
    <w:qFormat/>
    <w:uiPriority w:val="99"/>
    <w:rPr>
      <w:rFonts w:ascii="Times New Roman" w:hAnsi="Times New Roman" w:eastAsia="宋体" w:cs="Times New Roman"/>
      <w:szCs w:val="20"/>
    </w:rPr>
  </w:style>
  <w:style w:type="character" w:customStyle="1" w:styleId="18">
    <w:name w:val="标题 1 Char"/>
    <w:basedOn w:val="13"/>
    <w:link w:val="3"/>
    <w:qFormat/>
    <w:uiPriority w:val="9"/>
    <w:rPr>
      <w:rFonts w:ascii="Times New Roman" w:hAnsi="Times New Roman" w:eastAsia="仿宋" w:cs="Times New Roman"/>
      <w:b/>
      <w:bCs/>
      <w:kern w:val="44"/>
      <w:sz w:val="36"/>
      <w:szCs w:val="44"/>
    </w:rPr>
  </w:style>
  <w:style w:type="character" w:customStyle="1" w:styleId="19">
    <w:name w:val="标题 2 Char"/>
    <w:basedOn w:val="13"/>
    <w:link w:val="5"/>
    <w:qFormat/>
    <w:uiPriority w:val="9"/>
    <w:rPr>
      <w:rFonts w:eastAsia="仿宋" w:asciiTheme="majorHAnsi" w:hAnsiTheme="majorHAnsi" w:cstheme="majorBidi"/>
      <w:b/>
      <w:bCs/>
      <w:sz w:val="32"/>
      <w:szCs w:val="32"/>
    </w:rPr>
  </w:style>
  <w:style w:type="character" w:customStyle="1" w:styleId="20">
    <w:name w:val="标题 3 Char"/>
    <w:basedOn w:val="13"/>
    <w:link w:val="6"/>
    <w:qFormat/>
    <w:uiPriority w:val="9"/>
    <w:rPr>
      <w:rFonts w:ascii="Times New Roman" w:hAnsi="Times New Roman" w:eastAsia="仿宋" w:cs="Times New Roman"/>
      <w:bCs/>
      <w:sz w:val="32"/>
      <w:szCs w:val="32"/>
    </w:rPr>
  </w:style>
  <w:style w:type="paragraph" w:customStyle="1" w:styleId="21">
    <w:name w:val="06-正文 (编号)"/>
    <w:basedOn w:val="22"/>
    <w:qFormat/>
    <w:uiPriority w:val="0"/>
    <w:pPr>
      <w:spacing w:before="100" w:beforeAutospacing="1" w:after="100" w:afterAutospacing="1"/>
      <w:ind w:left="900" w:hanging="420" w:firstLineChars="0"/>
    </w:pPr>
  </w:style>
  <w:style w:type="paragraph" w:customStyle="1" w:styleId="22">
    <w:name w:val="06-正文"/>
    <w:basedOn w:val="1"/>
    <w:qFormat/>
    <w:uiPriority w:val="0"/>
    <w:pPr>
      <w:spacing w:line="360" w:lineRule="auto"/>
      <w:ind w:firstLine="480" w:firstLineChars="200"/>
    </w:pPr>
    <w:rPr>
      <w:rFonts w:ascii="Arial" w:hAnsi="Arial" w:cs="Arial"/>
      <w:sz w:val="24"/>
    </w:rPr>
  </w:style>
  <w:style w:type="paragraph" w:customStyle="1" w:styleId="23">
    <w:name w:val="Default"/>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paragraph" w:customStyle="1" w:styleId="24">
    <w:name w:val="正文文本 31"/>
    <w:basedOn w:val="1"/>
    <w:qFormat/>
    <w:uiPriority w:val="0"/>
    <w:rPr>
      <w:sz w:val="16"/>
      <w:szCs w:val="16"/>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6896</Words>
  <Characters>7253</Characters>
  <Lines>40</Lines>
  <Paragraphs>11</Paragraphs>
  <TotalTime>8</TotalTime>
  <ScaleCrop>false</ScaleCrop>
  <LinksUpToDate>false</LinksUpToDate>
  <CharactersWithSpaces>7357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2022-07-07T06:01:00Z</dcterms:created>
  <dc:creator>Phenix</dc:creator>
  <cp:lastModifiedBy>别回头</cp:lastModifiedBy>
  <cp:lastPrinted>2024-09-10T01:32:00Z</cp:lastPrinted>
  <dcterms:modified xsi:type="dcterms:W3CDTF">2025-09-01T03:17:49Z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4B747CFC4234442F8E75C8ADCF0C89BE_13</vt:lpwstr>
  </property>
  <property fmtid="{D5CDD505-2E9C-101B-9397-08002B2CF9AE}" pid="4" name="KSOTemplateDocerSaveRecord">
    <vt:lpwstr>eyJoZGlkIjoiNzA3MDQ2NTcyOTc5ZDUxMWFjYWVkNjE4MzRhNzU3OTgiLCJ1c2VySWQiOiI0NDY2MDA1NDYifQ==</vt:lpwstr>
  </property>
</Properties>
</file>