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版本号：JHZY-ZB-2025-00920250829001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S107环山旅游公路周鄠界至马召段改造提升工程团标养护工区施工监理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JHZY-ZB-2025-009</w:t>
      </w:r>
      <w:r>
        <w:br/>
      </w:r>
      <w:r>
        <w:br/>
      </w:r>
      <w:r>
        <w:br/>
      </w:r>
    </w:p>
    <w:p>
      <w:pPr>
        <w:pStyle w:val="null3"/>
        <w:jc w:val="center"/>
        <w:outlineLvl w:val="2"/>
      </w:pPr>
      <w:r>
        <w:rPr>
          <w:rFonts w:ascii="仿宋_GB2312" w:hAnsi="仿宋_GB2312" w:cs="仿宋_GB2312" w:eastAsia="仿宋_GB2312"/>
          <w:sz w:val="28"/>
          <w:b/>
        </w:rPr>
        <w:t>西安市公路工程管理处</w:t>
      </w:r>
    </w:p>
    <w:p>
      <w:pPr>
        <w:pStyle w:val="null3"/>
        <w:jc w:val="center"/>
        <w:outlineLvl w:val="2"/>
      </w:pPr>
      <w:r>
        <w:rPr>
          <w:rFonts w:ascii="仿宋_GB2312" w:hAnsi="仿宋_GB2312" w:cs="仿宋_GB2312" w:eastAsia="仿宋_GB2312"/>
          <w:sz w:val="28"/>
          <w:b/>
        </w:rPr>
        <w:t>陕西泾河泽悦项目管理有限公司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陕西泾河泽悦项目管理有限公司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S107环山旅游公路周鄠界至马召段改造提升工程团标养护工区施工监理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JHZY-ZB-2025-009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S107环山旅游公路周鄠界至马召段改造提升工程团标养护工区施工监理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S107环山旅游公路周鄠界至马召段改造提升工程团标养护工区是原团标公路收费站，位于S107环山旅游公路周至段K189+270处，占地面积10666 平方米、房屋建筑面积2663 平方米，主要工程内容包括：新建养护机械设备大棚，改建应急物资库，改造养护工区房屋等。本项目服务内容为按照国家、行业标准、规范、规程的规定开展施工准备阶段、施工阶段、验收与缺陷责任期阶段的监理工作，对S107环山旅游公路周鄠界至马召段改造提升工程团标养护工区施工进行全过程监理、监督，确保工程进度及质量，协助完成项目验收等工作。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采购包1（S107环山旅游公路周鄠界至马召段改造提升工程团标养护工区施工监理）：属于专门面向中小企业采购。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5、履行本合同的设备和能力的说明及承诺：提供具有履行本合同所必需的设备和专业技术能力的说明及承诺；</w:t>
      </w:r>
    </w:p>
    <w:p>
      <w:pPr>
        <w:pStyle w:val="null3"/>
      </w:pPr>
      <w:r>
        <w:rPr>
          <w:rFonts w:ascii="仿宋_GB2312" w:hAnsi="仿宋_GB2312" w:cs="仿宋_GB2312" w:eastAsia="仿宋_GB2312"/>
        </w:rPr>
        <w:t>6、前三年内无重大违法记录的书面声明：提供参加政府采购活动前三年内在经营活动中没有重大违法记录的书面声明；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资格审查证明文件格式）；</w:t>
      </w:r>
    </w:p>
    <w:p>
      <w:pPr>
        <w:pStyle w:val="null3"/>
      </w:pPr>
      <w:r>
        <w:rPr>
          <w:rFonts w:ascii="仿宋_GB2312" w:hAnsi="仿宋_GB2312" w:cs="仿宋_GB2312" w:eastAsia="仿宋_GB2312"/>
        </w:rPr>
        <w:t>8、资质证书：供应商具备建设行政主管部门核发的房屋建筑工程监理乙级及以上资质；</w:t>
      </w:r>
    </w:p>
    <w:p>
      <w:pPr>
        <w:pStyle w:val="null3"/>
      </w:pPr>
      <w:r>
        <w:rPr>
          <w:rFonts w:ascii="仿宋_GB2312" w:hAnsi="仿宋_GB2312" w:cs="仿宋_GB2312" w:eastAsia="仿宋_GB2312"/>
        </w:rPr>
        <w:t>9、拟派项目总监理工程师：拟派项目总监理工程师须具备国家注册监理工程师执业资格（房屋建筑工程专业），在本单位注册；</w:t>
      </w:r>
    </w:p>
    <w:p>
      <w:pPr>
        <w:pStyle w:val="null3"/>
      </w:pPr>
      <w:r>
        <w:rPr>
          <w:rFonts w:ascii="仿宋_GB2312" w:hAnsi="仿宋_GB2312" w:cs="仿宋_GB2312" w:eastAsia="仿宋_GB2312"/>
        </w:rPr>
        <w:t>10、信用查询：不得为“信用中国”网站列入“失信被执行人、重大税收违法失信主体、政府采购严重违法失信行为记录名单”的供应商；不得为中国政府采购网“政府采购严重违法失信行为记录名单”中的供应商；</w:t>
      </w:r>
    </w:p>
    <w:p>
      <w:pPr>
        <w:pStyle w:val="null3"/>
      </w:pPr>
      <w:r>
        <w:rPr>
          <w:rFonts w:ascii="仿宋_GB2312" w:hAnsi="仿宋_GB2312" w:cs="仿宋_GB2312" w:eastAsia="仿宋_GB2312"/>
        </w:rPr>
        <w:t>11、控股关系查询或声明：单位负责人为同一人或者存在直接控股、管理关系的不同供应商，不得参加同一合同项下的政府采购活动。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西安市含光南路218号交通信息大厦9楼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陕西泾河泽悦项目管理有限公司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陕西省西安市未央区北二环华帝金座A座903室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029-68656808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说明：履约保函应由地市级及以上国有或股份制商业银行的分行或市级以上国有控股融资性担保公司（注册资本不低于10亿，成立不少于10年以上）开具；采用现金担保时，应由投标人的基本账户汇出。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代理服务费收费标准：1.成交供应商在领取成交通知书时，向陕西泾河泽悦项目管理有限公司交纳招标代理服务费。代理服务费为定额6000.00元（陆仟元整） 2.招标代理服务费应采用转账、刷卡、现金形式缴纳。 汇款账户：⑴开户行名称：陕西泾河泽悦项目管理有限公司 ⑵开户行：中国建设银行股份有限公司泾阳县中心街支行 ⑶账 号：6105 0163 7355 0911 1111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陕西泾河泽悦项目管理有限公司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陕西泾河泽悦项目管理有限公司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陕西泾河泽悦项目管理有限公司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按照国家规定及行业标准进行验收。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联系电话：029-68656808</w:t>
      </w:r>
    </w:p>
    <w:p>
      <w:pPr>
        <w:pStyle w:val="null3"/>
      </w:pPr>
      <w:r>
        <w:rPr>
          <w:rFonts w:ascii="仿宋_GB2312" w:hAnsi="仿宋_GB2312" w:cs="仿宋_GB2312" w:eastAsia="仿宋_GB2312"/>
        </w:rPr>
        <w:t>地址：陕西省西安市未央区北二环华帝金座A座903室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S107环山旅游公路周鄠界至马召段改造提升工程团标养护工区是原团标公路收费站，位于S107环山旅游公路周至段K189+270处，占地面积10666 平方米、房屋建筑面积2663 平方米，主要工程内容包括：新建养护机械设备大棚，改建应急物资库，改造养护工区房屋等。本项目服务内容为按照国家、行业标准、规范、规程的规定开展施工准备阶段、施工阶段、验收与缺陷责任期阶段的监理工作，对S107环山旅游公路周鄠界至马召段改造提升工程团标养护工区施工进行全过程监理、监督，确保工程进度及质量，协助完成项目验收等工作。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S107环山旅游公路周鄠界至马召段改造提升工程团标养护工区施工监理招标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标的名称：S107环山旅游公路周鄠界至马召段改造提升工程团标养护工区施工监理招标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一、监理服务范围</w:t>
            </w:r>
          </w:p>
          <w:p>
            <w:pPr>
              <w:pStyle w:val="null3"/>
            </w:pPr>
            <w:r>
              <w:rPr>
                <w:rFonts w:ascii="仿宋_GB2312" w:hAnsi="仿宋_GB2312" w:cs="仿宋_GB2312" w:eastAsia="仿宋_GB2312"/>
              </w:rPr>
              <w:t>1.1 工程名称：S107环山旅游公路周鄠界至马召段改造提升工程团标养护工区。</w:t>
            </w:r>
          </w:p>
          <w:p>
            <w:pPr>
              <w:pStyle w:val="null3"/>
            </w:pPr>
            <w:r>
              <w:rPr>
                <w:rFonts w:ascii="仿宋_GB2312" w:hAnsi="仿宋_GB2312" w:cs="仿宋_GB2312" w:eastAsia="仿宋_GB2312"/>
              </w:rPr>
              <w:t>1.2 工程地点：位于周至县。</w:t>
            </w:r>
          </w:p>
          <w:p>
            <w:pPr>
              <w:pStyle w:val="null3"/>
            </w:pPr>
            <w:r>
              <w:rPr>
                <w:rFonts w:ascii="仿宋_GB2312" w:hAnsi="仿宋_GB2312" w:cs="仿宋_GB2312" w:eastAsia="仿宋_GB2312"/>
              </w:rPr>
              <w:t>1.3工程概况：S107环山旅游公路周鄠界至马召段改造提升工程团标养护工区是原团标公路收费站，位于S107环山旅游公路周至段K189+270处，占地面积10666 平方米、房屋建筑面积2663 平方米，主要工程内容包括：新建养护机械设备大棚，改建应急物资库，改造养护工区房屋等。</w:t>
            </w:r>
          </w:p>
          <w:p>
            <w:pPr>
              <w:pStyle w:val="null3"/>
            </w:pPr>
            <w:r>
              <w:rPr>
                <w:rFonts w:ascii="仿宋_GB2312" w:hAnsi="仿宋_GB2312" w:cs="仿宋_GB2312" w:eastAsia="仿宋_GB2312"/>
              </w:rPr>
              <w:t>1.4监理服务期</w:t>
            </w:r>
          </w:p>
          <w:p>
            <w:pPr>
              <w:pStyle w:val="null3"/>
            </w:pPr>
            <w:r>
              <w:rPr>
                <w:rFonts w:ascii="仿宋_GB2312" w:hAnsi="仿宋_GB2312" w:cs="仿宋_GB2312" w:eastAsia="仿宋_GB2312"/>
              </w:rPr>
              <w:t>监理服务期限共17个月，其中：施工阶段（含施工准备阶段）监理服务期5个月，缺陷责任期阶段监理服务期12个月。</w:t>
            </w:r>
          </w:p>
          <w:p>
            <w:pPr>
              <w:pStyle w:val="null3"/>
            </w:pPr>
            <w:r>
              <w:rPr>
                <w:rFonts w:ascii="仿宋_GB2312" w:hAnsi="仿宋_GB2312" w:cs="仿宋_GB2312" w:eastAsia="仿宋_GB2312"/>
              </w:rPr>
              <w:t>二、监理要求</w:t>
            </w:r>
          </w:p>
          <w:p>
            <w:pPr>
              <w:pStyle w:val="null3"/>
            </w:pPr>
            <w:r>
              <w:rPr>
                <w:rFonts w:ascii="仿宋_GB2312" w:hAnsi="仿宋_GB2312" w:cs="仿宋_GB2312" w:eastAsia="仿宋_GB2312"/>
              </w:rPr>
              <w:t>2.1 监理工作范围：负责本项目施工监理工作。</w:t>
            </w:r>
          </w:p>
          <w:p>
            <w:pPr>
              <w:pStyle w:val="null3"/>
            </w:pPr>
            <w:r>
              <w:rPr>
                <w:rFonts w:ascii="仿宋_GB2312" w:hAnsi="仿宋_GB2312" w:cs="仿宋_GB2312" w:eastAsia="仿宋_GB2312"/>
              </w:rPr>
              <w:t>2.1.1 阶段范围包括：施工准备阶段、施工阶段、验收与缺陷责任期阶段。</w:t>
            </w:r>
          </w:p>
          <w:p>
            <w:pPr>
              <w:pStyle w:val="null3"/>
            </w:pPr>
            <w:r>
              <w:rPr>
                <w:rFonts w:ascii="仿宋_GB2312" w:hAnsi="仿宋_GB2312" w:cs="仿宋_GB2312" w:eastAsia="仿宋_GB2312"/>
              </w:rPr>
              <w:t>2.1.2 工作范围包括：供应商对施工标段从工程质量、工程投资、工程进度、合同管理、“五化”管理、档案管理、安全管理、施工环境保护等方面负全部监理责任。</w:t>
            </w:r>
          </w:p>
          <w:p>
            <w:pPr>
              <w:pStyle w:val="null3"/>
            </w:pPr>
            <w:r>
              <w:rPr>
                <w:rFonts w:ascii="仿宋_GB2312" w:hAnsi="仿宋_GB2312" w:cs="仿宋_GB2312" w:eastAsia="仿宋_GB2312"/>
              </w:rPr>
              <w:t>2.2 监理内容：</w:t>
            </w:r>
          </w:p>
          <w:p>
            <w:pPr>
              <w:pStyle w:val="null3"/>
            </w:pPr>
            <w:r>
              <w:rPr>
                <w:rFonts w:ascii="仿宋_GB2312" w:hAnsi="仿宋_GB2312" w:cs="仿宋_GB2312" w:eastAsia="仿宋_GB2312"/>
              </w:rPr>
              <w:t>2.2.1 主持编制监理计划及作业指导书提供本监理人相关资料；根据监理计划主持编制监理实施细则；执行采购人颁发的各项制度、办法、规程、表格及采购人各项指示，落实各项具体措施，实施各项监理工作，达到监理工作要求。</w:t>
            </w:r>
          </w:p>
          <w:p>
            <w:pPr>
              <w:pStyle w:val="null3"/>
            </w:pPr>
            <w:r>
              <w:rPr>
                <w:rFonts w:ascii="仿宋_GB2312" w:hAnsi="仿宋_GB2312" w:cs="仿宋_GB2312" w:eastAsia="仿宋_GB2312"/>
              </w:rPr>
              <w:t>2.2.2 参加设计交底工作，按有关要求开展施工图设计核查工作，现场核对合同图纸（包括变更设计图纸）中的差、错、漏、重问题及时汇总上报采购人。</w:t>
            </w:r>
          </w:p>
          <w:p>
            <w:pPr>
              <w:pStyle w:val="null3"/>
            </w:pPr>
            <w:r>
              <w:rPr>
                <w:rFonts w:ascii="仿宋_GB2312" w:hAnsi="仿宋_GB2312" w:cs="仿宋_GB2312" w:eastAsia="仿宋_GB2312"/>
              </w:rPr>
              <w:t>2.2.3 审核承包人的标段总体进度计划、年度进度计划、月度进度计划以及施工中进行的调整计划；监督并记录进度计划的实施，统计并报告进度计划执行情况。</w:t>
            </w:r>
          </w:p>
          <w:p>
            <w:pPr>
              <w:pStyle w:val="null3"/>
            </w:pPr>
            <w:r>
              <w:rPr>
                <w:rFonts w:ascii="仿宋_GB2312" w:hAnsi="仿宋_GB2312" w:cs="仿宋_GB2312" w:eastAsia="仿宋_GB2312"/>
              </w:rPr>
              <w:t>2.2.4 审查承包人对工程量清单的复核结果并上报采购人。对已完工程按照合同约定的方法进行计量，审查承包人中期支付申请报表及相应的支持性证明文件报采购人审核。</w:t>
            </w:r>
          </w:p>
          <w:p>
            <w:pPr>
              <w:pStyle w:val="null3"/>
            </w:pPr>
            <w:r>
              <w:rPr>
                <w:rFonts w:ascii="仿宋_GB2312" w:hAnsi="仿宋_GB2312" w:cs="仿宋_GB2312" w:eastAsia="仿宋_GB2312"/>
              </w:rPr>
              <w:t>2.2.5 监督承包人的现场取样及各项室内试验，审查承包人重要原材料、混合料配合比标准试验的试验结果。指导承包人的工地试验室建设。按不低于承包人自检频率的20%标准进行独立抽样试验，指令清除不合格材料，并在承包人自检记录上签署意见。按有关要求对建筑垃圾材料（或构件）进行抽检，严格控制材料（或构件）质量。</w:t>
            </w:r>
          </w:p>
          <w:p>
            <w:pPr>
              <w:pStyle w:val="null3"/>
            </w:pPr>
            <w:r>
              <w:rPr>
                <w:rFonts w:ascii="仿宋_GB2312" w:hAnsi="仿宋_GB2312" w:cs="仿宋_GB2312" w:eastAsia="仿宋_GB2312"/>
              </w:rPr>
              <w:t>2.2.6 审查承包人机械进场计划及进场机械设备；指令更换不合格的机械设备并上报采购人。</w:t>
            </w:r>
          </w:p>
          <w:p>
            <w:pPr>
              <w:pStyle w:val="null3"/>
            </w:pPr>
            <w:r>
              <w:rPr>
                <w:rFonts w:ascii="仿宋_GB2312" w:hAnsi="仿宋_GB2312" w:cs="仿宋_GB2312" w:eastAsia="仿宋_GB2312"/>
              </w:rPr>
              <w:t>2.2.7 按有关规定和要求对工程进行巡视、旁站和见证，并做好记录，对工序进行签认，做好监理日记记录和监理内业资料的填写，监理日志和内业资料作为永久资料存档。指令对违反安全、环保要求及不合格的工序整改、停工、返工，对重要返工或质量问题的处理结果向采购人报备。</w:t>
            </w:r>
          </w:p>
          <w:p>
            <w:pPr>
              <w:pStyle w:val="null3"/>
            </w:pPr>
            <w:r>
              <w:rPr>
                <w:rFonts w:ascii="仿宋_GB2312" w:hAnsi="仿宋_GB2312" w:cs="仿宋_GB2312" w:eastAsia="仿宋_GB2312"/>
              </w:rPr>
              <w:t>2.2.8 对发生的质量缺陷、质量隐患和质量问题进行调查、处理，对不属于监理人处理权限的质量事故报采购人处理；对较大、重大或特殊质量事故及安全事故立即通知采购人，并督促承包人按国家有关程序和规定，及时如实地向有关部门报告事故发生的情况，以及正采取的紧急措施。</w:t>
            </w:r>
          </w:p>
          <w:p>
            <w:pPr>
              <w:pStyle w:val="null3"/>
            </w:pPr>
            <w:r>
              <w:rPr>
                <w:rFonts w:ascii="仿宋_GB2312" w:hAnsi="仿宋_GB2312" w:cs="仿宋_GB2312" w:eastAsia="仿宋_GB2312"/>
              </w:rPr>
              <w:t>2.2.9 审查承包人的主要专业技术人员资质、质量自检体系、质量保证措施；报请采购人建议更换不称职的施工管理人员。检查各施工合同段对试验标准和规程的执行情况。</w:t>
            </w:r>
          </w:p>
          <w:p>
            <w:pPr>
              <w:pStyle w:val="null3"/>
            </w:pPr>
            <w:r>
              <w:rPr>
                <w:rFonts w:ascii="仿宋_GB2312" w:hAnsi="仿宋_GB2312" w:cs="仿宋_GB2312" w:eastAsia="仿宋_GB2312"/>
              </w:rPr>
              <w:t>2.2.10 按照采购人制定的合同审查、设计变更、索赔处理相关管理办法，履行合同审查、变更审查、索赔签认及处理相关责任，并按要求将相关资料上报采购人。</w:t>
            </w:r>
          </w:p>
          <w:p>
            <w:pPr>
              <w:pStyle w:val="null3"/>
            </w:pPr>
            <w:r>
              <w:rPr>
                <w:rFonts w:ascii="仿宋_GB2312" w:hAnsi="仿宋_GB2312" w:cs="仿宋_GB2312" w:eastAsia="仿宋_GB2312"/>
              </w:rPr>
              <w:t>三、监理服务目标</w:t>
            </w:r>
          </w:p>
          <w:p>
            <w:pPr>
              <w:pStyle w:val="null3"/>
            </w:pPr>
            <w:r>
              <w:rPr>
                <w:rFonts w:ascii="仿宋_GB2312" w:hAnsi="仿宋_GB2312" w:cs="仿宋_GB2312" w:eastAsia="仿宋_GB2312"/>
              </w:rPr>
              <w:t>对工程建设项目进行有效的投资控制、质量控制、进度控制、施工安全管理、合同管理、信息管理和组织协调工作，全面维护采购人所委托的项目合法权益，使工程项目的修建全部符合施工承包合同要求。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双方均有义务对属于对方的技术和经济秘密进行保护，未经同意不得将对方的资料、成果用于本项目以外的项目。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监理服务期限共17个月，其中：施工阶段（含施工准备阶段）监理服务期5个月，缺陷责任期阶段监理服务期12个月。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按照国家规定及行业标准进行验收。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本合同签订生效后甲方向乙方支付预付款，预付款作为合同支付价款的一部分，不再扣回</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乙方依据甲方同意的进场人员批复文件，编制月计量支付证书（含招标代理费），甲方支付施工阶段监理服务费，竣（交）工验收后，据实支付剩余监理服务费；②缺陷责任期阶段费用，缺陷责任期满后一次性支付；利润在竣（交）工验收完成后一次性支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1.1总监理工程师、试验监理工程师无特殊情况，每月坚守工地时间少于26天，缺勤按1000元/天·人的标准向采购人支付违约金。 1.2 确因工作、身体等原因需要更换人员必须向采购人书面报告，经审核批准后方可更换。新进人员资质不得低于投标书中原报人员的资质，更换总监理工程师，供应商应按2万元/人·次的标准向采购人支付违约金；更换专业监理工程师，供应商应按1万元/人·次的标准向采购人支付违约金。若更换人员超过50%，采购人将清退供应商，同时采购人还将有关情况以不良业绩上报上级交通主管部门。 1.3供应商要制定严格的工作制度。监理人员不得以任何理由向承包人介绍分包单位的材料、设备采购，不得以监理职权向承包人索取任何合同规定以外的生活待遇和经济利益，不得与施工合同任何一方串通，损害另一方的利益。否则采购人将根据情节对供应商予以通报或终止合同。若因监理人员不负责放弃监督、失职渎职，使工程出现质量事故并造成一定经济损失，供应商应向采购人赔偿，同时采购人将根据权限上报有关部门追究相应责任人的责任。 1.4 对执行采购人的工作指令不力、工作责任心不强、关键工序未能坚持全过程旁站、职业道德差而造成严重影响的人员，采购人有权作出其职权范围内的任何处理，供应商必须服从。同时，供应商应按1000～5000元/人·次的标准向采购人支付违约金。 1.5 如因采购人未能按时向供应商提供资料、合同费用等原因，造成供应商工作延期，责任由采购人承担并尽快向供应商提供所需资料及合同费用等。 1.6采购人按合同约定向供应商支付预付款后，若合同正常履行，预付款视为合同价款的一部分，不予扣回；若供应商不能按期提交工作成果且因供应商原因导致工作无法继续推进的情况下，供应商应无条件退还全部预付款。 1.7供应商提供监理服务期间，若发生安全责任事故，导致任何一方遭受人身伤害或财产损失的，由供应商承担全部责任及费用，导致采购人承担的，采购人有权向供应商追偿。 2.解决争议的方法：因履行本合同发生争议，由合同双方协商解决，协商不成的，提交西安仲裁委员会仲裁。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 2.成交人在领取成交通知书时提供一正两副纸质竞争性磋商响应文件，纸质竞争性磋商响应文件采用书籍（胶装）方式装订成册，与电子竞争性磋商响应文件一致的签字、盖章的完整版本。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资格审查证明文件（格式）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资格审查证明文件（格式）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资格审查证明文件（格式）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属于专门面向中小企业采购。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履行本合同的设备和能力的说明及承诺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资格审查证明文件格式）；</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供应商具备建设行政主管部门核发的房屋建筑工程监理乙级及以上资质；</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拟派项目总监理工程师</w:t>
            </w:r>
          </w:p>
        </w:tc>
        <w:tc>
          <w:tcPr>
            <w:tcW w:type="dxa" w:w="3322"/>
          </w:tcPr>
          <w:p>
            <w:pPr>
              <w:pStyle w:val="null3"/>
            </w:pPr>
            <w:r>
              <w:rPr>
                <w:rFonts w:ascii="仿宋_GB2312" w:hAnsi="仿宋_GB2312" w:cs="仿宋_GB2312" w:eastAsia="仿宋_GB2312"/>
              </w:rPr>
              <w:t>拟派项目总监理工程师须具备国家注册监理工程师执业资格（房屋建筑工程专业），在本单位注册；</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不得为“信用中国”网站列入“失信被执行人、重大税收违法失信主体、政府采购严重违法失信行为记录名单”的供应商；不得为中国政府采购网“政府采购严重违法失信行为记录名单”中的供应商；</w:t>
            </w:r>
          </w:p>
        </w:tc>
        <w:tc>
          <w:tcPr>
            <w:tcW w:type="dxa" w:w="1661"/>
          </w:tcPr>
          <w:p>
            <w:pPr>
              <w:pStyle w:val="null3"/>
            </w:pPr>
            <w:r>
              <w:rPr>
                <w:rFonts w:ascii="仿宋_GB2312" w:hAnsi="仿宋_GB2312" w:cs="仿宋_GB2312" w:eastAsia="仿宋_GB2312"/>
              </w:rPr>
              <w:t>资格审查证明文件（格式）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资格审查证明文件（格式）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除明确允许供应商可以自行编写的外，磋商响应文件应按照磋商文件给定的格式编制。</w:t>
            </w:r>
          </w:p>
        </w:tc>
        <w:tc>
          <w:tcPr>
            <w:tcW w:type="dxa" w:w="1661"/>
          </w:tcPr>
          <w:p>
            <w:pPr>
              <w:pStyle w:val="null3"/>
            </w:pPr>
            <w:r>
              <w:rPr>
                <w:rFonts w:ascii="仿宋_GB2312" w:hAnsi="仿宋_GB2312" w:cs="仿宋_GB2312" w:eastAsia="仿宋_GB2312"/>
              </w:rPr>
              <w:t>服务条款响应偏离表（格式） 承诺书（格式） 《拒绝政府采购领域商业贿赂承诺书》（格式） 商务条款响应偏离表（格式） 资格审查证明文件（格式） 《供应商参与政府采购活动的承诺函》（格式） 监理服务费用清单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磋商响应文件应按照磋商文件的要求盖章签字。</w:t>
            </w:r>
          </w:p>
        </w:tc>
        <w:tc>
          <w:tcPr>
            <w:tcW w:type="dxa" w:w="1661"/>
          </w:tcPr>
          <w:p>
            <w:pPr>
              <w:pStyle w:val="null3"/>
            </w:pPr>
            <w:r>
              <w:rPr>
                <w:rFonts w:ascii="仿宋_GB2312" w:hAnsi="仿宋_GB2312" w:cs="仿宋_GB2312" w:eastAsia="仿宋_GB2312"/>
              </w:rPr>
              <w:t>响应文件封面 服务条款响应偏离表（格式） 承诺书（格式） 《拒绝政府采购领域商业贿赂承诺书》（格式） 商务条款响应偏离表（格式） 资格审查证明文件（格式） 中小企业声明函 标的清单 报价表 响应函 《供应商参与政府采购活动的承诺函》（格式） 监理服务费用清单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磋商报价不得超过最高限价。</w:t>
            </w:r>
          </w:p>
        </w:tc>
        <w:tc>
          <w:tcPr>
            <w:tcW w:type="dxa" w:w="1661"/>
          </w:tcPr>
          <w:p>
            <w:pPr>
              <w:pStyle w:val="null3"/>
            </w:pPr>
            <w:r>
              <w:rPr>
                <w:rFonts w:ascii="仿宋_GB2312" w:hAnsi="仿宋_GB2312" w:cs="仿宋_GB2312" w:eastAsia="仿宋_GB2312"/>
              </w:rPr>
              <w:t>标的清单 报价表 响应函 监理服务费用清单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对磋商文件商务要求须作出明确且实质性响应。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响应文件封面 服务条款响应偏离表（格式）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磋商响应文件不得含有采购人不能接受的附加条件。</w:t>
            </w:r>
          </w:p>
        </w:tc>
        <w:tc>
          <w:tcPr>
            <w:tcW w:type="dxa" w:w="1661"/>
          </w:tcPr>
          <w:p>
            <w:pPr>
              <w:pStyle w:val="null3"/>
            </w:pPr>
            <w:r>
              <w:rPr>
                <w:rFonts w:ascii="仿宋_GB2312" w:hAnsi="仿宋_GB2312" w:cs="仿宋_GB2312" w:eastAsia="仿宋_GB2312"/>
              </w:rPr>
              <w:t>供应商认为有必要说明的事宜（若有）</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评审得分相同的，按照最后报价由低到高的顺序推荐。评审得分且最后报价相同的，按照监理大纲得分排序推荐。评审得分且最后报价且监理大纲得分均相同的，成交候选供应商并列。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监理大纲1</w:t>
            </w:r>
          </w:p>
        </w:tc>
        <w:tc>
          <w:tcPr>
            <w:tcW w:type="dxa" w:w="2492"/>
          </w:tcPr>
          <w:p>
            <w:pPr>
              <w:pStyle w:val="null3"/>
            </w:pPr>
            <w:r>
              <w:rPr>
                <w:rFonts w:ascii="仿宋_GB2312" w:hAnsi="仿宋_GB2312" w:cs="仿宋_GB2312" w:eastAsia="仿宋_GB2312"/>
              </w:rPr>
              <w:t>监理工作目标及监理依据 ①内容详细，条理性清晰，具有针对性，切合本项目情况的计6分；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监理大纲2</w:t>
            </w:r>
          </w:p>
        </w:tc>
        <w:tc>
          <w:tcPr>
            <w:tcW w:type="dxa" w:w="2492"/>
          </w:tcPr>
          <w:p>
            <w:pPr>
              <w:pStyle w:val="null3"/>
            </w:pPr>
            <w:r>
              <w:rPr>
                <w:rFonts w:ascii="仿宋_GB2312" w:hAnsi="仿宋_GB2312" w:cs="仿宋_GB2312" w:eastAsia="仿宋_GB2312"/>
              </w:rPr>
              <w:t>质量控制措施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监理大纲3</w:t>
            </w:r>
          </w:p>
        </w:tc>
        <w:tc>
          <w:tcPr>
            <w:tcW w:type="dxa" w:w="2492"/>
          </w:tcPr>
          <w:p>
            <w:pPr>
              <w:pStyle w:val="null3"/>
            </w:pPr>
            <w:r>
              <w:rPr>
                <w:rFonts w:ascii="仿宋_GB2312" w:hAnsi="仿宋_GB2312" w:cs="仿宋_GB2312" w:eastAsia="仿宋_GB2312"/>
              </w:rPr>
              <w:t>进度控制措施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监理大纲4</w:t>
            </w:r>
          </w:p>
        </w:tc>
        <w:tc>
          <w:tcPr>
            <w:tcW w:type="dxa" w:w="2492"/>
          </w:tcPr>
          <w:p>
            <w:pPr>
              <w:pStyle w:val="null3"/>
            </w:pPr>
            <w:r>
              <w:rPr>
                <w:rFonts w:ascii="仿宋_GB2312" w:hAnsi="仿宋_GB2312" w:cs="仿宋_GB2312" w:eastAsia="仿宋_GB2312"/>
              </w:rPr>
              <w:t>合同管理及信息管理 ①内容详细，条理性清晰，具有针对性，切合本项目情况，计6分； ②内容完整但条理不清晰的或内容宽泛，计4分；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监理大纲5</w:t>
            </w:r>
          </w:p>
        </w:tc>
        <w:tc>
          <w:tcPr>
            <w:tcW w:type="dxa" w:w="2492"/>
          </w:tcPr>
          <w:p>
            <w:pPr>
              <w:pStyle w:val="null3"/>
            </w:pPr>
            <w:r>
              <w:rPr>
                <w:rFonts w:ascii="仿宋_GB2312" w:hAnsi="仿宋_GB2312" w:cs="仿宋_GB2312" w:eastAsia="仿宋_GB2312"/>
              </w:rPr>
              <w:t>安全文明施工保障措施 ①内容详细，条理性清晰，具有针对性，切合本项目情况，计7分； ②内容完整但条理不清晰的或内容宽泛，计5分；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监理大纲6</w:t>
            </w:r>
          </w:p>
        </w:tc>
        <w:tc>
          <w:tcPr>
            <w:tcW w:type="dxa" w:w="2492"/>
          </w:tcPr>
          <w:p>
            <w:pPr>
              <w:pStyle w:val="null3"/>
            </w:pPr>
            <w:r>
              <w:rPr>
                <w:rFonts w:ascii="仿宋_GB2312" w:hAnsi="仿宋_GB2312" w:cs="仿宋_GB2312" w:eastAsia="仿宋_GB2312"/>
              </w:rPr>
              <w:t>重点部位及关键工序的控制方法 ①内容详细，条理性清晰，具有针对性，切合本项目情况，计7分； ②内容完整但条理不清晰的或内容宽泛，计5分；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监理大纲7</w:t>
            </w:r>
          </w:p>
        </w:tc>
        <w:tc>
          <w:tcPr>
            <w:tcW w:type="dxa" w:w="2492"/>
          </w:tcPr>
          <w:p>
            <w:pPr>
              <w:pStyle w:val="null3"/>
            </w:pPr>
            <w:r>
              <w:rPr>
                <w:rFonts w:ascii="仿宋_GB2312" w:hAnsi="仿宋_GB2312" w:cs="仿宋_GB2312" w:eastAsia="仿宋_GB2312"/>
              </w:rPr>
              <w:t>监理工作流程 ①内容详细，条理性清晰，具有针对性，切合本项目情况，计7分； ②内容完整但条理不清晰的或内容宽泛，计5分；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监理大纲8</w:t>
            </w:r>
          </w:p>
        </w:tc>
        <w:tc>
          <w:tcPr>
            <w:tcW w:type="dxa" w:w="2492"/>
          </w:tcPr>
          <w:p>
            <w:pPr>
              <w:pStyle w:val="null3"/>
            </w:pPr>
            <w:r>
              <w:rPr>
                <w:rFonts w:ascii="仿宋_GB2312" w:hAnsi="仿宋_GB2312" w:cs="仿宋_GB2312" w:eastAsia="仿宋_GB2312"/>
              </w:rPr>
              <w:t>监理工作制度 ①内容详细，条理性清晰，具有针对性，切合本项目情况，计7分； ②内容完整但条理不清晰的或内容宽泛，计5分；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监理大纲9</w:t>
            </w:r>
          </w:p>
        </w:tc>
        <w:tc>
          <w:tcPr>
            <w:tcW w:type="dxa" w:w="2492"/>
          </w:tcPr>
          <w:p>
            <w:pPr>
              <w:pStyle w:val="null3"/>
            </w:pPr>
            <w:r>
              <w:rPr>
                <w:rFonts w:ascii="仿宋_GB2312" w:hAnsi="仿宋_GB2312" w:cs="仿宋_GB2312" w:eastAsia="仿宋_GB2312"/>
              </w:rPr>
              <w:t>监理工作的管理及保修阶段的服务工作 ①内容详细，条理性清晰，具有针对性，切合本项目情况，计7分； ②内容完整但条理不清晰的或内容宽泛，计5分； ③只有框架，无实质性内容的或只有简单叙述，计2分； ④未提供相关内容的不计分。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监理大纲10</w:t>
            </w:r>
          </w:p>
        </w:tc>
        <w:tc>
          <w:tcPr>
            <w:tcW w:type="dxa" w:w="2492"/>
          </w:tcPr>
          <w:p>
            <w:pPr>
              <w:pStyle w:val="null3"/>
            </w:pPr>
            <w:r>
              <w:rPr>
                <w:rFonts w:ascii="仿宋_GB2312" w:hAnsi="仿宋_GB2312" w:cs="仿宋_GB2312" w:eastAsia="仿宋_GB2312"/>
              </w:rPr>
              <w:t>拟投入本项目仪器设备情况 ①配置合理，设备量充足、能够完全满足项目需要，计6分； ②所提供的设备配置不全面，数量不足，不能完全满足项目需要，计4分； ③所提供的设备与项目实际使用需求不匹配，不能满足项目实施，计2分；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w:t>
            </w:r>
          </w:p>
        </w:tc>
      </w:tr>
      <w:tr>
        <w:tc>
          <w:tcPr>
            <w:tcW w:type="dxa" w:w="831"/>
            <w:vMerge/>
          </w:tcPr>
          <w:p/>
        </w:tc>
        <w:tc>
          <w:tcPr>
            <w:tcW w:type="dxa" w:w="1661"/>
          </w:tcPr>
          <w:p>
            <w:pPr>
              <w:pStyle w:val="null3"/>
            </w:pPr>
            <w:r>
              <w:rPr>
                <w:rFonts w:ascii="仿宋_GB2312" w:hAnsi="仿宋_GB2312" w:cs="仿宋_GB2312" w:eastAsia="仿宋_GB2312"/>
              </w:rPr>
              <w:t>拟派本项目人员</w:t>
            </w:r>
          </w:p>
        </w:tc>
        <w:tc>
          <w:tcPr>
            <w:tcW w:type="dxa" w:w="2492"/>
          </w:tcPr>
          <w:p>
            <w:pPr>
              <w:pStyle w:val="null3"/>
            </w:pPr>
            <w:r>
              <w:rPr>
                <w:rFonts w:ascii="仿宋_GB2312" w:hAnsi="仿宋_GB2312" w:cs="仿宋_GB2312" w:eastAsia="仿宋_GB2312"/>
              </w:rPr>
              <w:t>针对本项目的组织管理机构设置、拟派往本项目监理人员分工安排方案情况、岗位划分及职责等。 ①内容详细全面、机构设置合理、人员安排完善可行、岗位划分及职责明确的，计10分； ②内容全面，但未针对各项内容进行详细描述的，计8分； ③机构设置不合理或岗位划分职责不明确的，计6分； ④针对以上方案要求，有1项欠缺或无欠缺仅有粗略框架，无具体针对性内容的，计4分； ⑤有2项欠缺或方案逻辑混乱、出现常识性错误、存在不适用项目实际情况的情形的，计2分；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拟派本项目人员</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2022年1月1日至今相关房屋建筑工程新建、改造、提升或装修等监理业绩（以合同或中标通知书为准），每份计5分，计满10分为止。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详见附件：监理服务费用清单</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详见附件：服务条款响应偏离表（格式）</w:t>
      </w:r>
    </w:p>
    <w:p>
      <w:pPr>
        <w:pStyle w:val="null3"/>
        <w:ind w:firstLine="960"/>
      </w:pPr>
      <w:r>
        <w:rPr>
          <w:rFonts w:ascii="仿宋_GB2312" w:hAnsi="仿宋_GB2312" w:cs="仿宋_GB2312" w:eastAsia="仿宋_GB2312"/>
        </w:rPr>
        <w:t>详见附件：资格审查证明文件（格式）</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详见附件：监理大纲</w:t>
      </w:r>
    </w:p>
    <w:p>
      <w:pPr>
        <w:pStyle w:val="null3"/>
        <w:ind w:firstLine="960"/>
      </w:pPr>
      <w:r>
        <w:rPr>
          <w:rFonts w:ascii="仿宋_GB2312" w:hAnsi="仿宋_GB2312" w:cs="仿宋_GB2312" w:eastAsia="仿宋_GB2312"/>
        </w:rPr>
        <w:t>详见附件：拟派本项目人员</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详见附件：供应商认为有必要说明的事宜（若有）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ind w:firstLine="960"/>
      </w:pPr>
      <w:r>
        <w:rPr>
          <w:rFonts w:ascii="仿宋_GB2312" w:hAnsi="仿宋_GB2312" w:cs="仿宋_GB2312" w:eastAsia="仿宋_GB2312"/>
        </w:rPr>
        <w:t>详见附件：《供应商参与政府采购活动的承诺函》（格式）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详见附件：S107环山旅游公路周鄠界至马召段改造提升工程团标养护工区施工监理合同.docx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