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版本号：SZT2025-SN-XC-ZC-HW-061120250901001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（货物类）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项目名称：</w:t>
      </w:r>
      <w:r>
        <w:rPr>
          <w:rFonts w:ascii="仿宋_GB2312" w:hAnsi="仿宋_GB2312" w:cs="仿宋_GB2312" w:eastAsia="仿宋_GB2312"/>
          <w:sz w:val="15"/>
          <w:b/>
        </w:rPr>
        <w:t>2025年艾滋病检测试剂采购项目2</w:t>
      </w:r>
    </w:p>
    <w:p>
      <w:pPr>
        <w:pStyle w:val="null3"/>
        <w:jc w:val="center"/>
        <w:outlineLvl w:val="5"/>
      </w:pPr>
      <w:r>
        <w:rPr>
          <w:rFonts w:ascii="仿宋_GB2312" w:hAnsi="仿宋_GB2312" w:cs="仿宋_GB2312" w:eastAsia="仿宋_GB2312"/>
          <w:sz w:val="15"/>
          <w:b/>
        </w:rPr>
        <w:t xml:space="preserve">项目编号: </w:t>
      </w:r>
      <w:r>
        <w:rPr>
          <w:rFonts w:ascii="仿宋_GB2312" w:hAnsi="仿宋_GB2312" w:cs="仿宋_GB2312" w:eastAsia="仿宋_GB2312"/>
          <w:sz w:val="15"/>
          <w:b/>
        </w:rPr>
        <w:t>SZT2025-SN-XC-ZC-HW-0611</w:t>
      </w:r>
      <w:r>
        <w:br/>
      </w:r>
      <w:r>
        <w:br/>
      </w:r>
      <w:r>
        <w:br/>
      </w:r>
      <w:r>
        <w:br/>
      </w:r>
      <w:r>
        <w:br/>
      </w:r>
    </w:p>
    <w:p>
      <w:pPr>
        <w:pStyle w:val="null3"/>
        <w:jc w:val="center"/>
        <w:outlineLvl w:val="5"/>
      </w:pPr>
      <w:r>
        <w:rPr>
          <w:rFonts w:ascii="仿宋_GB2312" w:hAnsi="仿宋_GB2312" w:cs="仿宋_GB2312" w:eastAsia="仿宋_GB2312"/>
          <w:sz w:val="15"/>
          <w:b/>
        </w:rPr>
        <w:t>西安市疾病预防控制中心</w:t>
      </w:r>
    </w:p>
    <w:p>
      <w:pPr>
        <w:pStyle w:val="null3"/>
        <w:jc w:val="center"/>
        <w:outlineLvl w:val="5"/>
      </w:pPr>
      <w:r>
        <w:rPr>
          <w:rFonts w:ascii="仿宋_GB2312" w:hAnsi="仿宋_GB2312" w:cs="仿宋_GB2312" w:eastAsia="仿宋_GB2312"/>
          <w:sz w:val="15"/>
          <w:b/>
        </w:rPr>
        <w:t>陕西中技招标有限公司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2025年09月01日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西安市疾病预防控制中心</w:t>
      </w:r>
      <w:r>
        <w:rPr>
          <w:rFonts w:ascii="仿宋_GB2312" w:hAnsi="仿宋_GB2312" w:cs="仿宋_GB2312" w:eastAsia="仿宋_GB2312"/>
        </w:rPr>
        <w:t>委托，拟对</w:t>
      </w:r>
      <w:r>
        <w:rPr>
          <w:rFonts w:ascii="仿宋_GB2312" w:hAnsi="仿宋_GB2312" w:cs="仿宋_GB2312" w:eastAsia="仿宋_GB2312"/>
        </w:rPr>
        <w:t>2025年艾滋病检测试剂采购项目2</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SZT2025-SN-XC-ZC-HW-0611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2025年艾滋病检测试剂采购项目2</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西安市疾病预防控制中心2025年艾滋病检测试剂采购，采购包1：人类免疫缺陷Ⅰ型尿液抗体检测试剂（胶体金法）；采购包2：人类免疫缺陷病毒Ⅰ型核酸测定试剂（RT-PCR荧光探针法）</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供应商应授权合法的人员参加协商全过程，其中法定代表人直接参加的，须提供法定代表人身份证，并与营业执照上信息一致。法定代表人授权代表参加的，须提供法定代表人授权书及授权代表身份证，同时提供授权代表由投标单位缴纳的协商日期前连续3个月的社保记录；</w:t>
      </w:r>
    </w:p>
    <w:p>
      <w:pPr>
        <w:pStyle w:val="null3"/>
      </w:pPr>
      <w:r>
        <w:rPr>
          <w:rFonts w:ascii="仿宋_GB2312" w:hAnsi="仿宋_GB2312" w:cs="仿宋_GB2312" w:eastAsia="仿宋_GB2312"/>
        </w:rPr>
        <w:t>2、单一授权：提供产品生产厂家出具的针对本项目唯一的合法授权书；</w:t>
      </w:r>
    </w:p>
    <w:p>
      <w:pPr>
        <w:pStyle w:val="null3"/>
      </w:pPr>
      <w:r>
        <w:rPr>
          <w:rFonts w:ascii="仿宋_GB2312" w:hAnsi="仿宋_GB2312" w:cs="仿宋_GB2312" w:eastAsia="仿宋_GB2312"/>
        </w:rPr>
        <w:t>3、投标产品属于医疗器械管理的须提供的企业资质：提供供应商医疗器械经营许可证或医疗器械经营备案证；</w:t>
      </w:r>
    </w:p>
    <w:p>
      <w:pPr>
        <w:pStyle w:val="null3"/>
      </w:pPr>
      <w:r>
        <w:rPr>
          <w:rFonts w:ascii="仿宋_GB2312" w:hAnsi="仿宋_GB2312" w:cs="仿宋_GB2312" w:eastAsia="仿宋_GB2312"/>
        </w:rPr>
        <w:t>4、所投产品的医疗器械注册证或医疗器械备案凭证：投标产品属于医疗器械管理的须提供所投产品的医疗器械注册证或医疗器械备案凭证，如国家规定免注册产品提供相关证明文件；</w:t>
      </w:r>
    </w:p>
    <w:p>
      <w:pPr>
        <w:pStyle w:val="null3"/>
      </w:pPr>
      <w:r>
        <w:rPr>
          <w:rFonts w:ascii="仿宋_GB2312" w:hAnsi="仿宋_GB2312" w:cs="仿宋_GB2312" w:eastAsia="仿宋_GB2312"/>
        </w:rPr>
        <w:t>5、承诺要求：供应商与其他单位无交叉控股股东、无交叉兼任高级管理人员及涉嫌联合围标、串标行为，无采购单位和招标代理机构职工在该单位兼职的情况，不向采购单位和代理机构相关人员输送利益等行贿行为，一旦中标必须坚守诚信、认真履约等供应商承诺；（提供承诺函）</w:t>
      </w:r>
    </w:p>
    <w:p>
      <w:pPr>
        <w:pStyle w:val="null3"/>
      </w:pPr>
      <w:r>
        <w:rPr>
          <w:rFonts w:ascii="仿宋_GB2312" w:hAnsi="仿宋_GB2312" w:cs="仿宋_GB2312" w:eastAsia="仿宋_GB2312"/>
        </w:rPr>
        <w:t>6、供应商与采购人关联关系：本项目不接受由西安市疾病预防控制中心职工及其亲属投资开办的企业参加本单位的政府采购活动；（提供承诺函）</w:t>
      </w:r>
    </w:p>
    <w:p>
      <w:pPr>
        <w:pStyle w:val="null3"/>
      </w:pPr>
      <w:r>
        <w:rPr>
          <w:rFonts w:ascii="仿宋_GB2312" w:hAnsi="仿宋_GB2312" w:cs="仿宋_GB2312" w:eastAsia="仿宋_GB2312"/>
        </w:rPr>
        <w:t>7、本项目不接受联合体参与：本项目不接受联合体参与，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委托书：供应商应授权合法的人员参加协商全过程，其中法定代表人直接参加的，须提供法定代表人身份证，并与营业执照上信息一致。法定代表人授权代表参加的，须提供法定代表人授权书及授权代表身份证，同时提供授权代表由投标单位缴纳的协商日期前连续3个月的社保记录；</w:t>
      </w:r>
    </w:p>
    <w:p>
      <w:pPr>
        <w:pStyle w:val="null3"/>
      </w:pPr>
      <w:r>
        <w:rPr>
          <w:rFonts w:ascii="仿宋_GB2312" w:hAnsi="仿宋_GB2312" w:cs="仿宋_GB2312" w:eastAsia="仿宋_GB2312"/>
        </w:rPr>
        <w:t>2、单一授权：提供产品生产厂家出具的针对本项目唯一的合法授权书；</w:t>
      </w:r>
    </w:p>
    <w:p>
      <w:pPr>
        <w:pStyle w:val="null3"/>
      </w:pPr>
      <w:r>
        <w:rPr>
          <w:rFonts w:ascii="仿宋_GB2312" w:hAnsi="仿宋_GB2312" w:cs="仿宋_GB2312" w:eastAsia="仿宋_GB2312"/>
        </w:rPr>
        <w:t>3、投标产品属于医疗器械管理的须提供的企业资质：提供供应商医疗器械经营许可证或医疗器械经营备案证；</w:t>
      </w:r>
    </w:p>
    <w:p>
      <w:pPr>
        <w:pStyle w:val="null3"/>
      </w:pPr>
      <w:r>
        <w:rPr>
          <w:rFonts w:ascii="仿宋_GB2312" w:hAnsi="仿宋_GB2312" w:cs="仿宋_GB2312" w:eastAsia="仿宋_GB2312"/>
        </w:rPr>
        <w:t>4、所投产品的医疗器械注册证或医疗器械备案凭证：投标产品属于医疗器械管理的须提供所投产品的医疗器械注册证或医疗器械备案凭证，如国家规定免注册产品提供相关证明文件；</w:t>
      </w:r>
    </w:p>
    <w:p>
      <w:pPr>
        <w:pStyle w:val="null3"/>
      </w:pPr>
      <w:r>
        <w:rPr>
          <w:rFonts w:ascii="仿宋_GB2312" w:hAnsi="仿宋_GB2312" w:cs="仿宋_GB2312" w:eastAsia="仿宋_GB2312"/>
        </w:rPr>
        <w:t>5、承诺要求：供应商与其他单位无交叉控股股东、无交叉兼任高级管理人员及涉嫌联合围标、串标行为，无采购单位和招标代理机构职工在该单位兼职的情况，不向采购单位和代理机构相关人员输送利益等行贿行为，一旦中标必须坚守诚信、认真履约等供应商承诺；（提供承诺函）</w:t>
      </w:r>
    </w:p>
    <w:p>
      <w:pPr>
        <w:pStyle w:val="null3"/>
      </w:pPr>
      <w:r>
        <w:rPr>
          <w:rFonts w:ascii="仿宋_GB2312" w:hAnsi="仿宋_GB2312" w:cs="仿宋_GB2312" w:eastAsia="仿宋_GB2312"/>
        </w:rPr>
        <w:t>6、供应商与采购人关联关系：本项目不接受由西安市疾病预防控制中心职工及其亲属投资开办的企业参加本单位的政府采购活动；（提供承诺函）</w:t>
      </w:r>
    </w:p>
    <w:p>
      <w:pPr>
        <w:pStyle w:val="null3"/>
      </w:pPr>
      <w:r>
        <w:rPr>
          <w:rFonts w:ascii="仿宋_GB2312" w:hAnsi="仿宋_GB2312" w:cs="仿宋_GB2312" w:eastAsia="仿宋_GB2312"/>
        </w:rPr>
        <w:t>7、本项目不接受联合体参与：本项目不接受联合体参与，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ind w:firstLine="480"/>
      </w:pPr>
      <w:r>
        <w:rPr>
          <w:rFonts w:ascii="仿宋_GB2312" w:hAnsi="仿宋_GB2312" w:cs="仿宋_GB2312" w:eastAsia="仿宋_GB2312"/>
        </w:rPr>
        <w:t>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西安市疾病预防控制中心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西安市西影路599号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029-85535673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西安市高新四路1号高科广场A座10楼1001室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肖娇娇、李文俊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029-88364979-848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本项目各包预算金额如下：</w:t>
            </w:r>
          </w:p>
          <w:p>
            <w:pPr>
              <w:pStyle w:val="null3"/>
            </w:pPr>
            <w:r>
              <w:rPr>
                <w:rFonts w:ascii="仿宋_GB2312" w:hAnsi="仿宋_GB2312" w:cs="仿宋_GB2312" w:eastAsia="仿宋_GB2312"/>
              </w:rPr>
              <w:t>采购包1：600,200.00元</w:t>
            </w:r>
          </w:p>
          <w:p>
            <w:pPr>
              <w:pStyle w:val="null3"/>
            </w:pPr>
            <w:r>
              <w:rPr>
                <w:rFonts w:ascii="仿宋_GB2312" w:hAnsi="仿宋_GB2312" w:cs="仿宋_GB2312" w:eastAsia="仿宋_GB2312"/>
              </w:rPr>
              <w:t>采购包2：504,000.00元</w:t>
            </w:r>
            <w:r>
              <w:rPr>
                <w:rFonts w:ascii="仿宋_GB2312" w:hAnsi="仿宋_GB2312" w:cs="仿宋_GB2312" w:eastAsia="仿宋_GB2312"/>
              </w:rPr>
              <w:t>供应商的包件采购报价高于包件采购预算的，其响应文件将按无效处理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采购包1：600,200.00元</w:t>
            </w:r>
          </w:p>
          <w:p>
            <w:pPr>
              <w:pStyle w:val="null3"/>
            </w:pPr>
            <w:r>
              <w:rPr>
                <w:rFonts w:ascii="仿宋_GB2312" w:hAnsi="仿宋_GB2312" w:cs="仿宋_GB2312" w:eastAsia="仿宋_GB2312"/>
              </w:rPr>
              <w:t>采购包2：504,000.00元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供应商依据成交金额向代理交纳招标代理服务费，交费金额参照国家计委颁布的《招标代理服务收费管理暂行办法》（计价格【2002】1980号）及发改办价格【2003】857号中的规定计取，采用差额定律累进法计算。 2、成交人在取得成交通知书时，向采购代理机构缴付成交服务费。 3、服务费以转账或现金形式交纳，服务费缴纳帐号如下： 收款单位：陕西中技招标有限公司 开 户 行：招商银行西安分行营业部 账 号：129916812810001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w:t>
            </w:r>
          </w:p>
          <w:p>
            <w:pPr>
              <w:pStyle w:val="null3"/>
            </w:pPr>
            <w:r>
              <w:rPr>
                <w:rFonts w:ascii="仿宋_GB2312" w:hAnsi="仿宋_GB2312" w:cs="仿宋_GB2312" w:eastAsia="仿宋_GB2312"/>
              </w:rPr>
              <w:t>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西安市疾病预防控制中心</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享有。对采购文件中供应商参加本次政府采购活动应当具备的条件、项目技术、服务、商务及其他要求，评审标准由采购人负责解释。除上述采购文件内容，其他内容由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西安市疾病预防控制中心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 xml:space="preserve"> 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（五）协商办法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 xml:space="preserve"> 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1、合同文本： 2、国家和行业制定的相应的标准和规范。 3、验收清单（注明品名、数量、价格、规格型号、产地和生产厂家）。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1、合同文本： 2、国家和行业制定的相应的标准和规范。 3、验收清单（注明品名、数量、价格、规格型号、产地和生产厂家）。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西安市疾病预防控制中心2025年艾滋病检测试剂采购，采购包1：人类免疫缺陷Ⅰ型尿液抗体检测试剂（胶体金法）；采购包2：人类免疫缺陷病毒Ⅰ型核酸测定试剂（RT-PCR荧光探针法）</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600,200.00</w:t>
      </w:r>
    </w:p>
    <w:p>
      <w:pPr>
        <w:pStyle w:val="null3"/>
      </w:pPr>
      <w:r>
        <w:rPr>
          <w:rFonts w:ascii="仿宋_GB2312" w:hAnsi="仿宋_GB2312" w:cs="仿宋_GB2312" w:eastAsia="仿宋_GB2312"/>
        </w:rPr>
        <w:t>采购包最高限价（元）: 600,200.00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人类免疫缺陷Ⅰ型尿液抗体检测试剂（胶体金法）</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600,200.00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504,000.00</w:t>
      </w:r>
    </w:p>
    <w:p>
      <w:pPr>
        <w:pStyle w:val="null3"/>
      </w:pPr>
      <w:r>
        <w:rPr>
          <w:rFonts w:ascii="仿宋_GB2312" w:hAnsi="仿宋_GB2312" w:cs="仿宋_GB2312" w:eastAsia="仿宋_GB2312"/>
        </w:rPr>
        <w:t>采购包最高限价（元）: 504,000.00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人类免疫缺陷病毒Ⅰ型核酸测定试剂（RT-PCR荧光探针法）</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right"/>
            </w:pPr>
            <w:r>
              <w:rPr>
                <w:rFonts w:ascii="仿宋_GB2312" w:hAnsi="仿宋_GB2312" w:cs="仿宋_GB2312" w:eastAsia="仿宋_GB2312"/>
              </w:rPr>
              <w:t>504,000.00</w:t>
            </w:r>
          </w:p>
        </w:tc>
        <w:tc>
          <w:tcPr>
            <w:tcW w:type="dxa" w:w="831"/>
          </w:tcPr>
          <w:p>
            <w:pPr>
              <w:pStyle w:val="null3"/>
            </w:pPr>
            <w:r>
              <w:rPr>
                <w:rFonts w:ascii="仿宋_GB2312" w:hAnsi="仿宋_GB2312" w:cs="仿宋_GB2312" w:eastAsia="仿宋_GB2312"/>
              </w:rPr>
              <w:t>盒</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标的名称：人类免疫缺陷Ⅰ型尿液抗体检测试剂（胶体金法）</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4"/>
                <w:b/>
              </w:rPr>
              <w:t>采购清单</w:t>
            </w:r>
          </w:p>
          <w:tbl>
            <w:tblPr>
              <w:tblInd w:type="dxa" w:w="120"/>
              <w:tblBorders>
                <w:top w:val="none" w:color="000000" w:sz="4"/>
                <w:left w:val="none" w:color="000000" w:sz="4"/>
                <w:bottom w:val="none" w:color="000000" w:sz="4"/>
                <w:right w:val="none" w:color="000000" w:sz="4"/>
                <w:insideH w:val="none"/>
                <w:insideV w:val="none"/>
              </w:tblBorders>
            </w:tblPr>
            <w:tblGrid>
              <w:gridCol w:w="347"/>
              <w:gridCol w:w="1060"/>
              <w:gridCol w:w="517"/>
              <w:gridCol w:w="568"/>
            </w:tblGrid>
            <w:tr>
              <w:tc>
                <w:tcPr>
                  <w:tcW w:type="dxa" w:w="3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10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试剂名称</w:t>
                  </w:r>
                </w:p>
              </w:tc>
              <w:tc>
                <w:tcPr>
                  <w:tcW w:type="dxa" w:w="5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规格</w:t>
                  </w:r>
                </w:p>
              </w:tc>
              <w:tc>
                <w:tcPr>
                  <w:tcW w:type="dxa" w:w="5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数量（盒）</w:t>
                  </w: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0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人类免疫缺陷</w:t>
                  </w:r>
                  <w:r>
                    <w:rPr>
                      <w:rFonts w:ascii="仿宋_GB2312" w:hAnsi="仿宋_GB2312" w:cs="仿宋_GB2312" w:eastAsia="仿宋_GB2312"/>
                      <w:sz w:val="24"/>
                      <w:color w:val="000000"/>
                    </w:rPr>
                    <w:t>Ⅰ型尿液抗体检测试剂（胶体金法）</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50人份/盒</w:t>
                  </w:r>
                </w:p>
              </w:tc>
              <w:tc>
                <w:tcPr>
                  <w:tcW w:type="dxa" w:w="5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w:t>
                  </w: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0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人类免疫缺陷</w:t>
                  </w:r>
                  <w:r>
                    <w:rPr>
                      <w:rFonts w:ascii="仿宋_GB2312" w:hAnsi="仿宋_GB2312" w:cs="仿宋_GB2312" w:eastAsia="仿宋_GB2312"/>
                      <w:sz w:val="24"/>
                      <w:color w:val="000000"/>
                    </w:rPr>
                    <w:t>Ⅰ型尿液抗体检测试剂（胶体金法）</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1人份/盒</w:t>
                  </w:r>
                </w:p>
              </w:tc>
              <w:tc>
                <w:tcPr>
                  <w:tcW w:type="dxa" w:w="5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7900</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center"/>
            </w:pPr>
            <w:r>
              <w:rPr>
                <w:rFonts w:ascii="仿宋_GB2312" w:hAnsi="仿宋_GB2312" w:cs="仿宋_GB2312" w:eastAsia="仿宋_GB2312"/>
                <w:sz w:val="28"/>
                <w:b/>
                <w:color w:val="000000"/>
                <w:shd w:fill="FFFFFF" w:val="clear"/>
              </w:rPr>
              <w:t>人类免疫缺陷病毒</w:t>
            </w:r>
            <w:r>
              <w:rPr>
                <w:rFonts w:ascii="仿宋_GB2312" w:hAnsi="仿宋_GB2312" w:cs="仿宋_GB2312" w:eastAsia="仿宋_GB2312"/>
                <w:sz w:val="28"/>
                <w:b/>
                <w:color w:val="000000"/>
                <w:shd w:fill="FFFFFF" w:val="clear"/>
              </w:rPr>
              <w:t>Ⅰ型尿液抗体检测试剂(胶体金法)</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检测用途：体外定性检测人尿液样本中的</w:t>
            </w:r>
            <w:r>
              <w:rPr>
                <w:rFonts w:ascii="仿宋_GB2312" w:hAnsi="仿宋_GB2312" w:cs="仿宋_GB2312" w:eastAsia="仿宋_GB2312"/>
                <w:sz w:val="24"/>
              </w:rPr>
              <w:t>HIV-1抗体，可用于普通人群自检。</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检测方法：胶体金法，免疫层析技术。</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储存条件及有效期：</w:t>
            </w:r>
            <w:r>
              <w:rPr>
                <w:rFonts w:ascii="仿宋_GB2312" w:hAnsi="仿宋_GB2312" w:cs="仿宋_GB2312" w:eastAsia="仿宋_GB2312"/>
                <w:sz w:val="24"/>
              </w:rPr>
              <w:t>4-30℃干燥处保存，产品到交货地点的有效期有效期≥12个月。</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判定结果时间：</w:t>
            </w:r>
            <w:r>
              <w:rPr>
                <w:rFonts w:ascii="仿宋_GB2312" w:hAnsi="仿宋_GB2312" w:cs="仿宋_GB2312" w:eastAsia="仿宋_GB2312"/>
                <w:sz w:val="24"/>
              </w:rPr>
              <w:t>≤15min。</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产品性能：阳性检出率</w:t>
            </w:r>
            <w:r>
              <w:rPr>
                <w:rFonts w:ascii="仿宋_GB2312" w:hAnsi="仿宋_GB2312" w:cs="仿宋_GB2312" w:eastAsia="仿宋_GB2312"/>
                <w:sz w:val="24"/>
              </w:rPr>
              <w:t>≥99%；阴性符合率≥99.5%。</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特异性：有较高的特异性，与其他病毒以及类风湿因子、系统性红斑狼疮、抗核抗体阳性样本无交叉反应。</w:t>
            </w:r>
          </w:p>
          <w:p>
            <w:pPr>
              <w:pStyle w:val="null3"/>
              <w:jc w:val="both"/>
            </w:pPr>
            <w:r>
              <w:rPr>
                <w:rFonts w:ascii="仿宋_GB2312" w:hAnsi="仿宋_GB2312" w:cs="仿宋_GB2312" w:eastAsia="仿宋_GB2312"/>
                <w:sz w:val="24"/>
              </w:rPr>
              <w:t>7. 规格和采购量：卡型，两种采购规格；1人份/盒，采购数量为7900盒；50人份/盒，采购数量为200盒。</w:t>
            </w:r>
          </w:p>
          <w:p>
            <w:pPr>
              <w:pStyle w:val="null3"/>
              <w:jc w:val="both"/>
            </w:pPr>
            <w:r>
              <w:rPr>
                <w:rFonts w:ascii="仿宋_GB2312" w:hAnsi="仿宋_GB2312" w:cs="仿宋_GB2312" w:eastAsia="仿宋_GB2312"/>
                <w:sz w:val="24"/>
              </w:rPr>
              <w:t>8. 1人份/盒包装，包装盒内含有产品使用说明书、一次性尿杯、吸管和垃圾回收袋。</w:t>
            </w:r>
          </w:p>
          <w:p>
            <w:pPr>
              <w:pStyle w:val="null3"/>
              <w:jc w:val="both"/>
            </w:pPr>
            <w:r>
              <w:rPr>
                <w:rFonts w:ascii="仿宋_GB2312" w:hAnsi="仿宋_GB2312" w:cs="仿宋_GB2312" w:eastAsia="仿宋_GB2312"/>
                <w:sz w:val="24"/>
              </w:rPr>
              <w:t>9.试剂要求：检测人类免疫缺陷病毒抗体尿液国家参考品，符合国家标准要求（提供最新参考品检测报告）。</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标的名称：人类免疫缺陷病毒Ⅰ型核酸测定试剂（RT-PCR荧光探针法）</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4"/>
                <w:b/>
              </w:rPr>
              <w:t>采购清单</w:t>
            </w:r>
          </w:p>
          <w:tbl>
            <w:tblPr>
              <w:tblInd w:type="dxa" w:w="120"/>
              <w:tblBorders>
                <w:top w:val="none" w:color="000000" w:sz="4"/>
                <w:left w:val="none" w:color="000000" w:sz="4"/>
                <w:bottom w:val="none" w:color="000000" w:sz="4"/>
                <w:right w:val="none" w:color="000000" w:sz="4"/>
                <w:insideH w:val="none"/>
                <w:insideV w:val="none"/>
              </w:tblBorders>
            </w:tblPr>
            <w:tblGrid>
              <w:gridCol w:w="337"/>
              <w:gridCol w:w="1037"/>
              <w:gridCol w:w="652"/>
              <w:gridCol w:w="454"/>
            </w:tblGrid>
            <w:tr>
              <w:tc>
                <w:tcPr>
                  <w:tcW w:type="dxa" w:w="3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10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试剂名称</w:t>
                  </w:r>
                </w:p>
              </w:tc>
              <w:tc>
                <w:tcPr>
                  <w:tcW w:type="dxa" w:w="6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规格</w:t>
                  </w:r>
                </w:p>
              </w:tc>
              <w:tc>
                <w:tcPr>
                  <w:tcW w:type="dxa" w:w="4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数量（盒）</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人类免疫缺陷病毒</w:t>
                  </w:r>
                  <w:r>
                    <w:rPr>
                      <w:rFonts w:ascii="仿宋_GB2312" w:hAnsi="仿宋_GB2312" w:cs="仿宋_GB2312" w:eastAsia="仿宋_GB2312"/>
                      <w:sz w:val="24"/>
                      <w:color w:val="000000"/>
                    </w:rPr>
                    <w:t>Ⅰ型核酸测定试剂（RT-PCR荧光探针法）</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48人份/盒</w:t>
                  </w:r>
                </w:p>
              </w:tc>
              <w:tc>
                <w:tcPr>
                  <w:tcW w:type="dxa" w:w="4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center"/>
            </w:pPr>
            <w:r>
              <w:rPr>
                <w:rFonts w:ascii="仿宋_GB2312" w:hAnsi="仿宋_GB2312" w:cs="仿宋_GB2312" w:eastAsia="仿宋_GB2312"/>
                <w:sz w:val="28"/>
                <w:b/>
                <w:color w:val="000000"/>
                <w:shd w:fill="FFFFFF" w:val="clear"/>
              </w:rPr>
              <w:t>人类免疫缺陷病毒</w:t>
            </w:r>
            <w:r>
              <w:rPr>
                <w:rFonts w:ascii="仿宋_GB2312" w:hAnsi="仿宋_GB2312" w:cs="仿宋_GB2312" w:eastAsia="仿宋_GB2312"/>
                <w:sz w:val="28"/>
                <w:b/>
                <w:color w:val="000000"/>
                <w:shd w:fill="FFFFFF" w:val="clear"/>
              </w:rPr>
              <w:t>Ⅰ型核酸测定试剂(RT-PCR荧光探针法)</w:t>
            </w:r>
          </w:p>
          <w:p>
            <w:pPr>
              <w:pStyle w:val="null3"/>
              <w:jc w:val="both"/>
            </w:pPr>
            <w:r>
              <w:rPr>
                <w:rFonts w:ascii="仿宋_GB2312" w:hAnsi="仿宋_GB2312" w:cs="仿宋_GB2312" w:eastAsia="仿宋_GB2312"/>
                <w:sz w:val="24"/>
              </w:rPr>
              <w:t>1.检测方法：磁珠分离纯化技术和Taqman RT-PCR技术进行人类免疫缺陷病毒Ⅰ型病毒载量检测。</w:t>
            </w:r>
          </w:p>
          <w:p>
            <w:pPr>
              <w:pStyle w:val="null3"/>
              <w:jc w:val="both"/>
            </w:pPr>
            <w:r>
              <w:rPr>
                <w:rFonts w:ascii="仿宋_GB2312" w:hAnsi="仿宋_GB2312" w:cs="仿宋_GB2312" w:eastAsia="仿宋_GB2312"/>
                <w:sz w:val="24"/>
              </w:rPr>
              <w:t>2.样本类型：血清或者血浆。</w:t>
            </w:r>
          </w:p>
          <w:p>
            <w:pPr>
              <w:pStyle w:val="null3"/>
              <w:jc w:val="both"/>
            </w:pPr>
            <w:r>
              <w:rPr>
                <w:rFonts w:ascii="仿宋_GB2312" w:hAnsi="仿宋_GB2312" w:cs="仿宋_GB2312" w:eastAsia="仿宋_GB2312"/>
                <w:sz w:val="24"/>
              </w:rPr>
              <w:t>3. 试剂基因亚型覆盖：试剂可检测HIV 的A型、B型、C型以及AB重组型、N组和O组基因型。</w:t>
            </w:r>
          </w:p>
          <w:p>
            <w:pPr>
              <w:pStyle w:val="null3"/>
              <w:jc w:val="both"/>
            </w:pPr>
            <w:r>
              <w:rPr>
                <w:rFonts w:ascii="仿宋_GB2312" w:hAnsi="仿宋_GB2312" w:cs="仿宋_GB2312" w:eastAsia="仿宋_GB2312"/>
                <w:sz w:val="24"/>
              </w:rPr>
              <w:t>4. 特异性：双靶标检测，含有HIV-1 pol基因和LTR区域，与其它病原体无交叉反应，结果不受药物及其它物质干扰。</w:t>
            </w:r>
          </w:p>
          <w:p>
            <w:pPr>
              <w:pStyle w:val="null3"/>
              <w:jc w:val="both"/>
            </w:pPr>
            <w:r>
              <w:rPr>
                <w:rFonts w:ascii="仿宋_GB2312" w:hAnsi="仿宋_GB2312" w:cs="仿宋_GB2312" w:eastAsia="仿宋_GB2312"/>
                <w:sz w:val="24"/>
              </w:rPr>
              <w:t>5. 定量方法：内标定量，精确定量，结果可溯源。</w:t>
            </w:r>
          </w:p>
          <w:p>
            <w:pPr>
              <w:pStyle w:val="null3"/>
              <w:jc w:val="both"/>
            </w:pPr>
            <w:r>
              <w:rPr>
                <w:rFonts w:ascii="仿宋_GB2312" w:hAnsi="仿宋_GB2312" w:cs="仿宋_GB2312" w:eastAsia="仿宋_GB2312"/>
                <w:sz w:val="24"/>
              </w:rPr>
              <w:t>6. 试剂上样量≤1000ul。</w:t>
            </w:r>
          </w:p>
          <w:p>
            <w:pPr>
              <w:pStyle w:val="null3"/>
              <w:jc w:val="both"/>
            </w:pPr>
            <w:r>
              <w:rPr>
                <w:rFonts w:ascii="仿宋_GB2312" w:hAnsi="仿宋_GB2312" w:cs="仿宋_GB2312" w:eastAsia="仿宋_GB2312"/>
                <w:sz w:val="24"/>
              </w:rPr>
              <w:t>7. 线性范围：涵盖30 IU/mL～1.0×10</w:t>
            </w:r>
            <w:r>
              <w:rPr>
                <w:rFonts w:ascii="仿宋_GB2312" w:hAnsi="仿宋_GB2312" w:cs="仿宋_GB2312" w:eastAsia="仿宋_GB2312"/>
                <w:sz w:val="24"/>
                <w:vertAlign w:val="superscript"/>
              </w:rPr>
              <w:t xml:space="preserve">7 </w:t>
            </w:r>
            <w:r>
              <w:rPr>
                <w:rFonts w:ascii="仿宋_GB2312" w:hAnsi="仿宋_GB2312" w:cs="仿宋_GB2312" w:eastAsia="仿宋_GB2312"/>
                <w:sz w:val="24"/>
              </w:rPr>
              <w:t>IU/mL 。</w:t>
            </w:r>
          </w:p>
          <w:p>
            <w:pPr>
              <w:pStyle w:val="null3"/>
              <w:jc w:val="both"/>
            </w:pPr>
            <w:r>
              <w:rPr>
                <w:rFonts w:ascii="仿宋_GB2312" w:hAnsi="仿宋_GB2312" w:cs="仿宋_GB2312" w:eastAsia="仿宋_GB2312"/>
                <w:sz w:val="24"/>
              </w:rPr>
              <w:t>8. 试剂盒规格：48人份/盒，采购数量为30盒。</w:t>
            </w:r>
          </w:p>
          <w:p>
            <w:pPr>
              <w:pStyle w:val="null3"/>
              <w:jc w:val="both"/>
            </w:pPr>
            <w:r>
              <w:rPr>
                <w:rFonts w:ascii="仿宋_GB2312" w:hAnsi="仿宋_GB2312" w:cs="仿宋_GB2312" w:eastAsia="仿宋_GB2312"/>
                <w:sz w:val="24"/>
              </w:rPr>
              <w:t>9. 质控品：试剂盒自带阴性对照、阳性对照、临界阳性对照。</w:t>
            </w:r>
          </w:p>
          <w:p>
            <w:pPr>
              <w:pStyle w:val="null3"/>
              <w:jc w:val="both"/>
            </w:pPr>
            <w:r>
              <w:rPr>
                <w:rFonts w:ascii="仿宋_GB2312" w:hAnsi="仿宋_GB2312" w:cs="仿宋_GB2312" w:eastAsia="仿宋_GB2312"/>
                <w:sz w:val="24"/>
              </w:rPr>
              <w:t>10. 产品到交货地点的有效期≥10个月。</w:t>
            </w:r>
          </w:p>
          <w:p>
            <w:pPr>
              <w:pStyle w:val="null3"/>
              <w:jc w:val="both"/>
            </w:pPr>
            <w:r>
              <w:rPr>
                <w:rFonts w:ascii="仿宋_GB2312" w:hAnsi="仿宋_GB2312" w:cs="仿宋_GB2312" w:eastAsia="仿宋_GB2312"/>
                <w:sz w:val="24"/>
              </w:rPr>
              <w:t>11.试剂性能：试剂参加HIV-1 RNA国家参考品的检测，结果稳定可靠。</w:t>
            </w:r>
          </w:p>
          <w:p>
            <w:pPr>
              <w:pStyle w:val="null3"/>
              <w:jc w:val="both"/>
            </w:pPr>
            <w:r>
              <w:rPr>
                <w:rFonts w:ascii="仿宋_GB2312" w:hAnsi="仿宋_GB2312" w:cs="仿宋_GB2312" w:eastAsia="仿宋_GB2312"/>
                <w:sz w:val="24"/>
              </w:rPr>
              <w:t>12.试剂配套丽珠HIV-1病毒载量核酸测定系统（MICROLAB STAR）使用。</w:t>
            </w:r>
          </w:p>
          <w:p>
            <w:pPr>
              <w:pStyle w:val="null3"/>
              <w:jc w:val="both"/>
            </w:pPr>
            <w:r>
              <w:rPr>
                <w:rFonts w:ascii="仿宋_GB2312" w:hAnsi="仿宋_GB2312" w:cs="仿宋_GB2312" w:eastAsia="仿宋_GB2312"/>
                <w:sz w:val="24"/>
                <w:color w:val="000000"/>
                <w:shd w:fill="FFFFFF" w:val="clear"/>
              </w:rPr>
              <w:t>13.</w:t>
            </w:r>
            <w:r>
              <w:rPr>
                <w:rFonts w:ascii="仿宋_GB2312" w:hAnsi="仿宋_GB2312" w:cs="仿宋_GB2312" w:eastAsia="仿宋_GB2312"/>
                <w:sz w:val="24"/>
                <w:shd w:fill="FFFFFF" w:val="clear"/>
              </w:rPr>
              <w:t>试剂经</w:t>
            </w:r>
            <w:r>
              <w:rPr>
                <w:rFonts w:ascii="仿宋_GB2312" w:hAnsi="仿宋_GB2312" w:cs="仿宋_GB2312" w:eastAsia="仿宋_GB2312"/>
                <w:sz w:val="24"/>
              </w:rPr>
              <w:t>中国药品生物制品检定所批检合格，经国家参比实验室评比结果稳定。</w:t>
            </w:r>
          </w:p>
          <w:p>
            <w:pPr>
              <w:pStyle w:val="null3"/>
              <w:jc w:val="both"/>
            </w:pPr>
            <w:r>
              <w:rPr>
                <w:rFonts w:ascii="仿宋_GB2312" w:hAnsi="仿宋_GB2312" w:cs="仿宋_GB2312" w:eastAsia="仿宋_GB2312"/>
                <w:sz w:val="24"/>
                <w:color w:val="000000"/>
                <w:shd w:fill="FFFFFF" w:val="clear"/>
              </w:rPr>
              <w:t>14.试剂提供配套耗材。</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合同签订完毕，采购人下达供货通知后30天内完成供货及验收。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合同签订完毕，采购人下达供货通知后30天内完成供货及验收。</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西安市疾病预防控制中心指定地点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西安市疾病预防控制中心指定地点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合同签订后，乙方须按其投标文件中响应的供货期按时交货并提供全额合规发票，保证“货票同行”。货物到达甲方指定地点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合同签订后，乙方须按其投标文件中响应的供货期按时交货并提供全额合规发票，保证“货票同行”。货物到达甲方指定地点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由甲方和乙方共同对货物进行验收。其内容包括确认货物的包装、产地、规格、型号和数量，对其货物技术指标、性能参数进行逐项核验。 1.验收货物的指标、性能参数通过验收达到合同要求，或出现甲方不能正常使用的情况，将视为验收不合格，乙方应及时更换或退货。 2.若发现乙方有弄虚作假的，故意或随意夸大货物技术性能，甲方除要求退货外，有权要求乙方赔偿甲方相应的损失。 3.验收标准：按合同文件及澄清等技术指标进行验收。货物的各项指标均应符合验收标准及要求。 4.验收合格后，填写验收单，甲方签字后生效。 5.验收依据： 5.1本合同文本： 5.2国家和行业制定的相应的标准和规范。 5.3验收清单（注明品名、数量、价格、规格型号、产地和生产厂家）。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由甲方和乙方共同对货物进行验收。其内容包括确认货物的包装、产地、规格、型号和数量，对其货物技术指标、性能参数进行逐项核验。 1.验收货物的指标、性能参数通过验收达到合同要求，或出现甲方不能正常使用的情况，将视为验收不合格，乙方应及时更换或退货。 2.若发现乙方有弄虚作假的，故意或随意夸大货物技术性能，甲方除要求退货外，有权要求乙方赔偿甲方相应的损失。 3.验收标准：按合同文件及澄清等技术指标进行验收。货物的各项指标均应符合验收标准及要求。 4.验收合格后，填写验收单，甲方签字后生效。 5.验收依据： 5.1本合同文本： 5.2国家和行业制定的相应的标准和规范。 5.3验收清单（注明品名、数量、价格、规格型号、产地和生产厂家）。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rFonts w:ascii="仿宋_GB2312" w:hAnsi="仿宋_GB2312" w:cs="仿宋_GB2312" w:eastAsia="仿宋_GB2312"/>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乙方为甲方所供货物须提供以下售后服务： （一）自货物验收合格之日起计算,质保≥12个月。 （二）在质量保证期内，乙方对由于设计、工艺或材料的缺陷或运输、保存而产生的事故负责（负责解决并承担全部费用）。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乙方为甲方所供货物须提供以下售后服务： （一）自货物验收合格之日起计算,质保≥10个月。 （二）在质量保证期内，乙方对由于设计、工艺或材料的缺陷或运输、保存而产生的事故负责（负责解决并承担全部费用）。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（一）按《民法典》中的相关条款执行。 （二）未按合同要求提供货物或质量不能满足招标文件技术要求，在约定的条件下，乙方必须无条件更换，提高技术，完善质量，否则，甲方有权解除合同，解除合同书面通知书到达乙方之日视为合同已解除，并按以下两种方式追究乙方的违约责任： 1.乙方赔偿甲方解除合同的全部损失（包括但不限于重新采购产生的费用、合同未履行导致货物不能按规划交付使用可能产生的由此造成的甲方对第三方的违约损失）； 2.乙方支付甲方违约金，违约金计算方法：以合同总价为基数，支付甲方合同总价的30%为违约金。同时对乙方的违约行为报监管机构进行相应的处罚。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（一）按《民法典》中的相关条款执行。 （二）未按合同要求提供货物或质量不能满足招标文件技术要求，在约定的条件下，乙方必须无条件更换，提高技术，完善质量，否则，甲方有权解除合同，解除合同书面通知书到达乙方之日视为合同已解除，并按以下两种方式追究乙方的违约责任： 1.乙方赔偿甲方解除合同的全部损失（包括但不限于重新采购产生的费用、合同未履行导致货物不能按规划交付使用可能产生的由此造成的甲方对第三方的违约损失）； 2.乙方支付甲方违约金，违约金计算方法：以合同总价为基数，支付甲方合同总价的30%为违约金。同时对乙方的违约行为报监管机构进行相应的处罚。</w:t>
      </w:r>
    </w:p>
    <w:p>
      <w:pPr>
        <w:pStyle w:val="null3"/>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响应文件，同时，线下提交纸质响应文件正本壹份、副本两份、电子版壹份（U盘壹份）。若电子响应文件与纸质响应文件不一致的，以系统电子响应文件为准；若正本和副本不符，以正本为准。 2、定标环节采购人有权对响应文件承诺响应的内容进行复核，如有虚假响应，一经发现，取消成交资格并上报财政主管部门，列入政府采购黑名单。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响应文件，同时，线下提交纸质响应文件正本壹份、副本两份、电子版壹份（U盘壹份）。若电子响应文件与纸质响应文件不一致的，以系统电子响应文件为准；若正本和副本不符，以正本为准。 2、定标环节采购人有权对响应文件承诺响应的内容进行复核，如有虚假响应，一经发现，取消成交资格并上报财政主管部门，列入政府采购黑名单。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资格响应表.docx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资格响应表.docx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资格响应表.docx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资格响应表.docx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供应商应授权合法的人员参加协商全过程，其中法定代表人直接参加的，须提供法定代表人身份证，并与营业执照上信息一致。法定代表人授权代表参加的，须提供法定代表人授权书及授权代表身份证，同时提供授权代表由投标单位缴纳的协商日期前连续3个月的社保记录；</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单一授权</w:t>
            </w:r>
          </w:p>
        </w:tc>
        <w:tc>
          <w:tcPr>
            <w:tcW w:type="dxa" w:w="3322"/>
          </w:tcPr>
          <w:p>
            <w:pPr>
              <w:pStyle w:val="null3"/>
            </w:pPr>
            <w:r>
              <w:rPr>
                <w:rFonts w:ascii="仿宋_GB2312" w:hAnsi="仿宋_GB2312" w:cs="仿宋_GB2312" w:eastAsia="仿宋_GB2312"/>
              </w:rPr>
              <w:t>提供产品生产厂家出具的针对本项目唯一的合法授权书；</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投标产品属于医疗器械管理的须提供的企业资质</w:t>
            </w:r>
          </w:p>
        </w:tc>
        <w:tc>
          <w:tcPr>
            <w:tcW w:type="dxa" w:w="3322"/>
          </w:tcPr>
          <w:p>
            <w:pPr>
              <w:pStyle w:val="null3"/>
            </w:pPr>
            <w:r>
              <w:rPr>
                <w:rFonts w:ascii="仿宋_GB2312" w:hAnsi="仿宋_GB2312" w:cs="仿宋_GB2312" w:eastAsia="仿宋_GB2312"/>
              </w:rPr>
              <w:t>提供供应商医疗器械经营许可证或医疗器械经营备案证；</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所投产品的医疗器械注册证或医疗器械备案凭证</w:t>
            </w:r>
          </w:p>
        </w:tc>
        <w:tc>
          <w:tcPr>
            <w:tcW w:type="dxa" w:w="3322"/>
          </w:tcPr>
          <w:p>
            <w:pPr>
              <w:pStyle w:val="null3"/>
            </w:pPr>
            <w:r>
              <w:rPr>
                <w:rFonts w:ascii="仿宋_GB2312" w:hAnsi="仿宋_GB2312" w:cs="仿宋_GB2312" w:eastAsia="仿宋_GB2312"/>
              </w:rPr>
              <w:t>投标产品属于医疗器械管理的须提供所投产品的医疗器械注册证或医疗器械备案凭证，如国家规定免注册产品提供相关证明文件；</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承诺要求</w:t>
            </w:r>
          </w:p>
        </w:tc>
        <w:tc>
          <w:tcPr>
            <w:tcW w:type="dxa" w:w="3322"/>
          </w:tcPr>
          <w:p>
            <w:pPr>
              <w:pStyle w:val="null3"/>
            </w:pPr>
            <w:r>
              <w:rPr>
                <w:rFonts w:ascii="仿宋_GB2312" w:hAnsi="仿宋_GB2312" w:cs="仿宋_GB2312" w:eastAsia="仿宋_GB2312"/>
              </w:rPr>
              <w:t>供应商与其他单位无交叉控股股东、无交叉兼任高级管理人员及涉嫌联合围标、串标行为，无采购单位和招标代理机构职工在该单位兼职的情况，不向采购单位和代理机构相关人员输送利益等行贿行为，一旦中标必须坚守诚信、认真履约等供应商承诺；（提供承诺函）</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供应商与采购人关联关系</w:t>
            </w:r>
          </w:p>
        </w:tc>
        <w:tc>
          <w:tcPr>
            <w:tcW w:type="dxa" w:w="3322"/>
          </w:tcPr>
          <w:p>
            <w:pPr>
              <w:pStyle w:val="null3"/>
            </w:pPr>
            <w:r>
              <w:rPr>
                <w:rFonts w:ascii="仿宋_GB2312" w:hAnsi="仿宋_GB2312" w:cs="仿宋_GB2312" w:eastAsia="仿宋_GB2312"/>
              </w:rPr>
              <w:t>本项目不接受由西安市疾病预防控制中心职工及其亲属投资开办的企业参加本单位的政府采购活动；（提供承诺函）</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本项目不接受联合体参与</w:t>
            </w:r>
          </w:p>
        </w:tc>
        <w:tc>
          <w:tcPr>
            <w:tcW w:type="dxa" w:w="3322"/>
          </w:tcPr>
          <w:p>
            <w:pPr>
              <w:pStyle w:val="null3"/>
            </w:pPr>
            <w:r>
              <w:rPr>
                <w:rFonts w:ascii="仿宋_GB2312" w:hAnsi="仿宋_GB2312" w:cs="仿宋_GB2312" w:eastAsia="仿宋_GB2312"/>
              </w:rPr>
              <w:t>本项目不接受联合体参与，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资格响应表.docx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供应商应授权合法的人员参加协商全过程，其中法定代表人直接参加的，须提供法定代表人身份证，并与营业执照上信息一致。法定代表人授权代表参加的，须提供法定代表人授权书及授权代表身份证，同时提供授权代表由投标单位缴纳的协商日期前连续3个月的社保记录；</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单一授权</w:t>
            </w:r>
          </w:p>
        </w:tc>
        <w:tc>
          <w:tcPr>
            <w:tcW w:type="dxa" w:w="3322"/>
          </w:tcPr>
          <w:p>
            <w:pPr>
              <w:pStyle w:val="null3"/>
            </w:pPr>
            <w:r>
              <w:rPr>
                <w:rFonts w:ascii="仿宋_GB2312" w:hAnsi="仿宋_GB2312" w:cs="仿宋_GB2312" w:eastAsia="仿宋_GB2312"/>
              </w:rPr>
              <w:t>提供产品生产厂家出具的针对本项目唯一的合法授权书；</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投标产品属于医疗器械管理的须提供的企业资质</w:t>
            </w:r>
          </w:p>
        </w:tc>
        <w:tc>
          <w:tcPr>
            <w:tcW w:type="dxa" w:w="3322"/>
          </w:tcPr>
          <w:p>
            <w:pPr>
              <w:pStyle w:val="null3"/>
            </w:pPr>
            <w:r>
              <w:rPr>
                <w:rFonts w:ascii="仿宋_GB2312" w:hAnsi="仿宋_GB2312" w:cs="仿宋_GB2312" w:eastAsia="仿宋_GB2312"/>
              </w:rPr>
              <w:t>提供供应商医疗器械经营许可证或医疗器械经营备案证；</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所投产品的医疗器械注册证或医疗器械备案凭证</w:t>
            </w:r>
          </w:p>
        </w:tc>
        <w:tc>
          <w:tcPr>
            <w:tcW w:type="dxa" w:w="3322"/>
          </w:tcPr>
          <w:p>
            <w:pPr>
              <w:pStyle w:val="null3"/>
            </w:pPr>
            <w:r>
              <w:rPr>
                <w:rFonts w:ascii="仿宋_GB2312" w:hAnsi="仿宋_GB2312" w:cs="仿宋_GB2312" w:eastAsia="仿宋_GB2312"/>
              </w:rPr>
              <w:t>投标产品属于医疗器械管理的须提供所投产品的医疗器械注册证或医疗器械备案凭证，如国家规定免注册产品提供相关证明文件；</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承诺要求</w:t>
            </w:r>
          </w:p>
        </w:tc>
        <w:tc>
          <w:tcPr>
            <w:tcW w:type="dxa" w:w="3322"/>
          </w:tcPr>
          <w:p>
            <w:pPr>
              <w:pStyle w:val="null3"/>
            </w:pPr>
            <w:r>
              <w:rPr>
                <w:rFonts w:ascii="仿宋_GB2312" w:hAnsi="仿宋_GB2312" w:cs="仿宋_GB2312" w:eastAsia="仿宋_GB2312"/>
              </w:rPr>
              <w:t>供应商与其他单位无交叉控股股东、无交叉兼任高级管理人员及涉嫌联合围标、串标行为，无采购单位和招标代理机构职工在该单位兼职的情况，不向采购单位和代理机构相关人员输送利益等行贿行为，一旦中标必须坚守诚信、认真履约等供应商承诺；（提供承诺函）</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供应商与采购人关联关系</w:t>
            </w:r>
          </w:p>
        </w:tc>
        <w:tc>
          <w:tcPr>
            <w:tcW w:type="dxa" w:w="3322"/>
          </w:tcPr>
          <w:p>
            <w:pPr>
              <w:pStyle w:val="null3"/>
            </w:pPr>
            <w:r>
              <w:rPr>
                <w:rFonts w:ascii="仿宋_GB2312" w:hAnsi="仿宋_GB2312" w:cs="仿宋_GB2312" w:eastAsia="仿宋_GB2312"/>
              </w:rPr>
              <w:t>本项目不接受由西安市疾病预防控制中心职工及其亲属投资开办的企业参加本单位的政府采购活动；（提供承诺函）</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本项目不接受联合体参与</w:t>
            </w:r>
          </w:p>
        </w:tc>
        <w:tc>
          <w:tcPr>
            <w:tcW w:type="dxa" w:w="3322"/>
          </w:tcPr>
          <w:p>
            <w:pPr>
              <w:pStyle w:val="null3"/>
            </w:pPr>
            <w:r>
              <w:rPr>
                <w:rFonts w:ascii="仿宋_GB2312" w:hAnsi="仿宋_GB2312" w:cs="仿宋_GB2312" w:eastAsia="仿宋_GB2312"/>
              </w:rPr>
              <w:t>本项目不接受联合体参与，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资格响应表.docx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jc w:val="left"/>
      </w:pPr>
      <w:r>
        <w:rPr>
          <w:rFonts w:ascii="仿宋_GB2312" w:hAnsi="仿宋_GB2312" w:cs="仿宋_GB2312" w:eastAsia="仿宋_GB2312"/>
        </w:rPr>
        <w:t>（一）熟悉和理解单一来源采购文件；</w:t>
      </w:r>
    </w:p>
    <w:p>
      <w:pPr>
        <w:pStyle w:val="null3"/>
        <w:ind w:firstLine="480"/>
        <w:jc w:val="left"/>
      </w:pPr>
      <w:r>
        <w:rPr>
          <w:rFonts w:ascii="仿宋_GB2312" w:hAnsi="仿宋_GB2312" w:cs="仿宋_GB2312" w:eastAsia="仿宋_GB2312"/>
        </w:rPr>
        <w:t xml:space="preserve"> （二）审查供应商响应文件等是否满足单一来源采购文件要求，并作出评价；</w:t>
      </w:r>
    </w:p>
    <w:p>
      <w:pPr>
        <w:pStyle w:val="null3"/>
        <w:ind w:firstLine="480"/>
        <w:jc w:val="left"/>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jc w:val="left"/>
      </w:pPr>
      <w:r>
        <w:rPr>
          <w:rFonts w:ascii="仿宋_GB2312" w:hAnsi="仿宋_GB2312" w:cs="仿宋_GB2312" w:eastAsia="仿宋_GB2312"/>
        </w:rPr>
        <w:t>（四）推荐成交候选供应商，或者受采购人委托确定成交供应商；</w:t>
      </w:r>
    </w:p>
    <w:p>
      <w:pPr>
        <w:pStyle w:val="null3"/>
        <w:ind w:firstLine="480"/>
        <w:jc w:val="left"/>
      </w:pPr>
      <w:r>
        <w:rPr>
          <w:rFonts w:ascii="仿宋_GB2312" w:hAnsi="仿宋_GB2312" w:cs="仿宋_GB2312" w:eastAsia="仿宋_GB2312"/>
        </w:rPr>
        <w:t>（五）起草评审报告并进行签署；</w:t>
      </w:r>
    </w:p>
    <w:p>
      <w:pPr>
        <w:pStyle w:val="null3"/>
        <w:ind w:firstLine="480"/>
        <w:jc w:val="left"/>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3"/>
      </w:pPr>
      <w:r>
        <w:rPr>
          <w:rFonts w:ascii="仿宋_GB2312" w:hAnsi="仿宋_GB2312" w:cs="仿宋_GB2312" w:eastAsia="仿宋_GB2312"/>
          <w:sz w:val="24"/>
          <w:b/>
        </w:rPr>
        <w:t>5.2.2.熟悉和理解采购文件和停止评审</w:t>
      </w:r>
    </w:p>
    <w:p>
      <w:pPr>
        <w:pStyle w:val="null3"/>
        <w:ind w:firstLine="480"/>
        <w:jc w:val="left"/>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rFonts w:ascii="仿宋_GB2312" w:hAnsi="仿宋_GB2312" w:cs="仿宋_GB2312" w:eastAsia="仿宋_GB2312"/>
        </w:rPr>
        <w:t>二、本采购文件有下列情形之一的，协商小组应当停止评审：</w:t>
      </w:r>
    </w:p>
    <w:p>
      <w:pPr>
        <w:pStyle w:val="null3"/>
        <w:ind w:firstLine="480"/>
        <w:jc w:val="left"/>
      </w:pPr>
      <w:r>
        <w:rPr>
          <w:rFonts w:ascii="仿宋_GB2312" w:hAnsi="仿宋_GB2312" w:cs="仿宋_GB2312" w:eastAsia="仿宋_GB2312"/>
        </w:rPr>
        <w:t>（一）采购文件的规定存在歧义、重大缺陷的；</w:t>
      </w:r>
    </w:p>
    <w:p>
      <w:pPr>
        <w:pStyle w:val="null3"/>
        <w:ind w:firstLine="480"/>
        <w:jc w:val="left"/>
      </w:pPr>
      <w:r>
        <w:rPr>
          <w:rFonts w:ascii="仿宋_GB2312" w:hAnsi="仿宋_GB2312" w:cs="仿宋_GB2312" w:eastAsia="仿宋_GB2312"/>
        </w:rPr>
        <w:t>（二）采购文件明显以不合理条件对供应商实行差别待遇或者歧视待遇的；</w:t>
      </w:r>
    </w:p>
    <w:p>
      <w:pPr>
        <w:pStyle w:val="null3"/>
        <w:ind w:firstLine="480"/>
        <w:jc w:val="left"/>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jc w:val="left"/>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jc w:val="left"/>
      </w:pPr>
      <w:r>
        <w:rPr>
          <w:rFonts w:ascii="仿宋_GB2312" w:hAnsi="仿宋_GB2312" w:cs="仿宋_GB2312" w:eastAsia="仿宋_GB2312"/>
        </w:rPr>
        <w:t>（五）采购文件将供应商的资格条件列为评分因素的；</w:t>
      </w:r>
    </w:p>
    <w:p>
      <w:pPr>
        <w:pStyle w:val="null3"/>
        <w:ind w:firstLine="480"/>
        <w:jc w:val="left"/>
      </w:pPr>
      <w:r>
        <w:rPr>
          <w:rFonts w:ascii="仿宋_GB2312" w:hAnsi="仿宋_GB2312" w:cs="仿宋_GB2312" w:eastAsia="仿宋_GB2312"/>
        </w:rPr>
        <w:t>（六）采购文件载明的成交原则不合法的；</w:t>
      </w:r>
    </w:p>
    <w:p>
      <w:pPr>
        <w:pStyle w:val="null3"/>
        <w:ind w:firstLine="480"/>
        <w:jc w:val="left"/>
      </w:pPr>
      <w:r>
        <w:rPr>
          <w:rFonts w:ascii="仿宋_GB2312" w:hAnsi="仿宋_GB2312" w:cs="仿宋_GB2312" w:eastAsia="仿宋_GB2312"/>
        </w:rPr>
        <w:t>（七）采购文件有违反国家其他有关强制性规定的情形。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响应文件封面 商务偏离表.docx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响应函 报价表及分项报价表.docx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不存在采购文件中规定的其它无效情形</w:t>
            </w:r>
          </w:p>
        </w:tc>
        <w:tc>
          <w:tcPr>
            <w:tcW w:type="dxa" w:w="1661"/>
          </w:tcPr>
          <w:p>
            <w:pPr>
              <w:pStyle w:val="null3"/>
            </w:pPr>
            <w:r>
              <w:rPr>
                <w:rFonts w:ascii="仿宋_GB2312" w:hAnsi="仿宋_GB2312" w:cs="仿宋_GB2312" w:eastAsia="仿宋_GB2312"/>
              </w:rPr>
              <w:t>响应文件封面 商务偏离表.docx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谈判总价</w:t>
            </w:r>
          </w:p>
        </w:tc>
        <w:tc>
          <w:tcPr>
            <w:tcW w:type="dxa" w:w="3322"/>
          </w:tcPr>
          <w:p>
            <w:pPr>
              <w:pStyle w:val="null3"/>
            </w:pPr>
            <w:r>
              <w:rPr>
                <w:rFonts w:ascii="仿宋_GB2312" w:hAnsi="仿宋_GB2312" w:cs="仿宋_GB2312" w:eastAsia="仿宋_GB2312"/>
              </w:rPr>
              <w:t>谈判总价不得超过采购预算</w:t>
            </w:r>
          </w:p>
        </w:tc>
        <w:tc>
          <w:tcPr>
            <w:tcW w:type="dxa" w:w="1661"/>
          </w:tcPr>
          <w:p>
            <w:pPr>
              <w:pStyle w:val="null3"/>
            </w:pPr>
            <w:r>
              <w:rPr>
                <w:rFonts w:ascii="仿宋_GB2312" w:hAnsi="仿宋_GB2312" w:cs="仿宋_GB2312" w:eastAsia="仿宋_GB2312"/>
              </w:rPr>
              <w:t>标的清单 报价表 报价表及分项报价表.docx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合同签订完毕，采购人下达供货通知后30天内完成供货及验收。</w:t>
            </w:r>
          </w:p>
        </w:tc>
        <w:tc>
          <w:tcPr>
            <w:tcW w:type="dxa" w:w="1661"/>
          </w:tcPr>
          <w:p>
            <w:pPr>
              <w:pStyle w:val="null3"/>
            </w:pPr>
            <w:r>
              <w:rPr>
                <w:rFonts w:ascii="仿宋_GB2312" w:hAnsi="仿宋_GB2312" w:cs="仿宋_GB2312" w:eastAsia="仿宋_GB2312"/>
              </w:rPr>
              <w:t>商务偏离表.docx 报价表及分项报价表.docx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合同签订后，乙方须按其投标文件中响应的供货期按时交货并提供全额合规发票，保证“货票同行”。货物到达甲方指定地点，验收合格后 ，达到付款条件起 30 日内，支付合同总金额的 100.00%。</w:t>
            </w:r>
          </w:p>
        </w:tc>
        <w:tc>
          <w:tcPr>
            <w:tcW w:type="dxa" w:w="1661"/>
          </w:tcPr>
          <w:p>
            <w:pPr>
              <w:pStyle w:val="null3"/>
            </w:pPr>
            <w:r>
              <w:rPr>
                <w:rFonts w:ascii="仿宋_GB2312" w:hAnsi="仿宋_GB2312" w:cs="仿宋_GB2312" w:eastAsia="仿宋_GB2312"/>
              </w:rPr>
              <w:t>商务偏离表.docx 报价表及分项报价表.docx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质量保修期</w:t>
            </w:r>
          </w:p>
        </w:tc>
        <w:tc>
          <w:tcPr>
            <w:tcW w:type="dxa" w:w="3322"/>
          </w:tcPr>
          <w:p>
            <w:pPr>
              <w:pStyle w:val="null3"/>
            </w:pPr>
            <w:r>
              <w:rPr>
                <w:rFonts w:ascii="仿宋_GB2312" w:hAnsi="仿宋_GB2312" w:cs="仿宋_GB2312" w:eastAsia="仿宋_GB2312"/>
              </w:rPr>
              <w:t>（一）自货物验收合格之日起计算,质保≥12个月。（二）在质量保证期内，乙方对由于设计、工艺或材料的缺陷或运输、保存而产生的事故负责（负责解决并承担全部费用）。</w:t>
            </w:r>
          </w:p>
        </w:tc>
        <w:tc>
          <w:tcPr>
            <w:tcW w:type="dxa" w:w="1661"/>
          </w:tcPr>
          <w:p>
            <w:pPr>
              <w:pStyle w:val="null3"/>
            </w:pPr>
            <w:r>
              <w:rPr>
                <w:rFonts w:ascii="仿宋_GB2312" w:hAnsi="仿宋_GB2312" w:cs="仿宋_GB2312" w:eastAsia="仿宋_GB2312"/>
              </w:rPr>
              <w:t>商务偏离表.docx 报价表及分项报价表.docx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90日历天</w:t>
            </w:r>
          </w:p>
        </w:tc>
        <w:tc>
          <w:tcPr>
            <w:tcW w:type="dxa" w:w="1661"/>
          </w:tcPr>
          <w:p>
            <w:pPr>
              <w:pStyle w:val="null3"/>
            </w:pPr>
            <w:r>
              <w:rPr>
                <w:rFonts w:ascii="仿宋_GB2312" w:hAnsi="仿宋_GB2312" w:cs="仿宋_GB2312" w:eastAsia="仿宋_GB2312"/>
              </w:rPr>
              <w:t>商务偏离表.docx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技术响应性审查1</w:t>
            </w:r>
          </w:p>
        </w:tc>
        <w:tc>
          <w:tcPr>
            <w:tcW w:type="dxa" w:w="3322"/>
          </w:tcPr>
          <w:p>
            <w:pPr>
              <w:pStyle w:val="null3"/>
            </w:pPr>
            <w:r>
              <w:rPr>
                <w:rFonts w:ascii="仿宋_GB2312" w:hAnsi="仿宋_GB2312" w:cs="仿宋_GB2312" w:eastAsia="仿宋_GB2312"/>
              </w:rPr>
              <w:t>响应内容满足谈判文件要求，无重大偏离；技术指标明确，满足采购人使用需求；</w:t>
            </w:r>
          </w:p>
        </w:tc>
        <w:tc>
          <w:tcPr>
            <w:tcW w:type="dxa" w:w="1661"/>
          </w:tcPr>
          <w:p>
            <w:pPr>
              <w:pStyle w:val="null3"/>
            </w:pPr>
            <w:r>
              <w:rPr>
                <w:rFonts w:ascii="仿宋_GB2312" w:hAnsi="仿宋_GB2312" w:cs="仿宋_GB2312" w:eastAsia="仿宋_GB2312"/>
              </w:rPr>
              <w:t>规格、技术参数偏离表.docx 技术实施方案及承诺.docx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技术响应性审查2</w:t>
            </w:r>
          </w:p>
        </w:tc>
        <w:tc>
          <w:tcPr>
            <w:tcW w:type="dxa" w:w="3322"/>
          </w:tcPr>
          <w:p>
            <w:pPr>
              <w:pStyle w:val="null3"/>
            </w:pPr>
            <w:r>
              <w:rPr>
                <w:rFonts w:ascii="仿宋_GB2312" w:hAnsi="仿宋_GB2312" w:cs="仿宋_GB2312" w:eastAsia="仿宋_GB2312"/>
              </w:rPr>
              <w:t>谈判文件规定的其他要求；</w:t>
            </w:r>
          </w:p>
        </w:tc>
        <w:tc>
          <w:tcPr>
            <w:tcW w:type="dxa" w:w="1661"/>
          </w:tcPr>
          <w:p>
            <w:pPr>
              <w:pStyle w:val="null3"/>
            </w:pPr>
            <w:r>
              <w:rPr>
                <w:rFonts w:ascii="仿宋_GB2312" w:hAnsi="仿宋_GB2312" w:cs="仿宋_GB2312" w:eastAsia="仿宋_GB2312"/>
              </w:rPr>
              <w:t>规格、技术参数偏离表.docx 技术实施方案及承诺.docx 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响应文件封面 商务偏离表.docx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报价表及分项报价表.docx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不存在采购文件中规定的其它无效情形</w:t>
            </w:r>
          </w:p>
        </w:tc>
        <w:tc>
          <w:tcPr>
            <w:tcW w:type="dxa" w:w="1661"/>
          </w:tcPr>
          <w:p>
            <w:pPr>
              <w:pStyle w:val="null3"/>
            </w:pPr>
            <w:r>
              <w:rPr>
                <w:rFonts w:ascii="仿宋_GB2312" w:hAnsi="仿宋_GB2312" w:cs="仿宋_GB2312" w:eastAsia="仿宋_GB2312"/>
              </w:rPr>
              <w:t>响应文件封面 响应函 商务偏离表.docx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谈判总价</w:t>
            </w:r>
          </w:p>
        </w:tc>
        <w:tc>
          <w:tcPr>
            <w:tcW w:type="dxa" w:w="3322"/>
          </w:tcPr>
          <w:p>
            <w:pPr>
              <w:pStyle w:val="null3"/>
            </w:pPr>
            <w:r>
              <w:rPr>
                <w:rFonts w:ascii="仿宋_GB2312" w:hAnsi="仿宋_GB2312" w:cs="仿宋_GB2312" w:eastAsia="仿宋_GB2312"/>
              </w:rPr>
              <w:t>谈判总价不得超过采购预算</w:t>
            </w:r>
          </w:p>
        </w:tc>
        <w:tc>
          <w:tcPr>
            <w:tcW w:type="dxa" w:w="1661"/>
          </w:tcPr>
          <w:p>
            <w:pPr>
              <w:pStyle w:val="null3"/>
            </w:pPr>
            <w:r>
              <w:rPr>
                <w:rFonts w:ascii="仿宋_GB2312" w:hAnsi="仿宋_GB2312" w:cs="仿宋_GB2312" w:eastAsia="仿宋_GB2312"/>
              </w:rPr>
              <w:t>标的清单 报价表 报价表及分项报价表.docx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合同签订完毕，采购人下达供货通知后30天内完成供货及验收。</w:t>
            </w:r>
          </w:p>
        </w:tc>
        <w:tc>
          <w:tcPr>
            <w:tcW w:type="dxa" w:w="1661"/>
          </w:tcPr>
          <w:p>
            <w:pPr>
              <w:pStyle w:val="null3"/>
            </w:pPr>
            <w:r>
              <w:rPr>
                <w:rFonts w:ascii="仿宋_GB2312" w:hAnsi="仿宋_GB2312" w:cs="仿宋_GB2312" w:eastAsia="仿宋_GB2312"/>
              </w:rPr>
              <w:t>商务偏离表.docx 报价表及分项报价表.docx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合同签订后，乙方须按其投标文件中响应的供货期按时交货并提供全额合规发票，保证“货票同行”。货物到达甲方指定地点，验收合格后 ，达到付款条件起 30 日内，支付合同总金额的 100.00%。</w:t>
            </w:r>
          </w:p>
        </w:tc>
        <w:tc>
          <w:tcPr>
            <w:tcW w:type="dxa" w:w="1661"/>
          </w:tcPr>
          <w:p>
            <w:pPr>
              <w:pStyle w:val="null3"/>
            </w:pPr>
            <w:r>
              <w:rPr>
                <w:rFonts w:ascii="仿宋_GB2312" w:hAnsi="仿宋_GB2312" w:cs="仿宋_GB2312" w:eastAsia="仿宋_GB2312"/>
              </w:rPr>
              <w:t>商务偏离表.docx 报价表及分项报价表.docx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质量保修期</w:t>
            </w:r>
          </w:p>
        </w:tc>
        <w:tc>
          <w:tcPr>
            <w:tcW w:type="dxa" w:w="3322"/>
          </w:tcPr>
          <w:p>
            <w:pPr>
              <w:pStyle w:val="null3"/>
            </w:pPr>
            <w:r>
              <w:rPr>
                <w:rFonts w:ascii="仿宋_GB2312" w:hAnsi="仿宋_GB2312" w:cs="仿宋_GB2312" w:eastAsia="仿宋_GB2312"/>
              </w:rPr>
              <w:t>（一）自货物验收合格之日起计算,质保≥10个月。 （二）在质量保证期内，乙方对由于设计、工艺或材料的缺陷或运输、保存而产生的事故负责（负责解决并承担全部费用）。</w:t>
            </w:r>
          </w:p>
        </w:tc>
        <w:tc>
          <w:tcPr>
            <w:tcW w:type="dxa" w:w="1661"/>
          </w:tcPr>
          <w:p>
            <w:pPr>
              <w:pStyle w:val="null3"/>
            </w:pPr>
            <w:r>
              <w:rPr>
                <w:rFonts w:ascii="仿宋_GB2312" w:hAnsi="仿宋_GB2312" w:cs="仿宋_GB2312" w:eastAsia="仿宋_GB2312"/>
              </w:rPr>
              <w:t>商务偏离表.docx 报价表及分项报价表.docx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90日历天</w:t>
            </w:r>
          </w:p>
        </w:tc>
        <w:tc>
          <w:tcPr>
            <w:tcW w:type="dxa" w:w="1661"/>
          </w:tcPr>
          <w:p>
            <w:pPr>
              <w:pStyle w:val="null3"/>
            </w:pPr>
            <w:r>
              <w:rPr>
                <w:rFonts w:ascii="仿宋_GB2312" w:hAnsi="仿宋_GB2312" w:cs="仿宋_GB2312" w:eastAsia="仿宋_GB2312"/>
              </w:rPr>
              <w:t>商务偏离表.docx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技术响应性审查1</w:t>
            </w:r>
          </w:p>
        </w:tc>
        <w:tc>
          <w:tcPr>
            <w:tcW w:type="dxa" w:w="3322"/>
          </w:tcPr>
          <w:p>
            <w:pPr>
              <w:pStyle w:val="null3"/>
            </w:pPr>
            <w:r>
              <w:rPr>
                <w:rFonts w:ascii="仿宋_GB2312" w:hAnsi="仿宋_GB2312" w:cs="仿宋_GB2312" w:eastAsia="仿宋_GB2312"/>
              </w:rPr>
              <w:t>响应内容满足谈判文件要求，无重大偏离；技术指标明确，满足采购人使用需求；</w:t>
            </w:r>
          </w:p>
        </w:tc>
        <w:tc>
          <w:tcPr>
            <w:tcW w:type="dxa" w:w="1661"/>
          </w:tcPr>
          <w:p>
            <w:pPr>
              <w:pStyle w:val="null3"/>
            </w:pPr>
            <w:r>
              <w:rPr>
                <w:rFonts w:ascii="仿宋_GB2312" w:hAnsi="仿宋_GB2312" w:cs="仿宋_GB2312" w:eastAsia="仿宋_GB2312"/>
              </w:rPr>
              <w:t>规格、技术参数偏离表.docx 技术实施方案及承诺.docx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技术响应性审查2</w:t>
            </w:r>
          </w:p>
        </w:tc>
        <w:tc>
          <w:tcPr>
            <w:tcW w:type="dxa" w:w="3322"/>
          </w:tcPr>
          <w:p>
            <w:pPr>
              <w:pStyle w:val="null3"/>
            </w:pPr>
            <w:r>
              <w:rPr>
                <w:rFonts w:ascii="仿宋_GB2312" w:hAnsi="仿宋_GB2312" w:cs="仿宋_GB2312" w:eastAsia="仿宋_GB2312"/>
              </w:rPr>
              <w:t>谈判文件规定的其他要求；</w:t>
            </w:r>
          </w:p>
        </w:tc>
        <w:tc>
          <w:tcPr>
            <w:tcW w:type="dxa" w:w="1661"/>
          </w:tcPr>
          <w:p>
            <w:pPr>
              <w:pStyle w:val="null3"/>
            </w:pPr>
            <w:r>
              <w:rPr>
                <w:rFonts w:ascii="仿宋_GB2312" w:hAnsi="仿宋_GB2312" w:cs="仿宋_GB2312" w:eastAsia="仿宋_GB2312"/>
              </w:rPr>
              <w:t>规格、技术参数偏离表.docx 技术实施方案及承诺.docx 残疾人福利性单位声明函 中小企业声明函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一、协商会议在项目电子化交易系统进行。协商会议由代理机构在线主持，供应商代表在线参加。</w:t>
      </w:r>
    </w:p>
    <w:p>
      <w:pPr>
        <w:pStyle w:val="null3"/>
        <w:ind w:firstLine="480"/>
      </w:pPr>
      <w:r>
        <w:rPr>
          <w:rFonts w:ascii="仿宋_GB2312" w:hAnsi="仿宋_GB2312" w:cs="仿宋_GB2312" w:eastAsia="仿宋_GB2312"/>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jc w:val="left"/>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jc w:val="left"/>
      </w:pPr>
      <w:r>
        <w:rPr>
          <w:rFonts w:ascii="仿宋_GB2312" w:hAnsi="仿宋_GB2312" w:cs="仿宋_GB2312" w:eastAsia="仿宋_GB2312"/>
        </w:rPr>
        <w:t>（一）因情况变化，不再符合规定的单一来源采购方式适用情形的；</w:t>
      </w:r>
    </w:p>
    <w:p>
      <w:pPr>
        <w:pStyle w:val="null3"/>
        <w:jc w:val="left"/>
      </w:pPr>
      <w:r>
        <w:rPr>
          <w:rFonts w:ascii="仿宋_GB2312" w:hAnsi="仿宋_GB2312" w:cs="仿宋_GB2312" w:eastAsia="仿宋_GB2312"/>
        </w:rPr>
        <w:t>（二）出现影响采购公正的违法、违规行为的；</w:t>
      </w:r>
    </w:p>
    <w:p>
      <w:pPr>
        <w:pStyle w:val="null3"/>
        <w:jc w:val="left"/>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 xml:space="preserve"> 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详见附件：规格、技术参数偏离表.docx</w:t>
      </w:r>
    </w:p>
    <w:p>
      <w:pPr>
        <w:pStyle w:val="null3"/>
        <w:ind w:firstLine="960"/>
      </w:pPr>
      <w:r>
        <w:rPr>
          <w:rFonts w:ascii="仿宋_GB2312" w:hAnsi="仿宋_GB2312" w:cs="仿宋_GB2312" w:eastAsia="仿宋_GB2312"/>
        </w:rPr>
        <w:t>详见附件：技术实施方案及承诺.docx</w:t>
      </w:r>
    </w:p>
    <w:p>
      <w:pPr>
        <w:pStyle w:val="null3"/>
        <w:ind w:firstLine="960"/>
      </w:pPr>
      <w:r>
        <w:rPr>
          <w:rFonts w:ascii="仿宋_GB2312" w:hAnsi="仿宋_GB2312" w:cs="仿宋_GB2312" w:eastAsia="仿宋_GB2312"/>
        </w:rPr>
        <w:t>详见附件：资格响应表.docx</w:t>
      </w:r>
    </w:p>
    <w:p>
      <w:pPr>
        <w:pStyle w:val="null3"/>
        <w:ind w:firstLine="960"/>
      </w:pPr>
      <w:r>
        <w:rPr>
          <w:rFonts w:ascii="仿宋_GB2312" w:hAnsi="仿宋_GB2312" w:cs="仿宋_GB2312" w:eastAsia="仿宋_GB2312"/>
        </w:rPr>
        <w:t>详见附件：报价表及分项报价表.docx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详见附件：规格、技术参数偏离表.docx</w:t>
      </w:r>
    </w:p>
    <w:p>
      <w:pPr>
        <w:pStyle w:val="null3"/>
        <w:ind w:firstLine="960"/>
      </w:pPr>
      <w:r>
        <w:rPr>
          <w:rFonts w:ascii="仿宋_GB2312" w:hAnsi="仿宋_GB2312" w:cs="仿宋_GB2312" w:eastAsia="仿宋_GB2312"/>
        </w:rPr>
        <w:t>详见附件：技术实施方案及承诺.docx</w:t>
      </w:r>
    </w:p>
    <w:p>
      <w:pPr>
        <w:pStyle w:val="null3"/>
        <w:ind w:firstLine="960"/>
      </w:pPr>
      <w:r>
        <w:rPr>
          <w:rFonts w:ascii="仿宋_GB2312" w:hAnsi="仿宋_GB2312" w:cs="仿宋_GB2312" w:eastAsia="仿宋_GB2312"/>
        </w:rPr>
        <w:t>详见附件：资格响应表.docx</w:t>
      </w:r>
    </w:p>
    <w:p>
      <w:pPr>
        <w:pStyle w:val="null3"/>
        <w:ind w:firstLine="960"/>
      </w:pPr>
      <w:r>
        <w:rPr>
          <w:rFonts w:ascii="仿宋_GB2312" w:hAnsi="仿宋_GB2312" w:cs="仿宋_GB2312" w:eastAsia="仿宋_GB2312"/>
        </w:rPr>
        <w:t>详见附件：报价表及分项报价表.docx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